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222"/>
        </w:tabs>
        <w:wordWrap w:val="0"/>
        <w:spacing w:line="360" w:lineRule="auto"/>
        <w:jc w:val="center"/>
        <w:rPr>
          <w:b/>
          <w:bCs/>
          <w:sz w:val="72"/>
          <w:szCs w:val="72"/>
        </w:rPr>
      </w:pPr>
    </w:p>
    <w:p>
      <w:pPr>
        <w:tabs>
          <w:tab w:val="left" w:pos="8222"/>
        </w:tabs>
        <w:wordWrap w:val="0"/>
        <w:spacing w:line="360" w:lineRule="auto"/>
        <w:jc w:val="center"/>
        <w:rPr>
          <w:b/>
          <w:bCs/>
          <w:sz w:val="100"/>
          <w:szCs w:val="100"/>
        </w:rPr>
      </w:pPr>
    </w:p>
    <w:p>
      <w:pPr>
        <w:tabs>
          <w:tab w:val="left" w:pos="8222"/>
        </w:tabs>
        <w:wordWrap w:val="0"/>
        <w:spacing w:line="360" w:lineRule="auto"/>
        <w:jc w:val="center"/>
        <w:rPr>
          <w:b/>
          <w:bCs/>
          <w:sz w:val="100"/>
          <w:szCs w:val="100"/>
        </w:rPr>
      </w:pPr>
      <w:r>
        <w:rPr>
          <w:rFonts w:hint="eastAsia"/>
          <w:b/>
          <w:bCs/>
          <w:sz w:val="100"/>
          <w:szCs w:val="100"/>
        </w:rPr>
        <w:t>黄冈市政府采购</w:t>
      </w:r>
    </w:p>
    <w:p>
      <w:pPr>
        <w:tabs>
          <w:tab w:val="left" w:pos="8222"/>
        </w:tabs>
        <w:wordWrap w:val="0"/>
        <w:spacing w:line="360" w:lineRule="auto"/>
        <w:ind w:right="1493" w:rightChars="622"/>
        <w:jc w:val="left"/>
        <w:rPr>
          <w:b/>
          <w:bCs/>
          <w:sz w:val="72"/>
          <w:szCs w:val="72"/>
        </w:rPr>
      </w:pPr>
    </w:p>
    <w:p>
      <w:pPr>
        <w:tabs>
          <w:tab w:val="left" w:pos="8222"/>
        </w:tabs>
        <w:spacing w:line="360" w:lineRule="auto"/>
        <w:jc w:val="center"/>
        <w:rPr>
          <w:b/>
          <w:bCs/>
          <w:sz w:val="120"/>
          <w:szCs w:val="120"/>
        </w:rPr>
      </w:pPr>
      <w:r>
        <w:rPr>
          <w:rFonts w:hint="eastAsia"/>
          <w:b/>
          <w:bCs/>
          <w:sz w:val="120"/>
          <w:szCs w:val="120"/>
        </w:rPr>
        <w:t>招 标 文 件</w:t>
      </w:r>
    </w:p>
    <w:p>
      <w:pPr>
        <w:tabs>
          <w:tab w:val="left" w:pos="8222"/>
        </w:tabs>
        <w:wordWrap w:val="0"/>
        <w:spacing w:line="360" w:lineRule="auto"/>
        <w:ind w:right="1493" w:rightChars="622"/>
        <w:rPr>
          <w:bCs/>
          <w:sz w:val="36"/>
          <w:szCs w:val="24"/>
        </w:rPr>
      </w:pPr>
    </w:p>
    <w:p>
      <w:pPr>
        <w:tabs>
          <w:tab w:val="left" w:pos="8222"/>
        </w:tabs>
        <w:wordWrap w:val="0"/>
        <w:spacing w:line="360" w:lineRule="auto"/>
        <w:ind w:right="1493" w:rightChars="622"/>
        <w:rPr>
          <w:bCs/>
          <w:sz w:val="36"/>
          <w:szCs w:val="24"/>
        </w:rPr>
      </w:pPr>
    </w:p>
    <w:p>
      <w:pPr>
        <w:tabs>
          <w:tab w:val="left" w:pos="8222"/>
        </w:tabs>
        <w:wordWrap w:val="0"/>
        <w:spacing w:line="360" w:lineRule="auto"/>
        <w:ind w:firstLine="1687" w:firstLineChars="600"/>
        <w:jc w:val="left"/>
        <w:rPr>
          <w:bCs/>
          <w:sz w:val="28"/>
          <w:szCs w:val="28"/>
          <w:u w:val="single"/>
        </w:rPr>
      </w:pPr>
      <w:r>
        <w:rPr>
          <w:rFonts w:hint="eastAsia"/>
          <w:b/>
          <w:bCs/>
          <w:sz w:val="28"/>
          <w:szCs w:val="28"/>
        </w:rPr>
        <w:t>项目编号：</w:t>
      </w:r>
      <w:r>
        <w:rPr>
          <w:rFonts w:hint="eastAsia"/>
          <w:bCs/>
          <w:sz w:val="28"/>
          <w:szCs w:val="28"/>
        </w:rPr>
        <w:t>HGJY2024-0004</w:t>
      </w:r>
    </w:p>
    <w:p>
      <w:pPr>
        <w:tabs>
          <w:tab w:val="left" w:pos="8222"/>
        </w:tabs>
        <w:wordWrap w:val="0"/>
        <w:spacing w:line="360" w:lineRule="auto"/>
        <w:ind w:firstLine="1687" w:firstLineChars="600"/>
        <w:jc w:val="left"/>
        <w:rPr>
          <w:bCs/>
          <w:sz w:val="28"/>
          <w:szCs w:val="28"/>
          <w:u w:val="single"/>
        </w:rPr>
      </w:pPr>
      <w:r>
        <w:rPr>
          <w:rFonts w:hint="eastAsia"/>
          <w:b/>
          <w:bCs/>
          <w:sz w:val="28"/>
          <w:szCs w:val="28"/>
        </w:rPr>
        <w:t>项目名称：</w:t>
      </w:r>
      <w:r>
        <w:rPr>
          <w:rFonts w:hint="eastAsia"/>
          <w:bCs/>
          <w:sz w:val="28"/>
          <w:szCs w:val="28"/>
        </w:rPr>
        <w:t>黄冈市医疗集团信息系统服务（一期）</w:t>
      </w:r>
    </w:p>
    <w:p>
      <w:pPr>
        <w:tabs>
          <w:tab w:val="left" w:pos="8222"/>
        </w:tabs>
        <w:wordWrap w:val="0"/>
        <w:spacing w:line="360" w:lineRule="auto"/>
        <w:ind w:firstLine="1687" w:firstLineChars="600"/>
        <w:jc w:val="left"/>
        <w:rPr>
          <w:b/>
          <w:bCs/>
          <w:sz w:val="28"/>
          <w:szCs w:val="28"/>
          <w:u w:val="single"/>
        </w:rPr>
      </w:pPr>
      <w:r>
        <w:rPr>
          <w:rFonts w:hint="eastAsia"/>
          <w:b/>
          <w:bCs/>
          <w:sz w:val="28"/>
          <w:szCs w:val="28"/>
        </w:rPr>
        <w:t>招标内容：</w:t>
      </w:r>
      <w:r>
        <w:rPr>
          <w:rFonts w:hint="eastAsia"/>
          <w:bCs/>
          <w:sz w:val="28"/>
          <w:szCs w:val="28"/>
          <w:lang w:eastAsia="zh-CN"/>
        </w:rPr>
        <w:t>市</w:t>
      </w:r>
      <w:r>
        <w:rPr>
          <w:rFonts w:hint="eastAsia"/>
          <w:bCs/>
          <w:sz w:val="28"/>
          <w:szCs w:val="28"/>
        </w:rPr>
        <w:t>医疗集团信息系统</w:t>
      </w:r>
      <w:r>
        <w:rPr>
          <w:rFonts w:hint="eastAsia"/>
          <w:bCs/>
          <w:sz w:val="28"/>
          <w:szCs w:val="28"/>
          <w:lang w:eastAsia="zh-CN"/>
        </w:rPr>
        <w:t>建设（一期）</w:t>
      </w:r>
    </w:p>
    <w:p>
      <w:pPr>
        <w:spacing w:line="360" w:lineRule="auto"/>
        <w:ind w:right="1493" w:rightChars="622"/>
        <w:jc w:val="center"/>
        <w:rPr>
          <w:sz w:val="28"/>
          <w:szCs w:val="28"/>
        </w:rPr>
      </w:pPr>
    </w:p>
    <w:p>
      <w:pPr>
        <w:pStyle w:val="11"/>
        <w:tabs>
          <w:tab w:val="left" w:pos="1418"/>
          <w:tab w:val="left" w:pos="1560"/>
        </w:tabs>
        <w:wordWrap w:val="0"/>
        <w:spacing w:line="360" w:lineRule="auto"/>
        <w:rPr>
          <w:sz w:val="28"/>
          <w:szCs w:val="28"/>
        </w:rPr>
      </w:pPr>
    </w:p>
    <w:p>
      <w:pPr>
        <w:pStyle w:val="11"/>
        <w:spacing w:line="360" w:lineRule="auto"/>
        <w:jc w:val="center"/>
        <w:rPr>
          <w:sz w:val="28"/>
          <w:szCs w:val="28"/>
        </w:rPr>
      </w:pPr>
    </w:p>
    <w:p>
      <w:pPr>
        <w:tabs>
          <w:tab w:val="left" w:pos="8222"/>
        </w:tabs>
        <w:wordWrap w:val="0"/>
        <w:spacing w:line="360" w:lineRule="auto"/>
        <w:ind w:firstLine="1687" w:firstLineChars="600"/>
        <w:jc w:val="left"/>
        <w:rPr>
          <w:rFonts w:hint="eastAsia" w:eastAsia="宋体"/>
          <w:b/>
          <w:sz w:val="28"/>
          <w:szCs w:val="28"/>
          <w:lang w:eastAsia="zh-CN"/>
        </w:rPr>
      </w:pPr>
      <w:r>
        <w:rPr>
          <w:rFonts w:hint="eastAsia"/>
          <w:b/>
          <w:bCs/>
          <w:sz w:val="28"/>
          <w:szCs w:val="28"/>
        </w:rPr>
        <w:t>采购</w:t>
      </w:r>
      <w:r>
        <w:rPr>
          <w:rFonts w:hint="eastAsia"/>
          <w:b/>
          <w:sz w:val="28"/>
          <w:szCs w:val="28"/>
        </w:rPr>
        <w:t>人：</w:t>
      </w:r>
      <w:r>
        <w:rPr>
          <w:rFonts w:hint="eastAsia"/>
          <w:sz w:val="28"/>
          <w:szCs w:val="28"/>
        </w:rPr>
        <w:t>黄冈市</w:t>
      </w:r>
      <w:r>
        <w:rPr>
          <w:rFonts w:hint="eastAsia"/>
          <w:sz w:val="28"/>
          <w:szCs w:val="28"/>
          <w:lang w:eastAsia="zh-CN"/>
        </w:rPr>
        <w:t>中心医院</w:t>
      </w:r>
    </w:p>
    <w:p>
      <w:pPr>
        <w:wordWrap w:val="0"/>
        <w:spacing w:line="360" w:lineRule="auto"/>
        <w:ind w:firstLine="1687" w:firstLineChars="600"/>
        <w:rPr>
          <w:b/>
          <w:sz w:val="28"/>
          <w:szCs w:val="28"/>
        </w:rPr>
      </w:pPr>
      <w:r>
        <w:rPr>
          <w:rFonts w:hint="eastAsia"/>
          <w:b/>
          <w:sz w:val="28"/>
          <w:szCs w:val="28"/>
        </w:rPr>
        <w:t>集中</w:t>
      </w:r>
      <w:r>
        <w:rPr>
          <w:rFonts w:hint="eastAsia"/>
          <w:b/>
          <w:bCs/>
          <w:sz w:val="28"/>
          <w:szCs w:val="28"/>
        </w:rPr>
        <w:t>采购</w:t>
      </w:r>
      <w:r>
        <w:rPr>
          <w:rFonts w:hint="eastAsia"/>
          <w:b/>
          <w:sz w:val="28"/>
          <w:szCs w:val="28"/>
        </w:rPr>
        <w:t>机构：</w:t>
      </w:r>
      <w:r>
        <w:rPr>
          <w:rFonts w:hint="eastAsia"/>
          <w:sz w:val="28"/>
          <w:szCs w:val="28"/>
        </w:rPr>
        <w:t>黄冈市政府采购中心</w:t>
      </w:r>
    </w:p>
    <w:p>
      <w:pPr>
        <w:pStyle w:val="18"/>
        <w:tabs>
          <w:tab w:val="clear" w:pos="4153"/>
          <w:tab w:val="clear" w:pos="8306"/>
        </w:tabs>
        <w:wordWrap w:val="0"/>
        <w:spacing w:line="360" w:lineRule="auto"/>
        <w:jc w:val="center"/>
        <w:rPr>
          <w:b/>
          <w:sz w:val="32"/>
          <w:szCs w:val="32"/>
        </w:rPr>
      </w:pPr>
    </w:p>
    <w:p>
      <w:pPr>
        <w:pStyle w:val="18"/>
        <w:tabs>
          <w:tab w:val="left" w:pos="1418"/>
          <w:tab w:val="left" w:pos="1701"/>
          <w:tab w:val="left" w:pos="1843"/>
          <w:tab w:val="left" w:pos="1985"/>
          <w:tab w:val="clear" w:pos="4153"/>
          <w:tab w:val="clear" w:pos="8306"/>
        </w:tabs>
        <w:wordWrap w:val="0"/>
        <w:jc w:val="center"/>
        <w:rPr>
          <w:rFonts w:asciiTheme="majorEastAsia" w:hAnsiTheme="majorEastAsia" w:eastAsiaTheme="majorEastAsia"/>
          <w:b/>
          <w:sz w:val="28"/>
          <w:szCs w:val="28"/>
        </w:rPr>
      </w:pPr>
      <w:bookmarkStart w:id="0" w:name="_Toc511894492"/>
      <w:bookmarkStart w:id="1" w:name="_Toc511889414"/>
      <w:r>
        <w:rPr>
          <w:rFonts w:hint="eastAsia" w:asciiTheme="majorEastAsia" w:hAnsiTheme="majorEastAsia" w:eastAsiaTheme="majorEastAsia"/>
          <w:b/>
          <w:sz w:val="32"/>
          <w:szCs w:val="32"/>
        </w:rPr>
        <w:t xml:space="preserve"> </w:t>
      </w:r>
      <w:r>
        <w:rPr>
          <w:rFonts w:hint="eastAsia" w:asciiTheme="majorEastAsia" w:hAnsiTheme="majorEastAsia" w:eastAsiaTheme="majorEastAsia"/>
          <w:b/>
          <w:sz w:val="28"/>
          <w:szCs w:val="28"/>
        </w:rPr>
        <w:t xml:space="preserve"> 二〇二四年</w:t>
      </w:r>
    </w:p>
    <w:p>
      <w:pPr>
        <w:pStyle w:val="18"/>
        <w:tabs>
          <w:tab w:val="left" w:pos="1418"/>
          <w:tab w:val="left" w:pos="1701"/>
          <w:tab w:val="left" w:pos="1843"/>
          <w:tab w:val="left" w:pos="1985"/>
          <w:tab w:val="clear" w:pos="4153"/>
          <w:tab w:val="clear" w:pos="8306"/>
        </w:tabs>
        <w:wordWrap w:val="0"/>
        <w:jc w:val="both"/>
        <w:rPr>
          <w:rFonts w:asciiTheme="majorEastAsia" w:hAnsiTheme="majorEastAsia" w:eastAsiaTheme="majorEastAsia"/>
          <w:b/>
          <w:sz w:val="28"/>
          <w:szCs w:val="28"/>
        </w:rPr>
      </w:pPr>
    </w:p>
    <w:p>
      <w:pPr>
        <w:pStyle w:val="18"/>
        <w:tabs>
          <w:tab w:val="left" w:pos="1418"/>
          <w:tab w:val="left" w:pos="1701"/>
          <w:tab w:val="left" w:pos="1843"/>
          <w:tab w:val="left" w:pos="1985"/>
          <w:tab w:val="clear" w:pos="4153"/>
          <w:tab w:val="clear" w:pos="8306"/>
        </w:tabs>
        <w:wordWrap w:val="0"/>
        <w:ind w:right="240"/>
        <w:jc w:val="right"/>
        <w:rPr>
          <w:rFonts w:asciiTheme="majorEastAsia" w:hAnsiTheme="majorEastAsia" w:eastAsiaTheme="majorEastAsia"/>
          <w:sz w:val="24"/>
          <w:szCs w:val="24"/>
        </w:rPr>
      </w:pPr>
      <w:r>
        <w:rPr>
          <w:sz w:val="24"/>
          <w:szCs w:val="24"/>
        </w:rPr>
        <w:t>全流程电子化1.0版</w:t>
      </w:r>
    </w:p>
    <w:p>
      <w:pPr>
        <w:pStyle w:val="11"/>
        <w:jc w:val="right"/>
        <w:sectPr>
          <w:headerReference r:id="rId3" w:type="default"/>
          <w:headerReference r:id="rId4" w:type="even"/>
          <w:pgSz w:w="11906" w:h="16838"/>
          <w:pgMar w:top="1134" w:right="1191" w:bottom="1134" w:left="1191" w:header="851" w:footer="992" w:gutter="0"/>
          <w:pgBorders>
            <w:top w:val="none" w:sz="0" w:space="0"/>
            <w:left w:val="none" w:sz="0" w:space="0"/>
            <w:bottom w:val="none" w:sz="0" w:space="0"/>
            <w:right w:val="none" w:sz="0" w:space="0"/>
          </w:pgBorders>
          <w:cols w:space="425" w:num="1"/>
          <w:docGrid w:type="lines" w:linePitch="312" w:charSpace="0"/>
        </w:sectPr>
      </w:pPr>
    </w:p>
    <w:p>
      <w:pPr>
        <w:pStyle w:val="11"/>
        <w:jc w:val="center"/>
        <w:rPr>
          <w:b/>
          <w:bCs/>
          <w:sz w:val="36"/>
          <w:szCs w:val="36"/>
        </w:rPr>
      </w:pPr>
      <w:r>
        <w:rPr>
          <w:rFonts w:hint="eastAsia"/>
          <w:b/>
          <w:bCs/>
          <w:sz w:val="36"/>
          <w:szCs w:val="36"/>
        </w:rPr>
        <w:t>目    录</w:t>
      </w:r>
    </w:p>
    <w:sdt>
      <w:sdtPr>
        <w:rPr>
          <w:b w:val="0"/>
          <w:iCs/>
          <w:szCs w:val="24"/>
        </w:rPr>
        <w:id w:val="-2069564089"/>
        <w:docPartObj>
          <w:docPartGallery w:val="Table of Contents"/>
          <w:docPartUnique/>
        </w:docPartObj>
      </w:sdtPr>
      <w:sdtEndPr>
        <w:rPr>
          <w:b/>
          <w:bCs w:val="0"/>
          <w:iCs w:val="0"/>
          <w:szCs w:val="24"/>
        </w:rPr>
      </w:sdtEndPr>
      <w:sdtContent>
        <w:p>
          <w:pPr>
            <w:pStyle w:val="20"/>
            <w:tabs>
              <w:tab w:val="left" w:pos="1050"/>
              <w:tab w:val="right" w:leader="dot" w:pos="9514"/>
            </w:tabs>
            <w:rPr>
              <w:rFonts w:ascii="宋体" w:hAnsi="宋体" w:eastAsia="宋体" w:cs="Times New Roman"/>
              <w:b w:val="0"/>
              <w:bCs/>
              <w:i w:val="0"/>
              <w:iCs/>
              <w:caps/>
              <w:color w:val="auto"/>
              <w:sz w:val="24"/>
              <w:szCs w:val="24"/>
              <w:lang w:val="en-US" w:eastAsia="zh-CN" w:bidi="ar-SA"/>
            </w:rPr>
          </w:pPr>
          <w:r>
            <w:rPr>
              <w:b w:val="0"/>
              <w:iCs/>
              <w:szCs w:val="24"/>
            </w:rPr>
            <w:fldChar w:fldCharType="begin"/>
          </w:r>
          <w:r>
            <w:rPr>
              <w:b w:val="0"/>
              <w:iCs/>
              <w:szCs w:val="24"/>
            </w:rPr>
            <w:instrText xml:space="preserve"> TOC \o "1-2" \h \z \u </w:instrText>
          </w:r>
          <w:r>
            <w:rPr>
              <w:b w:val="0"/>
              <w:iCs/>
              <w:szCs w:val="24"/>
            </w:rPr>
            <w:fldChar w:fldCharType="separate"/>
          </w:r>
        </w:p>
        <w:p>
          <w:pPr>
            <w:pStyle w:val="20"/>
            <w:tabs>
              <w:tab w:val="right" w:leader="dot" w:pos="9524"/>
            </w:tabs>
          </w:pPr>
          <w:r>
            <w:rPr>
              <w:iCs/>
              <w:szCs w:val="24"/>
            </w:rPr>
            <w:fldChar w:fldCharType="begin"/>
          </w:r>
          <w:r>
            <w:rPr>
              <w:iCs/>
              <w:szCs w:val="24"/>
            </w:rPr>
            <w:instrText xml:space="preserve"> HYPERLINK \l _Toc22343 </w:instrText>
          </w:r>
          <w:r>
            <w:rPr>
              <w:iCs/>
              <w:szCs w:val="24"/>
            </w:rPr>
            <w:fldChar w:fldCharType="separate"/>
          </w:r>
          <w:r>
            <w:rPr>
              <w:rFonts w:hint="eastAsia"/>
              <w:szCs w:val="36"/>
            </w:rPr>
            <w:t>第一章 投标邀请</w:t>
          </w:r>
          <w:r>
            <w:tab/>
          </w:r>
          <w:r>
            <w:fldChar w:fldCharType="begin"/>
          </w:r>
          <w:r>
            <w:instrText xml:space="preserve"> PAGEREF _Toc22343 \h </w:instrText>
          </w:r>
          <w:r>
            <w:fldChar w:fldCharType="separate"/>
          </w:r>
          <w:r>
            <w:t>1</w:t>
          </w:r>
          <w:r>
            <w:fldChar w:fldCharType="end"/>
          </w:r>
          <w:r>
            <w:rPr>
              <w:iCs/>
              <w:szCs w:val="24"/>
            </w:rPr>
            <w:fldChar w:fldCharType="end"/>
          </w:r>
        </w:p>
        <w:p>
          <w:pPr>
            <w:pStyle w:val="20"/>
            <w:tabs>
              <w:tab w:val="right" w:leader="dot" w:pos="9524"/>
            </w:tabs>
          </w:pPr>
          <w:r>
            <w:rPr>
              <w:iCs/>
              <w:szCs w:val="24"/>
            </w:rPr>
            <w:fldChar w:fldCharType="begin"/>
          </w:r>
          <w:r>
            <w:rPr>
              <w:iCs/>
              <w:szCs w:val="24"/>
            </w:rPr>
            <w:instrText xml:space="preserve"> HYPERLINK \l _Toc4201 </w:instrText>
          </w:r>
          <w:r>
            <w:rPr>
              <w:iCs/>
              <w:szCs w:val="24"/>
            </w:rPr>
            <w:fldChar w:fldCharType="separate"/>
          </w:r>
          <w:r>
            <w:rPr>
              <w:rFonts w:hint="eastAsia"/>
              <w:szCs w:val="36"/>
            </w:rPr>
            <w:t>第二章 投标人须知</w:t>
          </w:r>
          <w:r>
            <w:tab/>
          </w:r>
          <w:r>
            <w:fldChar w:fldCharType="begin"/>
          </w:r>
          <w:r>
            <w:instrText xml:space="preserve"> PAGEREF _Toc4201 \h </w:instrText>
          </w:r>
          <w:r>
            <w:fldChar w:fldCharType="separate"/>
          </w:r>
          <w:r>
            <w:t>4</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_Toc25601 </w:instrText>
          </w:r>
          <w:r>
            <w:rPr>
              <w:iCs/>
              <w:szCs w:val="24"/>
            </w:rPr>
            <w:fldChar w:fldCharType="separate"/>
          </w:r>
          <w:r>
            <w:rPr>
              <w:szCs w:val="28"/>
              <w:lang w:val="zh-CN"/>
            </w:rPr>
            <w:t>投标人须知前附表</w:t>
          </w:r>
          <w:r>
            <w:tab/>
          </w:r>
          <w:r>
            <w:fldChar w:fldCharType="begin"/>
          </w:r>
          <w:r>
            <w:instrText xml:space="preserve"> PAGEREF _Toc25601 \h </w:instrText>
          </w:r>
          <w:r>
            <w:fldChar w:fldCharType="separate"/>
          </w:r>
          <w:r>
            <w:t>4</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_Toc12975 </w:instrText>
          </w:r>
          <w:r>
            <w:rPr>
              <w:iCs/>
              <w:szCs w:val="24"/>
            </w:rPr>
            <w:fldChar w:fldCharType="separate"/>
          </w:r>
          <w:r>
            <w:rPr>
              <w:rFonts w:hint="eastAsia" w:ascii="宋体" w:hAnsi="宋体" w:eastAsia="宋体" w:cs="宋体"/>
              <w:bCs w:val="0"/>
              <w:szCs w:val="28"/>
              <w:lang w:val="zh-CN"/>
            </w:rPr>
            <w:t xml:space="preserve">一、 </w:t>
          </w:r>
          <w:r>
            <w:rPr>
              <w:rFonts w:hint="eastAsia" w:ascii="宋体" w:hAnsi="宋体" w:eastAsia="宋体" w:cs="Times New Roman"/>
              <w:bCs w:val="0"/>
              <w:szCs w:val="28"/>
              <w:lang w:val="zh-CN"/>
            </w:rPr>
            <w:t>总  则</w:t>
          </w:r>
          <w:r>
            <w:tab/>
          </w:r>
          <w:r>
            <w:fldChar w:fldCharType="begin"/>
          </w:r>
          <w:r>
            <w:instrText xml:space="preserve"> PAGEREF _Toc12975 \h </w:instrText>
          </w:r>
          <w:r>
            <w:fldChar w:fldCharType="separate"/>
          </w:r>
          <w:r>
            <w:t>7</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_Toc22266 </w:instrText>
          </w:r>
          <w:r>
            <w:rPr>
              <w:iCs/>
              <w:szCs w:val="24"/>
            </w:rPr>
            <w:fldChar w:fldCharType="separate"/>
          </w:r>
          <w:r>
            <w:rPr>
              <w:rFonts w:hint="eastAsia" w:ascii="宋体" w:hAnsi="宋体" w:eastAsia="宋体" w:cs="宋体"/>
              <w:bCs w:val="0"/>
              <w:szCs w:val="28"/>
              <w:lang w:val="zh-CN"/>
            </w:rPr>
            <w:t xml:space="preserve">二、 </w:t>
          </w:r>
          <w:r>
            <w:rPr>
              <w:rFonts w:hint="eastAsia" w:ascii="宋体" w:hAnsi="宋体" w:eastAsia="宋体" w:cs="Times New Roman"/>
              <w:bCs w:val="0"/>
              <w:szCs w:val="28"/>
              <w:lang w:val="zh-CN"/>
            </w:rPr>
            <w:t>招标文件</w:t>
          </w:r>
          <w:r>
            <w:tab/>
          </w:r>
          <w:r>
            <w:fldChar w:fldCharType="begin"/>
          </w:r>
          <w:r>
            <w:instrText xml:space="preserve"> PAGEREF _Toc22266 \h </w:instrText>
          </w:r>
          <w:r>
            <w:fldChar w:fldCharType="separate"/>
          </w:r>
          <w:r>
            <w:t>10</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_Toc13064 </w:instrText>
          </w:r>
          <w:r>
            <w:rPr>
              <w:iCs/>
              <w:szCs w:val="24"/>
            </w:rPr>
            <w:fldChar w:fldCharType="separate"/>
          </w:r>
          <w:r>
            <w:rPr>
              <w:rFonts w:hint="eastAsia" w:ascii="宋体" w:hAnsi="宋体" w:eastAsia="宋体" w:cs="宋体"/>
              <w:bCs w:val="0"/>
              <w:szCs w:val="28"/>
              <w:lang w:val="zh-CN"/>
            </w:rPr>
            <w:t xml:space="preserve">三、 </w:t>
          </w:r>
          <w:r>
            <w:rPr>
              <w:rFonts w:hint="eastAsia" w:ascii="宋体" w:hAnsi="宋体" w:eastAsia="宋体" w:cs="Times New Roman"/>
              <w:bCs w:val="0"/>
              <w:szCs w:val="28"/>
              <w:lang w:val="zh-CN"/>
            </w:rPr>
            <w:t>投标文件</w:t>
          </w:r>
          <w:r>
            <w:tab/>
          </w:r>
          <w:r>
            <w:fldChar w:fldCharType="begin"/>
          </w:r>
          <w:r>
            <w:instrText xml:space="preserve"> PAGEREF _Toc13064 \h </w:instrText>
          </w:r>
          <w:r>
            <w:fldChar w:fldCharType="separate"/>
          </w:r>
          <w:r>
            <w:t>12</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_Toc5698 </w:instrText>
          </w:r>
          <w:r>
            <w:rPr>
              <w:iCs/>
              <w:szCs w:val="24"/>
            </w:rPr>
            <w:fldChar w:fldCharType="separate"/>
          </w:r>
          <w:r>
            <w:rPr>
              <w:rFonts w:hint="eastAsia" w:ascii="宋体" w:hAnsi="宋体" w:eastAsia="宋体" w:cs="宋体"/>
              <w:bCs w:val="0"/>
              <w:szCs w:val="28"/>
              <w:lang w:val="zh-CN"/>
            </w:rPr>
            <w:t xml:space="preserve">四、 </w:t>
          </w:r>
          <w:r>
            <w:rPr>
              <w:rFonts w:hint="eastAsia" w:ascii="宋体" w:hAnsi="宋体" w:eastAsia="宋体" w:cs="Times New Roman"/>
              <w:bCs w:val="0"/>
              <w:szCs w:val="28"/>
              <w:lang w:val="zh-CN"/>
            </w:rPr>
            <w:t>开标与评标</w:t>
          </w:r>
          <w:r>
            <w:tab/>
          </w:r>
          <w:r>
            <w:fldChar w:fldCharType="begin"/>
          </w:r>
          <w:r>
            <w:instrText xml:space="preserve"> PAGEREF _Toc5698 \h </w:instrText>
          </w:r>
          <w:r>
            <w:fldChar w:fldCharType="separate"/>
          </w:r>
          <w:r>
            <w:t>15</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_Toc20441 </w:instrText>
          </w:r>
          <w:r>
            <w:rPr>
              <w:iCs/>
              <w:szCs w:val="24"/>
            </w:rPr>
            <w:fldChar w:fldCharType="separate"/>
          </w:r>
          <w:r>
            <w:rPr>
              <w:rFonts w:hint="eastAsia" w:ascii="宋体" w:hAnsi="宋体" w:eastAsia="宋体" w:cs="宋体"/>
              <w:bCs w:val="0"/>
              <w:szCs w:val="28"/>
              <w:lang w:val="zh-CN"/>
            </w:rPr>
            <w:t xml:space="preserve">五、 </w:t>
          </w:r>
          <w:r>
            <w:rPr>
              <w:rFonts w:ascii="宋体" w:hAnsi="宋体" w:eastAsia="宋体" w:cs="Times New Roman"/>
              <w:bCs w:val="0"/>
              <w:szCs w:val="28"/>
              <w:lang w:val="zh-CN"/>
            </w:rPr>
            <w:t>中标</w:t>
          </w:r>
          <w:r>
            <w:rPr>
              <w:rFonts w:hint="eastAsia" w:ascii="宋体" w:hAnsi="宋体" w:eastAsia="宋体" w:cs="Times New Roman"/>
              <w:bCs w:val="0"/>
              <w:szCs w:val="28"/>
              <w:lang w:val="zh-CN"/>
            </w:rPr>
            <w:t>与</w:t>
          </w:r>
          <w:r>
            <w:rPr>
              <w:rFonts w:ascii="宋体" w:hAnsi="宋体" w:eastAsia="宋体" w:cs="Times New Roman"/>
              <w:bCs w:val="0"/>
              <w:szCs w:val="28"/>
              <w:lang w:val="zh-CN"/>
            </w:rPr>
            <w:t>合同</w:t>
          </w:r>
          <w:r>
            <w:tab/>
          </w:r>
          <w:r>
            <w:fldChar w:fldCharType="begin"/>
          </w:r>
          <w:r>
            <w:instrText xml:space="preserve"> PAGEREF _Toc20441 \h </w:instrText>
          </w:r>
          <w:r>
            <w:fldChar w:fldCharType="separate"/>
          </w:r>
          <w:r>
            <w:t>17</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_Toc23795 </w:instrText>
          </w:r>
          <w:r>
            <w:rPr>
              <w:iCs/>
              <w:szCs w:val="24"/>
            </w:rPr>
            <w:fldChar w:fldCharType="separate"/>
          </w:r>
          <w:r>
            <w:rPr>
              <w:rFonts w:hint="eastAsia" w:ascii="宋体" w:hAnsi="宋体" w:eastAsia="宋体" w:cs="宋体"/>
              <w:bCs w:val="0"/>
              <w:szCs w:val="28"/>
              <w:lang w:val="zh-CN"/>
            </w:rPr>
            <w:t xml:space="preserve">六、 </w:t>
          </w:r>
          <w:r>
            <w:rPr>
              <w:rFonts w:hint="eastAsia" w:ascii="宋体" w:hAnsi="宋体" w:eastAsia="宋体" w:cs="Times New Roman"/>
              <w:bCs w:val="0"/>
              <w:szCs w:val="28"/>
              <w:lang w:val="zh-CN"/>
            </w:rPr>
            <w:t>询问与质疑</w:t>
          </w:r>
          <w:r>
            <w:tab/>
          </w:r>
          <w:r>
            <w:fldChar w:fldCharType="begin"/>
          </w:r>
          <w:r>
            <w:instrText xml:space="preserve"> PAGEREF _Toc23795 \h </w:instrText>
          </w:r>
          <w:r>
            <w:fldChar w:fldCharType="separate"/>
          </w:r>
          <w:r>
            <w:t>18</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_Toc7413 </w:instrText>
          </w:r>
          <w:r>
            <w:rPr>
              <w:iCs/>
              <w:szCs w:val="24"/>
            </w:rPr>
            <w:fldChar w:fldCharType="separate"/>
          </w:r>
          <w:r>
            <w:rPr>
              <w:rFonts w:hint="eastAsia" w:ascii="宋体" w:hAnsi="宋体" w:eastAsia="宋体" w:cs="宋体"/>
              <w:bCs w:val="0"/>
              <w:szCs w:val="28"/>
              <w:lang w:val="zh-CN"/>
            </w:rPr>
            <w:t xml:space="preserve">七、 </w:t>
          </w:r>
          <w:r>
            <w:rPr>
              <w:rFonts w:hint="eastAsia" w:ascii="宋体" w:hAnsi="宋体" w:eastAsia="宋体" w:cs="Times New Roman"/>
              <w:bCs w:val="0"/>
              <w:szCs w:val="28"/>
              <w:lang w:val="zh-CN"/>
            </w:rPr>
            <w:t>政府采购政策</w:t>
          </w:r>
          <w:r>
            <w:tab/>
          </w:r>
          <w:r>
            <w:fldChar w:fldCharType="begin"/>
          </w:r>
          <w:r>
            <w:instrText xml:space="preserve"> PAGEREF _Toc7413 \h </w:instrText>
          </w:r>
          <w:r>
            <w:fldChar w:fldCharType="separate"/>
          </w:r>
          <w:r>
            <w:t>19</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_Toc10291 </w:instrText>
          </w:r>
          <w:r>
            <w:rPr>
              <w:iCs/>
              <w:szCs w:val="24"/>
            </w:rPr>
            <w:fldChar w:fldCharType="separate"/>
          </w:r>
          <w:r>
            <w:rPr>
              <w:rFonts w:hint="eastAsia" w:ascii="宋体" w:hAnsi="宋体" w:eastAsia="宋体" w:cs="宋体"/>
              <w:bCs w:val="0"/>
              <w:szCs w:val="28"/>
              <w:lang w:val="zh-CN"/>
            </w:rPr>
            <w:t xml:space="preserve">八、 </w:t>
          </w:r>
          <w:r>
            <w:rPr>
              <w:rFonts w:hint="eastAsia" w:ascii="宋体" w:hAnsi="宋体" w:eastAsia="宋体" w:cs="Times New Roman"/>
              <w:bCs w:val="0"/>
              <w:szCs w:val="28"/>
              <w:lang w:val="zh-CN"/>
            </w:rPr>
            <w:t>其  它</w:t>
          </w:r>
          <w:r>
            <w:tab/>
          </w:r>
          <w:r>
            <w:fldChar w:fldCharType="begin"/>
          </w:r>
          <w:r>
            <w:instrText xml:space="preserve"> PAGEREF _Toc10291 \h </w:instrText>
          </w:r>
          <w:r>
            <w:fldChar w:fldCharType="separate"/>
          </w:r>
          <w:r>
            <w:t>20</w:t>
          </w:r>
          <w:r>
            <w:fldChar w:fldCharType="end"/>
          </w:r>
          <w:r>
            <w:rPr>
              <w:iCs/>
              <w:szCs w:val="24"/>
            </w:rPr>
            <w:fldChar w:fldCharType="end"/>
          </w:r>
        </w:p>
        <w:p>
          <w:pPr>
            <w:pStyle w:val="20"/>
            <w:tabs>
              <w:tab w:val="right" w:leader="dot" w:pos="9524"/>
            </w:tabs>
          </w:pPr>
          <w:r>
            <w:rPr>
              <w:iCs/>
              <w:szCs w:val="24"/>
            </w:rPr>
            <w:fldChar w:fldCharType="begin"/>
          </w:r>
          <w:r>
            <w:rPr>
              <w:iCs/>
              <w:szCs w:val="24"/>
            </w:rPr>
            <w:instrText xml:space="preserve"> HYPERLINK \l _Toc24858 </w:instrText>
          </w:r>
          <w:r>
            <w:rPr>
              <w:iCs/>
              <w:szCs w:val="24"/>
            </w:rPr>
            <w:fldChar w:fldCharType="separate"/>
          </w:r>
          <w:r>
            <w:rPr>
              <w:rFonts w:hint="eastAsia"/>
              <w:szCs w:val="36"/>
            </w:rPr>
            <w:t>第三章 采购需求</w:t>
          </w:r>
          <w:r>
            <w:tab/>
          </w:r>
          <w:r>
            <w:fldChar w:fldCharType="begin"/>
          </w:r>
          <w:r>
            <w:instrText xml:space="preserve"> PAGEREF _Toc24858 \h </w:instrText>
          </w:r>
          <w:r>
            <w:fldChar w:fldCharType="separate"/>
          </w:r>
          <w:r>
            <w:t>21</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_Toc12588 </w:instrText>
          </w:r>
          <w:r>
            <w:rPr>
              <w:iCs/>
              <w:szCs w:val="24"/>
            </w:rPr>
            <w:fldChar w:fldCharType="separate"/>
          </w:r>
          <w:r>
            <w:rPr>
              <w:rFonts w:hint="eastAsia" w:ascii="宋体" w:hAnsi="宋体" w:eastAsia="宋体" w:cs="Times New Roman"/>
              <w:bCs w:val="0"/>
              <w:szCs w:val="28"/>
              <w:lang w:val="zh-CN"/>
            </w:rPr>
            <w:t>一、 采购清单</w:t>
          </w:r>
          <w:r>
            <w:tab/>
          </w:r>
          <w:r>
            <w:fldChar w:fldCharType="begin"/>
          </w:r>
          <w:r>
            <w:instrText xml:space="preserve"> PAGEREF _Toc12588 \h </w:instrText>
          </w:r>
          <w:r>
            <w:fldChar w:fldCharType="separate"/>
          </w:r>
          <w:r>
            <w:t>21</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_Toc28817 </w:instrText>
          </w:r>
          <w:r>
            <w:rPr>
              <w:iCs/>
              <w:szCs w:val="24"/>
            </w:rPr>
            <w:fldChar w:fldCharType="separate"/>
          </w:r>
          <w:r>
            <w:rPr>
              <w:rFonts w:hint="eastAsia" w:ascii="宋体" w:hAnsi="宋体" w:eastAsia="宋体" w:cs="Times New Roman"/>
              <w:bCs w:val="0"/>
              <w:szCs w:val="28"/>
              <w:lang w:val="zh-CN"/>
            </w:rPr>
            <w:t>二、 概述及简介</w:t>
          </w:r>
          <w:r>
            <w:tab/>
          </w:r>
          <w:r>
            <w:fldChar w:fldCharType="begin"/>
          </w:r>
          <w:r>
            <w:instrText xml:space="preserve"> PAGEREF _Toc28817 \h </w:instrText>
          </w:r>
          <w:r>
            <w:fldChar w:fldCharType="separate"/>
          </w:r>
          <w:r>
            <w:t>21</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_Toc963 </w:instrText>
          </w:r>
          <w:r>
            <w:rPr>
              <w:iCs/>
              <w:szCs w:val="24"/>
            </w:rPr>
            <w:fldChar w:fldCharType="separate"/>
          </w:r>
          <w:r>
            <w:rPr>
              <w:rFonts w:hint="eastAsia" w:ascii="宋体" w:hAnsi="宋体" w:eastAsia="宋体" w:cs="Times New Roman"/>
              <w:bCs w:val="0"/>
              <w:szCs w:val="28"/>
              <w:lang w:val="zh-CN"/>
            </w:rPr>
            <w:t>三、 执行的相关标准、规范</w:t>
          </w:r>
          <w:r>
            <w:tab/>
          </w:r>
          <w:r>
            <w:fldChar w:fldCharType="begin"/>
          </w:r>
          <w:r>
            <w:instrText xml:space="preserve"> PAGEREF _Toc963 \h </w:instrText>
          </w:r>
          <w:r>
            <w:fldChar w:fldCharType="separate"/>
          </w:r>
          <w:r>
            <w:t>21</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_Toc30076 </w:instrText>
          </w:r>
          <w:r>
            <w:rPr>
              <w:iCs/>
              <w:szCs w:val="24"/>
            </w:rPr>
            <w:fldChar w:fldCharType="separate"/>
          </w:r>
          <w:r>
            <w:rPr>
              <w:rFonts w:hint="eastAsia" w:ascii="宋体" w:hAnsi="宋体" w:eastAsia="宋体" w:cs="Times New Roman"/>
              <w:bCs w:val="0"/>
              <w:szCs w:val="28"/>
              <w:lang w:val="zh-CN"/>
            </w:rPr>
            <w:t>四、 技术要求</w:t>
          </w:r>
          <w:r>
            <w:tab/>
          </w:r>
          <w:r>
            <w:fldChar w:fldCharType="begin"/>
          </w:r>
          <w:r>
            <w:instrText xml:space="preserve"> PAGEREF _Toc30076 \h </w:instrText>
          </w:r>
          <w:r>
            <w:fldChar w:fldCharType="separate"/>
          </w:r>
          <w:r>
            <w:t>22</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_Toc26 </w:instrText>
          </w:r>
          <w:r>
            <w:rPr>
              <w:iCs/>
              <w:szCs w:val="24"/>
            </w:rPr>
            <w:fldChar w:fldCharType="separate"/>
          </w:r>
          <w:r>
            <w:rPr>
              <w:rFonts w:hint="eastAsia" w:ascii="宋体" w:hAnsi="宋体" w:eastAsia="宋体" w:cstheme="minorBidi"/>
              <w:bCs w:val="0"/>
              <w:szCs w:val="28"/>
            </w:rPr>
            <w:t xml:space="preserve">五、 </w:t>
          </w:r>
          <w:r>
            <w:rPr>
              <w:rFonts w:hint="eastAsia" w:ascii="宋体" w:hAnsi="宋体" w:eastAsia="宋体" w:cs="Times New Roman"/>
              <w:bCs w:val="0"/>
              <w:szCs w:val="28"/>
              <w:lang w:val="zh-CN"/>
            </w:rPr>
            <w:t>商务要求</w:t>
          </w:r>
          <w:r>
            <w:tab/>
          </w:r>
          <w:r>
            <w:fldChar w:fldCharType="begin"/>
          </w:r>
          <w:r>
            <w:instrText xml:space="preserve"> PAGEREF _Toc26 \h </w:instrText>
          </w:r>
          <w:r>
            <w:fldChar w:fldCharType="separate"/>
          </w:r>
          <w:r>
            <w:t>73</w:t>
          </w:r>
          <w:r>
            <w:fldChar w:fldCharType="end"/>
          </w:r>
          <w:r>
            <w:rPr>
              <w:iCs/>
              <w:szCs w:val="24"/>
            </w:rPr>
            <w:fldChar w:fldCharType="end"/>
          </w:r>
        </w:p>
        <w:p>
          <w:pPr>
            <w:pStyle w:val="20"/>
            <w:tabs>
              <w:tab w:val="right" w:leader="dot" w:pos="9524"/>
            </w:tabs>
          </w:pPr>
          <w:r>
            <w:rPr>
              <w:iCs/>
              <w:szCs w:val="24"/>
            </w:rPr>
            <w:fldChar w:fldCharType="begin"/>
          </w:r>
          <w:r>
            <w:rPr>
              <w:iCs/>
              <w:szCs w:val="24"/>
            </w:rPr>
            <w:instrText xml:space="preserve"> HYPERLINK \l _Toc23504 </w:instrText>
          </w:r>
          <w:r>
            <w:rPr>
              <w:iCs/>
              <w:szCs w:val="24"/>
            </w:rPr>
            <w:fldChar w:fldCharType="separate"/>
          </w:r>
          <w:r>
            <w:rPr>
              <w:rFonts w:hint="eastAsia"/>
              <w:szCs w:val="36"/>
            </w:rPr>
            <w:t>第四章 资格审查</w:t>
          </w:r>
          <w:r>
            <w:tab/>
          </w:r>
          <w:r>
            <w:fldChar w:fldCharType="begin"/>
          </w:r>
          <w:r>
            <w:instrText xml:space="preserve"> PAGEREF _Toc23504 \h </w:instrText>
          </w:r>
          <w:r>
            <w:fldChar w:fldCharType="separate"/>
          </w:r>
          <w:r>
            <w:t>79</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_Toc17705 </w:instrText>
          </w:r>
          <w:r>
            <w:rPr>
              <w:iCs/>
              <w:szCs w:val="24"/>
            </w:rPr>
            <w:fldChar w:fldCharType="separate"/>
          </w:r>
          <w:r>
            <w:rPr>
              <w:rFonts w:hint="eastAsia" w:ascii="宋体" w:hAnsi="宋体" w:eastAsia="宋体" w:cs="Times New Roman"/>
              <w:bCs w:val="0"/>
              <w:szCs w:val="28"/>
              <w:lang w:val="zh-CN"/>
            </w:rPr>
            <w:t>一、 资格审查方法</w:t>
          </w:r>
          <w:r>
            <w:tab/>
          </w:r>
          <w:r>
            <w:fldChar w:fldCharType="begin"/>
          </w:r>
          <w:r>
            <w:instrText xml:space="preserve"> PAGEREF _Toc17705 \h </w:instrText>
          </w:r>
          <w:r>
            <w:fldChar w:fldCharType="separate"/>
          </w:r>
          <w:r>
            <w:t>79</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_Toc1569 </w:instrText>
          </w:r>
          <w:r>
            <w:rPr>
              <w:iCs/>
              <w:szCs w:val="24"/>
            </w:rPr>
            <w:fldChar w:fldCharType="separate"/>
          </w:r>
          <w:r>
            <w:rPr>
              <w:rFonts w:hint="eastAsia" w:ascii="宋体" w:hAnsi="宋体" w:eastAsia="宋体" w:cs="Times New Roman"/>
              <w:bCs w:val="0"/>
              <w:szCs w:val="28"/>
              <w:lang w:val="zh-CN"/>
            </w:rPr>
            <w:t>二、 资格审查程序</w:t>
          </w:r>
          <w:r>
            <w:tab/>
          </w:r>
          <w:r>
            <w:fldChar w:fldCharType="begin"/>
          </w:r>
          <w:r>
            <w:instrText xml:space="preserve"> PAGEREF _Toc1569 \h </w:instrText>
          </w:r>
          <w:r>
            <w:fldChar w:fldCharType="separate"/>
          </w:r>
          <w:r>
            <w:t>79</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_Toc13537 </w:instrText>
          </w:r>
          <w:r>
            <w:rPr>
              <w:iCs/>
              <w:szCs w:val="24"/>
            </w:rPr>
            <w:fldChar w:fldCharType="separate"/>
          </w:r>
          <w:r>
            <w:rPr>
              <w:rFonts w:hint="eastAsia" w:ascii="宋体" w:hAnsi="宋体" w:eastAsia="宋体" w:cs="Times New Roman"/>
              <w:bCs w:val="0"/>
              <w:szCs w:val="28"/>
              <w:lang w:val="zh-CN"/>
            </w:rPr>
            <w:t>三、 资格审查标准</w:t>
          </w:r>
          <w:r>
            <w:tab/>
          </w:r>
          <w:r>
            <w:fldChar w:fldCharType="begin"/>
          </w:r>
          <w:r>
            <w:instrText xml:space="preserve"> PAGEREF _Toc13537 \h </w:instrText>
          </w:r>
          <w:r>
            <w:fldChar w:fldCharType="separate"/>
          </w:r>
          <w:r>
            <w:t>79</w:t>
          </w:r>
          <w:r>
            <w:fldChar w:fldCharType="end"/>
          </w:r>
          <w:r>
            <w:rPr>
              <w:iCs/>
              <w:szCs w:val="24"/>
            </w:rPr>
            <w:fldChar w:fldCharType="end"/>
          </w:r>
        </w:p>
        <w:p>
          <w:pPr>
            <w:pStyle w:val="20"/>
            <w:tabs>
              <w:tab w:val="right" w:leader="dot" w:pos="9524"/>
            </w:tabs>
          </w:pPr>
          <w:r>
            <w:rPr>
              <w:iCs/>
              <w:szCs w:val="24"/>
            </w:rPr>
            <w:fldChar w:fldCharType="begin"/>
          </w:r>
          <w:r>
            <w:rPr>
              <w:iCs/>
              <w:szCs w:val="24"/>
            </w:rPr>
            <w:instrText xml:space="preserve"> HYPERLINK \l _Toc22936 </w:instrText>
          </w:r>
          <w:r>
            <w:rPr>
              <w:iCs/>
              <w:szCs w:val="24"/>
            </w:rPr>
            <w:fldChar w:fldCharType="separate"/>
          </w:r>
          <w:r>
            <w:rPr>
              <w:rFonts w:hint="eastAsia"/>
              <w:szCs w:val="36"/>
            </w:rPr>
            <w:t>第五章 评标办法</w:t>
          </w:r>
          <w:r>
            <w:tab/>
          </w:r>
          <w:r>
            <w:fldChar w:fldCharType="begin"/>
          </w:r>
          <w:r>
            <w:instrText xml:space="preserve"> PAGEREF _Toc22936 \h </w:instrText>
          </w:r>
          <w:r>
            <w:fldChar w:fldCharType="separate"/>
          </w:r>
          <w:r>
            <w:t>81</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_Toc1727 </w:instrText>
          </w:r>
          <w:r>
            <w:rPr>
              <w:iCs/>
              <w:szCs w:val="24"/>
            </w:rPr>
            <w:fldChar w:fldCharType="separate"/>
          </w:r>
          <w:r>
            <w:rPr>
              <w:rFonts w:hint="eastAsia" w:ascii="宋体" w:hAnsi="宋体" w:eastAsia="宋体" w:cs="Times New Roman"/>
              <w:bCs w:val="0"/>
              <w:szCs w:val="28"/>
              <w:lang w:val="zh-CN"/>
            </w:rPr>
            <w:t>一、 评标方法</w:t>
          </w:r>
          <w:r>
            <w:tab/>
          </w:r>
          <w:r>
            <w:fldChar w:fldCharType="begin"/>
          </w:r>
          <w:r>
            <w:instrText xml:space="preserve"> PAGEREF _Toc1727 \h </w:instrText>
          </w:r>
          <w:r>
            <w:fldChar w:fldCharType="separate"/>
          </w:r>
          <w:r>
            <w:t>81</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_Toc25295 </w:instrText>
          </w:r>
          <w:r>
            <w:rPr>
              <w:iCs/>
              <w:szCs w:val="24"/>
            </w:rPr>
            <w:fldChar w:fldCharType="separate"/>
          </w:r>
          <w:r>
            <w:rPr>
              <w:rFonts w:hint="eastAsia" w:ascii="宋体" w:hAnsi="宋体" w:eastAsia="宋体" w:cs="Times New Roman"/>
              <w:bCs w:val="0"/>
              <w:szCs w:val="28"/>
              <w:lang w:val="zh-CN"/>
            </w:rPr>
            <w:t>二、 评标程序</w:t>
          </w:r>
          <w:r>
            <w:tab/>
          </w:r>
          <w:r>
            <w:fldChar w:fldCharType="begin"/>
          </w:r>
          <w:r>
            <w:instrText xml:space="preserve"> PAGEREF _Toc25295 \h </w:instrText>
          </w:r>
          <w:r>
            <w:fldChar w:fldCharType="separate"/>
          </w:r>
          <w:r>
            <w:t>81</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_Toc17348 </w:instrText>
          </w:r>
          <w:r>
            <w:rPr>
              <w:iCs/>
              <w:szCs w:val="24"/>
            </w:rPr>
            <w:fldChar w:fldCharType="separate"/>
          </w:r>
          <w:r>
            <w:rPr>
              <w:rFonts w:hint="eastAsia" w:ascii="宋体" w:hAnsi="宋体" w:eastAsia="宋体" w:cs="Times New Roman"/>
              <w:bCs w:val="0"/>
              <w:szCs w:val="28"/>
              <w:lang w:val="zh-CN"/>
            </w:rPr>
            <w:t>三、 评标标准</w:t>
          </w:r>
          <w:r>
            <w:tab/>
          </w:r>
          <w:r>
            <w:fldChar w:fldCharType="begin"/>
          </w:r>
          <w:r>
            <w:instrText xml:space="preserve"> PAGEREF _Toc17348 \h </w:instrText>
          </w:r>
          <w:r>
            <w:fldChar w:fldCharType="separate"/>
          </w:r>
          <w:r>
            <w:t>84</w:t>
          </w:r>
          <w:r>
            <w:fldChar w:fldCharType="end"/>
          </w:r>
          <w:r>
            <w:rPr>
              <w:iCs/>
              <w:szCs w:val="24"/>
            </w:rPr>
            <w:fldChar w:fldCharType="end"/>
          </w:r>
        </w:p>
        <w:p>
          <w:pPr>
            <w:pStyle w:val="20"/>
            <w:tabs>
              <w:tab w:val="right" w:leader="dot" w:pos="9524"/>
            </w:tabs>
          </w:pPr>
          <w:r>
            <w:rPr>
              <w:iCs/>
              <w:szCs w:val="24"/>
            </w:rPr>
            <w:fldChar w:fldCharType="begin"/>
          </w:r>
          <w:r>
            <w:rPr>
              <w:iCs/>
              <w:szCs w:val="24"/>
            </w:rPr>
            <w:instrText xml:space="preserve"> HYPERLINK \l _Toc8811 </w:instrText>
          </w:r>
          <w:r>
            <w:rPr>
              <w:iCs/>
              <w:szCs w:val="24"/>
            </w:rPr>
            <w:fldChar w:fldCharType="separate"/>
          </w:r>
          <w:r>
            <w:rPr>
              <w:rFonts w:hint="eastAsia"/>
              <w:szCs w:val="36"/>
            </w:rPr>
            <w:t>第六章 合同文本格式（参考）</w:t>
          </w:r>
          <w:r>
            <w:tab/>
          </w:r>
          <w:r>
            <w:fldChar w:fldCharType="begin"/>
          </w:r>
          <w:r>
            <w:instrText xml:space="preserve"> PAGEREF _Toc8811 \h </w:instrText>
          </w:r>
          <w:r>
            <w:fldChar w:fldCharType="separate"/>
          </w:r>
          <w:r>
            <w:t>89</w:t>
          </w:r>
          <w:r>
            <w:fldChar w:fldCharType="end"/>
          </w:r>
          <w:r>
            <w:rPr>
              <w:iCs/>
              <w:szCs w:val="24"/>
            </w:rPr>
            <w:fldChar w:fldCharType="end"/>
          </w:r>
        </w:p>
        <w:p>
          <w:pPr>
            <w:pStyle w:val="20"/>
            <w:tabs>
              <w:tab w:val="right" w:leader="dot" w:pos="9524"/>
            </w:tabs>
          </w:pPr>
          <w:r>
            <w:rPr>
              <w:iCs/>
              <w:szCs w:val="24"/>
            </w:rPr>
            <w:fldChar w:fldCharType="begin"/>
          </w:r>
          <w:r>
            <w:rPr>
              <w:iCs/>
              <w:szCs w:val="24"/>
            </w:rPr>
            <w:instrText xml:space="preserve"> HYPERLINK \l _Toc7956 </w:instrText>
          </w:r>
          <w:r>
            <w:rPr>
              <w:iCs/>
              <w:szCs w:val="24"/>
            </w:rPr>
            <w:fldChar w:fldCharType="separate"/>
          </w:r>
          <w:r>
            <w:rPr>
              <w:rFonts w:hint="eastAsia"/>
              <w:szCs w:val="36"/>
            </w:rPr>
            <w:t>第七章 投标文件格式（参考）</w:t>
          </w:r>
          <w:r>
            <w:tab/>
          </w:r>
          <w:r>
            <w:fldChar w:fldCharType="begin"/>
          </w:r>
          <w:r>
            <w:instrText xml:space="preserve"> PAGEREF _Toc7956 \h </w:instrText>
          </w:r>
          <w:r>
            <w:fldChar w:fldCharType="separate"/>
          </w:r>
          <w:r>
            <w:t>95</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_Toc18348 </w:instrText>
          </w:r>
          <w:r>
            <w:rPr>
              <w:iCs/>
              <w:szCs w:val="24"/>
            </w:rPr>
            <w:fldChar w:fldCharType="separate"/>
          </w:r>
          <w:r>
            <w:rPr>
              <w:rFonts w:hint="eastAsia"/>
              <w:bCs/>
              <w:szCs w:val="36"/>
              <w:lang w:val="zh-CN"/>
            </w:rPr>
            <w:t>目   录</w:t>
          </w:r>
          <w:r>
            <w:tab/>
          </w:r>
          <w:r>
            <w:fldChar w:fldCharType="begin"/>
          </w:r>
          <w:r>
            <w:instrText xml:space="preserve"> PAGEREF _Toc18348 \h </w:instrText>
          </w:r>
          <w:r>
            <w:fldChar w:fldCharType="separate"/>
          </w:r>
          <w:r>
            <w:t>96</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_Toc30943 </w:instrText>
          </w:r>
          <w:r>
            <w:rPr>
              <w:iCs/>
              <w:szCs w:val="24"/>
            </w:rPr>
            <w:fldChar w:fldCharType="separate"/>
          </w:r>
          <w:r>
            <w:rPr>
              <w:rFonts w:hint="eastAsia" w:ascii="宋体" w:hAnsi="宋体" w:eastAsia="宋体" w:cs="Times New Roman"/>
              <w:bCs w:val="0"/>
            </w:rPr>
            <w:t>第</w:t>
          </w:r>
          <w:r>
            <w:rPr>
              <w:rFonts w:ascii="宋体" w:hAnsi="宋体" w:eastAsia="宋体" w:cs="Times New Roman"/>
              <w:bCs w:val="0"/>
            </w:rPr>
            <w:t>一部分</w:t>
          </w:r>
          <w:r>
            <w:rPr>
              <w:rFonts w:hint="eastAsia" w:ascii="宋体" w:hAnsi="宋体" w:eastAsia="宋体" w:cs="Times New Roman"/>
              <w:bCs w:val="0"/>
            </w:rPr>
            <w:t xml:space="preserve"> 资格</w:t>
          </w:r>
          <w:r>
            <w:rPr>
              <w:rFonts w:ascii="宋体" w:hAnsi="宋体" w:eastAsia="宋体" w:cs="Times New Roman"/>
              <w:bCs w:val="0"/>
            </w:rPr>
            <w:t>证明文件</w:t>
          </w:r>
          <w:r>
            <w:tab/>
          </w:r>
          <w:r>
            <w:fldChar w:fldCharType="begin"/>
          </w:r>
          <w:r>
            <w:instrText xml:space="preserve"> PAGEREF _Toc30943 \h </w:instrText>
          </w:r>
          <w:r>
            <w:fldChar w:fldCharType="separate"/>
          </w:r>
          <w:r>
            <w:t>97</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_Toc4166 </w:instrText>
          </w:r>
          <w:r>
            <w:rPr>
              <w:iCs/>
              <w:szCs w:val="24"/>
            </w:rPr>
            <w:fldChar w:fldCharType="separate"/>
          </w:r>
          <w:r>
            <w:rPr>
              <w:rFonts w:hint="eastAsia" w:ascii="宋体" w:hAnsi="宋体" w:eastAsia="宋体" w:cs="Times New Roman"/>
              <w:bCs w:val="0"/>
              <w:strike w:val="0"/>
              <w:szCs w:val="24"/>
            </w:rPr>
            <w:t xml:space="preserve">一、 </w:t>
          </w:r>
          <w:r>
            <w:rPr>
              <w:rFonts w:hint="eastAsia" w:ascii="宋体" w:hAnsi="宋体" w:eastAsia="宋体" w:cs="Times New Roman"/>
              <w:bCs w:val="0"/>
              <w:szCs w:val="24"/>
            </w:rPr>
            <w:t>资格审查对照表</w:t>
          </w:r>
          <w:r>
            <w:tab/>
          </w:r>
          <w:r>
            <w:fldChar w:fldCharType="begin"/>
          </w:r>
          <w:r>
            <w:instrText xml:space="preserve"> PAGEREF _Toc4166 \h </w:instrText>
          </w:r>
          <w:r>
            <w:fldChar w:fldCharType="separate"/>
          </w:r>
          <w:r>
            <w:t>97</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_Toc1340 </w:instrText>
          </w:r>
          <w:r>
            <w:rPr>
              <w:iCs/>
              <w:szCs w:val="24"/>
            </w:rPr>
            <w:fldChar w:fldCharType="separate"/>
          </w:r>
          <w:r>
            <w:rPr>
              <w:rFonts w:hint="eastAsia" w:ascii="宋体" w:hAnsi="宋体" w:eastAsia="宋体" w:cs="Times New Roman"/>
              <w:strike w:val="0"/>
              <w:szCs w:val="24"/>
              <w:lang w:val="zh-CN"/>
            </w:rPr>
            <w:t xml:space="preserve">二、 </w:t>
          </w:r>
          <w:r>
            <w:rPr>
              <w:rFonts w:hint="eastAsia" w:ascii="宋体" w:hAnsi="宋体" w:eastAsia="宋体" w:cs="Times New Roman"/>
              <w:szCs w:val="24"/>
              <w:lang w:val="zh-CN"/>
            </w:rPr>
            <w:t>具备《政府采购法》第二十二条第一款规定的条件</w:t>
          </w:r>
          <w:r>
            <w:rPr>
              <w:rFonts w:hint="eastAsia" w:ascii="宋体" w:hAnsi="宋体" w:eastAsia="宋体"/>
              <w:szCs w:val="24"/>
            </w:rPr>
            <w:t>提供的材料</w:t>
          </w:r>
          <w:r>
            <w:tab/>
          </w:r>
          <w:r>
            <w:fldChar w:fldCharType="begin"/>
          </w:r>
          <w:r>
            <w:instrText xml:space="preserve"> PAGEREF _Toc1340 \h </w:instrText>
          </w:r>
          <w:r>
            <w:fldChar w:fldCharType="separate"/>
          </w:r>
          <w:r>
            <w:t>97</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_Toc69 </w:instrText>
          </w:r>
          <w:r>
            <w:rPr>
              <w:iCs/>
              <w:szCs w:val="24"/>
            </w:rPr>
            <w:fldChar w:fldCharType="separate"/>
          </w:r>
          <w:r>
            <w:rPr>
              <w:rFonts w:hint="eastAsia" w:ascii="宋体" w:hAnsi="宋体" w:eastAsia="宋体" w:cs="Times New Roman"/>
              <w:bCs w:val="0"/>
              <w:strike w:val="0"/>
              <w:szCs w:val="24"/>
            </w:rPr>
            <w:t xml:space="preserve">三、 </w:t>
          </w:r>
          <w:r>
            <w:rPr>
              <w:rFonts w:hint="eastAsia" w:ascii="宋体" w:hAnsi="宋体" w:eastAsia="宋体" w:cs="Times New Roman"/>
              <w:bCs w:val="0"/>
              <w:szCs w:val="24"/>
            </w:rPr>
            <w:t>未与有关系的其它投标人参加同一合同采购活动的声明函</w:t>
          </w:r>
          <w:r>
            <w:tab/>
          </w:r>
          <w:r>
            <w:fldChar w:fldCharType="begin"/>
          </w:r>
          <w:r>
            <w:instrText xml:space="preserve"> PAGEREF _Toc69 \h </w:instrText>
          </w:r>
          <w:r>
            <w:fldChar w:fldCharType="separate"/>
          </w:r>
          <w:r>
            <w:t>99</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_Toc7960 </w:instrText>
          </w:r>
          <w:r>
            <w:rPr>
              <w:iCs/>
              <w:szCs w:val="24"/>
            </w:rPr>
            <w:fldChar w:fldCharType="separate"/>
          </w:r>
          <w:r>
            <w:rPr>
              <w:rFonts w:hint="eastAsia" w:ascii="宋体" w:hAnsi="宋体" w:eastAsia="宋体" w:cs="Times New Roman"/>
              <w:bCs w:val="0"/>
              <w:strike w:val="0"/>
              <w:szCs w:val="24"/>
            </w:rPr>
            <w:t xml:space="preserve">四、 </w:t>
          </w:r>
          <w:r>
            <w:rPr>
              <w:rFonts w:hint="eastAsia" w:ascii="宋体" w:hAnsi="宋体" w:eastAsia="宋体" w:cs="Times New Roman"/>
              <w:bCs w:val="0"/>
              <w:szCs w:val="24"/>
            </w:rPr>
            <w:t>未为本项目提供相关服务的声明函</w:t>
          </w:r>
          <w:r>
            <w:tab/>
          </w:r>
          <w:r>
            <w:fldChar w:fldCharType="begin"/>
          </w:r>
          <w:r>
            <w:instrText xml:space="preserve"> PAGEREF _Toc7960 \h </w:instrText>
          </w:r>
          <w:r>
            <w:fldChar w:fldCharType="separate"/>
          </w:r>
          <w:r>
            <w:t>99</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_Toc31177 </w:instrText>
          </w:r>
          <w:r>
            <w:rPr>
              <w:iCs/>
              <w:szCs w:val="24"/>
            </w:rPr>
            <w:fldChar w:fldCharType="separate"/>
          </w:r>
          <w:r>
            <w:rPr>
              <w:rFonts w:hint="eastAsia" w:cs="Times New Roman" w:asciiTheme="majorEastAsia" w:hAnsiTheme="majorEastAsia"/>
              <w:bCs w:val="0"/>
              <w:strike w:val="0"/>
              <w:szCs w:val="24"/>
            </w:rPr>
            <w:t xml:space="preserve">五、 </w:t>
          </w:r>
          <w:r>
            <w:rPr>
              <w:rFonts w:hint="eastAsia" w:ascii="宋体" w:hAnsi="宋体" w:eastAsia="宋体" w:cs="Times New Roman"/>
              <w:bCs w:val="0"/>
              <w:szCs w:val="24"/>
            </w:rPr>
            <w:t>未被列入违法失信行为记录名单的声明函</w:t>
          </w:r>
          <w:r>
            <w:tab/>
          </w:r>
          <w:r>
            <w:fldChar w:fldCharType="begin"/>
          </w:r>
          <w:r>
            <w:instrText xml:space="preserve"> PAGEREF _Toc31177 \h </w:instrText>
          </w:r>
          <w:r>
            <w:fldChar w:fldCharType="separate"/>
          </w:r>
          <w:r>
            <w:t>99</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_Toc20331 </w:instrText>
          </w:r>
          <w:r>
            <w:rPr>
              <w:iCs/>
              <w:szCs w:val="24"/>
            </w:rPr>
            <w:fldChar w:fldCharType="separate"/>
          </w:r>
          <w:r>
            <w:rPr>
              <w:rFonts w:hint="eastAsia" w:ascii="宋体" w:hAnsi="宋体" w:eastAsia="宋体" w:cs="Times New Roman"/>
              <w:bCs w:val="0"/>
              <w:strike w:val="0"/>
              <w:szCs w:val="24"/>
            </w:rPr>
            <w:t xml:space="preserve">六、 </w:t>
          </w:r>
          <w:r>
            <w:rPr>
              <w:rFonts w:hint="eastAsia" w:ascii="宋体" w:hAnsi="宋体" w:eastAsia="宋体" w:cs="Times New Roman"/>
              <w:bCs w:val="0"/>
              <w:szCs w:val="24"/>
            </w:rPr>
            <w:t>落实政府采购政策应提供的资料</w:t>
          </w:r>
          <w:r>
            <w:tab/>
          </w:r>
          <w:r>
            <w:fldChar w:fldCharType="begin"/>
          </w:r>
          <w:r>
            <w:instrText xml:space="preserve"> PAGEREF _Toc20331 \h </w:instrText>
          </w:r>
          <w:r>
            <w:fldChar w:fldCharType="separate"/>
          </w:r>
          <w:r>
            <w:t>100</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_Toc15317 </w:instrText>
          </w:r>
          <w:r>
            <w:rPr>
              <w:iCs/>
              <w:szCs w:val="24"/>
            </w:rPr>
            <w:fldChar w:fldCharType="separate"/>
          </w:r>
          <w:r>
            <w:rPr>
              <w:rFonts w:hint="eastAsia" w:ascii="宋体" w:hAnsi="宋体" w:eastAsia="宋体" w:cs="Times New Roman"/>
              <w:strike w:val="0"/>
              <w:szCs w:val="24"/>
              <w:lang w:val="zh-CN"/>
            </w:rPr>
            <w:t xml:space="preserve">七、 </w:t>
          </w:r>
          <w:r>
            <w:rPr>
              <w:rFonts w:hint="eastAsia" w:ascii="宋体" w:hAnsi="宋体" w:eastAsia="宋体" w:cs="Times New Roman"/>
              <w:szCs w:val="24"/>
            </w:rPr>
            <w:t>特定</w:t>
          </w:r>
          <w:r>
            <w:rPr>
              <w:rFonts w:hint="eastAsia" w:ascii="宋体" w:hAnsi="宋体" w:eastAsia="宋体" w:cs="Times New Roman"/>
              <w:szCs w:val="24"/>
              <w:lang w:val="zh-CN"/>
            </w:rPr>
            <w:t>资格要求的证明材料</w:t>
          </w:r>
          <w:r>
            <w:tab/>
          </w:r>
          <w:r>
            <w:fldChar w:fldCharType="begin"/>
          </w:r>
          <w:r>
            <w:instrText xml:space="preserve"> PAGEREF _Toc15317 \h </w:instrText>
          </w:r>
          <w:r>
            <w:fldChar w:fldCharType="separate"/>
          </w:r>
          <w:r>
            <w:t>108</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_Toc4947 </w:instrText>
          </w:r>
          <w:r>
            <w:rPr>
              <w:iCs/>
              <w:szCs w:val="24"/>
            </w:rPr>
            <w:fldChar w:fldCharType="separate"/>
          </w:r>
          <w:r>
            <w:rPr>
              <w:rFonts w:hint="eastAsia" w:ascii="宋体" w:hAnsi="宋体" w:eastAsia="宋体" w:cs="Times New Roman"/>
              <w:strike w:val="0"/>
              <w:szCs w:val="24"/>
              <w:lang w:val="zh-CN"/>
            </w:rPr>
            <w:t xml:space="preserve">八、 </w:t>
          </w:r>
          <w:r>
            <w:rPr>
              <w:rFonts w:hint="eastAsia" w:ascii="宋体" w:hAnsi="宋体" w:eastAsia="宋体" w:cs="Courier New"/>
              <w:szCs w:val="24"/>
            </w:rPr>
            <w:t>投标人认为需要的</w:t>
          </w:r>
          <w:r>
            <w:rPr>
              <w:rFonts w:hint="eastAsia" w:ascii="宋体" w:hAnsi="宋体" w:eastAsia="宋体" w:cs="Times New Roman"/>
              <w:szCs w:val="24"/>
              <w:lang w:val="zh-CN"/>
            </w:rPr>
            <w:t>其它</w:t>
          </w:r>
          <w:r>
            <w:rPr>
              <w:rFonts w:hint="eastAsia" w:ascii="宋体" w:hAnsi="宋体" w:eastAsia="宋体" w:cs="Courier New"/>
              <w:szCs w:val="24"/>
            </w:rPr>
            <w:t>资格证明材料</w:t>
          </w:r>
          <w:r>
            <w:tab/>
          </w:r>
          <w:r>
            <w:fldChar w:fldCharType="begin"/>
          </w:r>
          <w:r>
            <w:instrText xml:space="preserve"> PAGEREF _Toc4947 \h </w:instrText>
          </w:r>
          <w:r>
            <w:fldChar w:fldCharType="separate"/>
          </w:r>
          <w:r>
            <w:t>108</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_Toc18583 </w:instrText>
          </w:r>
          <w:r>
            <w:rPr>
              <w:iCs/>
              <w:szCs w:val="24"/>
            </w:rPr>
            <w:fldChar w:fldCharType="separate"/>
          </w:r>
          <w:r>
            <w:rPr>
              <w:rFonts w:hint="eastAsia" w:ascii="宋体" w:hAnsi="宋体" w:eastAsia="宋体"/>
            </w:rPr>
            <w:t>第</w:t>
          </w:r>
          <w:r>
            <w:rPr>
              <w:rFonts w:ascii="宋体" w:hAnsi="宋体" w:eastAsia="宋体"/>
            </w:rPr>
            <w:t>二部分</w:t>
          </w:r>
          <w:r>
            <w:rPr>
              <w:rFonts w:hint="eastAsia" w:ascii="宋体" w:hAnsi="宋体" w:eastAsia="宋体"/>
            </w:rPr>
            <w:t xml:space="preserve"> 商务</w:t>
          </w:r>
          <w:r>
            <w:rPr>
              <w:rFonts w:ascii="宋体" w:hAnsi="宋体" w:eastAsia="宋体"/>
            </w:rPr>
            <w:t>技术文件</w:t>
          </w:r>
          <w:r>
            <w:tab/>
          </w:r>
          <w:r>
            <w:fldChar w:fldCharType="begin"/>
          </w:r>
          <w:r>
            <w:instrText xml:space="preserve"> PAGEREF _Toc18583 \h </w:instrText>
          </w:r>
          <w:r>
            <w:fldChar w:fldCharType="separate"/>
          </w:r>
          <w:r>
            <w:t>109</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_Toc32707 </w:instrText>
          </w:r>
          <w:r>
            <w:rPr>
              <w:iCs/>
              <w:szCs w:val="24"/>
            </w:rPr>
            <w:fldChar w:fldCharType="separate"/>
          </w:r>
          <w:r>
            <w:rPr>
              <w:rFonts w:hint="eastAsia" w:ascii="宋体" w:hAnsi="宋体" w:eastAsia="宋体"/>
              <w:strike w:val="0"/>
              <w:szCs w:val="24"/>
            </w:rPr>
            <w:t xml:space="preserve">一、 </w:t>
          </w:r>
          <w:r>
            <w:rPr>
              <w:rFonts w:hint="eastAsia" w:ascii="宋体" w:hAnsi="宋体" w:eastAsia="宋体"/>
              <w:szCs w:val="24"/>
            </w:rPr>
            <w:t>符合性审查对照表</w:t>
          </w:r>
          <w:r>
            <w:tab/>
          </w:r>
          <w:r>
            <w:fldChar w:fldCharType="begin"/>
          </w:r>
          <w:r>
            <w:instrText xml:space="preserve"> PAGEREF _Toc32707 \h </w:instrText>
          </w:r>
          <w:r>
            <w:fldChar w:fldCharType="separate"/>
          </w:r>
          <w:r>
            <w:t>109</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_Toc6117 </w:instrText>
          </w:r>
          <w:r>
            <w:rPr>
              <w:iCs/>
              <w:szCs w:val="24"/>
            </w:rPr>
            <w:fldChar w:fldCharType="separate"/>
          </w:r>
          <w:r>
            <w:rPr>
              <w:rFonts w:hint="eastAsia" w:ascii="宋体" w:hAnsi="宋体" w:eastAsia="宋体"/>
              <w:strike w:val="0"/>
              <w:szCs w:val="24"/>
            </w:rPr>
            <w:t xml:space="preserve">二、 </w:t>
          </w:r>
          <w:r>
            <w:rPr>
              <w:rFonts w:hint="eastAsia" w:ascii="宋体" w:hAnsi="宋体" w:eastAsia="宋体"/>
              <w:szCs w:val="24"/>
            </w:rPr>
            <w:t>商务</w:t>
          </w:r>
          <w:r>
            <w:rPr>
              <w:rFonts w:hint="eastAsia" w:ascii="宋体" w:hAnsi="宋体" w:eastAsia="宋体" w:cs="Times New Roman"/>
              <w:bCs w:val="0"/>
              <w:szCs w:val="24"/>
            </w:rPr>
            <w:t>要求</w:t>
          </w:r>
          <w:r>
            <w:rPr>
              <w:rFonts w:hint="eastAsia" w:ascii="宋体" w:hAnsi="宋体" w:eastAsia="宋体"/>
              <w:szCs w:val="24"/>
            </w:rPr>
            <w:t>响应偏离说明表</w:t>
          </w:r>
          <w:r>
            <w:tab/>
          </w:r>
          <w:r>
            <w:fldChar w:fldCharType="begin"/>
          </w:r>
          <w:r>
            <w:instrText xml:space="preserve"> PAGEREF _Toc6117 \h </w:instrText>
          </w:r>
          <w:r>
            <w:fldChar w:fldCharType="separate"/>
          </w:r>
          <w:r>
            <w:t>110</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_Toc4969 </w:instrText>
          </w:r>
          <w:r>
            <w:rPr>
              <w:iCs/>
              <w:szCs w:val="24"/>
            </w:rPr>
            <w:fldChar w:fldCharType="separate"/>
          </w:r>
          <w:r>
            <w:rPr>
              <w:rFonts w:hint="eastAsia" w:ascii="宋体" w:hAnsi="宋体" w:eastAsia="宋体"/>
              <w:strike w:val="0"/>
              <w:szCs w:val="24"/>
            </w:rPr>
            <w:t xml:space="preserve">三、 </w:t>
          </w:r>
          <w:r>
            <w:rPr>
              <w:rFonts w:hint="eastAsia" w:ascii="宋体" w:hAnsi="宋体" w:eastAsia="宋体"/>
              <w:szCs w:val="24"/>
            </w:rPr>
            <w:t>技术要求</w:t>
          </w:r>
          <w:r>
            <w:rPr>
              <w:rFonts w:hint="eastAsia" w:ascii="宋体" w:hAnsi="宋体" w:eastAsia="宋体" w:cs="Times New Roman"/>
              <w:bCs w:val="0"/>
              <w:szCs w:val="24"/>
            </w:rPr>
            <w:t>响应</w:t>
          </w:r>
          <w:r>
            <w:rPr>
              <w:rFonts w:hint="eastAsia" w:ascii="宋体" w:hAnsi="宋体" w:eastAsia="宋体"/>
              <w:szCs w:val="24"/>
            </w:rPr>
            <w:t>偏离说明表</w:t>
          </w:r>
          <w:r>
            <w:tab/>
          </w:r>
          <w:r>
            <w:fldChar w:fldCharType="begin"/>
          </w:r>
          <w:r>
            <w:instrText xml:space="preserve"> PAGEREF _Toc4969 \h </w:instrText>
          </w:r>
          <w:r>
            <w:fldChar w:fldCharType="separate"/>
          </w:r>
          <w:r>
            <w:t>111</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_Toc7535 </w:instrText>
          </w:r>
          <w:r>
            <w:rPr>
              <w:iCs/>
              <w:szCs w:val="24"/>
            </w:rPr>
            <w:fldChar w:fldCharType="separate"/>
          </w:r>
          <w:r>
            <w:rPr>
              <w:rFonts w:hint="eastAsia" w:ascii="宋体" w:hAnsi="宋体" w:eastAsia="宋体"/>
              <w:strike w:val="0"/>
              <w:szCs w:val="24"/>
            </w:rPr>
            <w:t xml:space="preserve">四、 </w:t>
          </w:r>
          <w:r>
            <w:rPr>
              <w:rFonts w:hint="eastAsia" w:ascii="宋体" w:hAnsi="宋体" w:eastAsia="宋体"/>
              <w:szCs w:val="24"/>
            </w:rPr>
            <w:t>商务评分对照表</w:t>
          </w:r>
          <w:r>
            <w:tab/>
          </w:r>
          <w:r>
            <w:fldChar w:fldCharType="begin"/>
          </w:r>
          <w:r>
            <w:instrText xml:space="preserve"> PAGEREF _Toc7535 \h </w:instrText>
          </w:r>
          <w:r>
            <w:fldChar w:fldCharType="separate"/>
          </w:r>
          <w:r>
            <w:t>112</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_Toc8414 </w:instrText>
          </w:r>
          <w:r>
            <w:rPr>
              <w:iCs/>
              <w:szCs w:val="24"/>
            </w:rPr>
            <w:fldChar w:fldCharType="separate"/>
          </w:r>
          <w:r>
            <w:rPr>
              <w:rFonts w:hint="eastAsia" w:ascii="宋体" w:hAnsi="宋体" w:eastAsia="宋体"/>
              <w:strike w:val="0"/>
              <w:szCs w:val="24"/>
            </w:rPr>
            <w:t xml:space="preserve">五、 </w:t>
          </w:r>
          <w:r>
            <w:rPr>
              <w:rFonts w:hint="eastAsia" w:ascii="宋体" w:hAnsi="宋体" w:eastAsia="宋体"/>
              <w:szCs w:val="24"/>
            </w:rPr>
            <w:t>技术评分对照表</w:t>
          </w:r>
          <w:r>
            <w:tab/>
          </w:r>
          <w:r>
            <w:fldChar w:fldCharType="begin"/>
          </w:r>
          <w:r>
            <w:instrText xml:space="preserve"> PAGEREF _Toc8414 \h </w:instrText>
          </w:r>
          <w:r>
            <w:fldChar w:fldCharType="separate"/>
          </w:r>
          <w:r>
            <w:t>113</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_Toc2014 </w:instrText>
          </w:r>
          <w:r>
            <w:rPr>
              <w:iCs/>
              <w:szCs w:val="24"/>
            </w:rPr>
            <w:fldChar w:fldCharType="separate"/>
          </w:r>
          <w:r>
            <w:rPr>
              <w:rFonts w:hint="eastAsia" w:ascii="宋体" w:hAnsi="宋体" w:eastAsia="宋体"/>
              <w:strike w:val="0"/>
              <w:szCs w:val="24"/>
            </w:rPr>
            <w:t xml:space="preserve">六、 </w:t>
          </w:r>
          <w:r>
            <w:rPr>
              <w:rFonts w:hint="eastAsia" w:ascii="宋体" w:hAnsi="宋体" w:eastAsia="宋体"/>
              <w:szCs w:val="24"/>
            </w:rPr>
            <w:t>投标书</w:t>
          </w:r>
          <w:r>
            <w:tab/>
          </w:r>
          <w:r>
            <w:fldChar w:fldCharType="begin"/>
          </w:r>
          <w:r>
            <w:instrText xml:space="preserve"> PAGEREF _Toc2014 \h </w:instrText>
          </w:r>
          <w:r>
            <w:fldChar w:fldCharType="separate"/>
          </w:r>
          <w:r>
            <w:t>114</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_Toc19495 </w:instrText>
          </w:r>
          <w:r>
            <w:rPr>
              <w:iCs/>
              <w:szCs w:val="24"/>
            </w:rPr>
            <w:fldChar w:fldCharType="separate"/>
          </w:r>
          <w:r>
            <w:rPr>
              <w:rFonts w:hint="eastAsia" w:ascii="宋体" w:hAnsi="宋体" w:eastAsia="宋体"/>
              <w:strike w:val="0"/>
              <w:szCs w:val="24"/>
            </w:rPr>
            <w:t xml:space="preserve">七、 </w:t>
          </w:r>
          <w:r>
            <w:rPr>
              <w:rFonts w:hint="eastAsia" w:ascii="宋体" w:hAnsi="宋体" w:eastAsia="宋体"/>
              <w:szCs w:val="24"/>
            </w:rPr>
            <w:t>开标</w:t>
          </w:r>
          <w:r>
            <w:rPr>
              <w:rFonts w:hint="eastAsia" w:ascii="宋体" w:hAnsi="宋体" w:eastAsia="宋体" w:cs="Times New Roman"/>
              <w:bCs w:val="0"/>
              <w:szCs w:val="24"/>
            </w:rPr>
            <w:t>一览表</w:t>
          </w:r>
          <w:r>
            <w:tab/>
          </w:r>
          <w:r>
            <w:fldChar w:fldCharType="begin"/>
          </w:r>
          <w:r>
            <w:instrText xml:space="preserve"> PAGEREF _Toc19495 \h </w:instrText>
          </w:r>
          <w:r>
            <w:fldChar w:fldCharType="separate"/>
          </w:r>
          <w:r>
            <w:t>115</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_Toc27933 </w:instrText>
          </w:r>
          <w:r>
            <w:rPr>
              <w:iCs/>
              <w:szCs w:val="24"/>
            </w:rPr>
            <w:fldChar w:fldCharType="separate"/>
          </w:r>
          <w:r>
            <w:rPr>
              <w:rFonts w:hint="eastAsia" w:cs="Times New Roman" w:asciiTheme="majorEastAsia" w:hAnsiTheme="majorEastAsia"/>
              <w:strike w:val="0"/>
              <w:szCs w:val="24"/>
            </w:rPr>
            <w:t xml:space="preserve">八、 </w:t>
          </w:r>
          <w:r>
            <w:rPr>
              <w:rFonts w:hint="eastAsia" w:cs="Times New Roman" w:asciiTheme="majorEastAsia" w:hAnsiTheme="majorEastAsia"/>
              <w:szCs w:val="24"/>
            </w:rPr>
            <w:t>投标报价明细表</w:t>
          </w:r>
          <w:r>
            <w:tab/>
          </w:r>
          <w:r>
            <w:fldChar w:fldCharType="begin"/>
          </w:r>
          <w:r>
            <w:instrText xml:space="preserve"> PAGEREF _Toc27933 \h </w:instrText>
          </w:r>
          <w:r>
            <w:fldChar w:fldCharType="separate"/>
          </w:r>
          <w:r>
            <w:t>115</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_Toc29628 </w:instrText>
          </w:r>
          <w:r>
            <w:rPr>
              <w:iCs/>
              <w:szCs w:val="24"/>
            </w:rPr>
            <w:fldChar w:fldCharType="separate"/>
          </w:r>
          <w:r>
            <w:rPr>
              <w:rFonts w:hint="eastAsia" w:ascii="宋体" w:hAnsi="宋体" w:eastAsia="宋体"/>
              <w:strike w:val="0"/>
              <w:szCs w:val="24"/>
            </w:rPr>
            <w:t xml:space="preserve">九、 </w:t>
          </w:r>
          <w:r>
            <w:rPr>
              <w:rFonts w:hint="eastAsia" w:ascii="宋体" w:hAnsi="宋体" w:eastAsia="宋体"/>
              <w:szCs w:val="24"/>
            </w:rPr>
            <w:t>法定代表人身份证明</w:t>
          </w:r>
          <w:r>
            <w:tab/>
          </w:r>
          <w:r>
            <w:fldChar w:fldCharType="begin"/>
          </w:r>
          <w:r>
            <w:instrText xml:space="preserve"> PAGEREF _Toc29628 \h </w:instrText>
          </w:r>
          <w:r>
            <w:fldChar w:fldCharType="separate"/>
          </w:r>
          <w:r>
            <w:t>117</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_Toc19085 </w:instrText>
          </w:r>
          <w:r>
            <w:rPr>
              <w:iCs/>
              <w:szCs w:val="24"/>
            </w:rPr>
            <w:fldChar w:fldCharType="separate"/>
          </w:r>
          <w:r>
            <w:rPr>
              <w:rFonts w:hint="eastAsia" w:ascii="宋体" w:hAnsi="宋体" w:eastAsia="宋体"/>
              <w:strike w:val="0"/>
              <w:szCs w:val="24"/>
            </w:rPr>
            <w:t xml:space="preserve">十、 </w:t>
          </w:r>
          <w:r>
            <w:rPr>
              <w:rFonts w:hint="eastAsia" w:ascii="宋体" w:hAnsi="宋体" w:eastAsia="宋体"/>
              <w:szCs w:val="24"/>
            </w:rPr>
            <w:t>法定代表人授权书</w:t>
          </w:r>
          <w:r>
            <w:tab/>
          </w:r>
          <w:r>
            <w:fldChar w:fldCharType="begin"/>
          </w:r>
          <w:r>
            <w:instrText xml:space="preserve"> PAGEREF _Toc19085 \h </w:instrText>
          </w:r>
          <w:r>
            <w:fldChar w:fldCharType="separate"/>
          </w:r>
          <w:r>
            <w:t>118</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_Toc20604 </w:instrText>
          </w:r>
          <w:r>
            <w:rPr>
              <w:iCs/>
              <w:szCs w:val="24"/>
            </w:rPr>
            <w:fldChar w:fldCharType="separate"/>
          </w:r>
          <w:r>
            <w:rPr>
              <w:rFonts w:hint="eastAsia" w:ascii="宋体" w:hAnsi="宋体" w:eastAsia="宋体"/>
              <w:strike w:val="0"/>
              <w:szCs w:val="24"/>
            </w:rPr>
            <w:t xml:space="preserve">十一、 </w:t>
          </w:r>
          <w:r>
            <w:rPr>
              <w:rFonts w:hint="eastAsia" w:ascii="宋体" w:hAnsi="宋体" w:eastAsia="宋体"/>
              <w:szCs w:val="24"/>
            </w:rPr>
            <w:t>项目负责人、技术负责人简历表</w:t>
          </w:r>
          <w:r>
            <w:tab/>
          </w:r>
          <w:r>
            <w:fldChar w:fldCharType="begin"/>
          </w:r>
          <w:r>
            <w:instrText xml:space="preserve"> PAGEREF _Toc20604 \h </w:instrText>
          </w:r>
          <w:r>
            <w:fldChar w:fldCharType="separate"/>
          </w:r>
          <w:r>
            <w:t>119</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_Toc19006 </w:instrText>
          </w:r>
          <w:r>
            <w:rPr>
              <w:iCs/>
              <w:szCs w:val="24"/>
            </w:rPr>
            <w:fldChar w:fldCharType="separate"/>
          </w:r>
          <w:r>
            <w:rPr>
              <w:rFonts w:hint="eastAsia" w:ascii="宋体" w:hAnsi="宋体" w:eastAsia="宋体"/>
              <w:strike w:val="0"/>
              <w:szCs w:val="24"/>
            </w:rPr>
            <w:t xml:space="preserve">十二、 </w:t>
          </w:r>
          <w:r>
            <w:rPr>
              <w:rFonts w:hint="eastAsia" w:ascii="宋体" w:hAnsi="宋体" w:eastAsia="宋体"/>
              <w:szCs w:val="24"/>
            </w:rPr>
            <w:t>项目班子成员情况表</w:t>
          </w:r>
          <w:r>
            <w:tab/>
          </w:r>
          <w:r>
            <w:fldChar w:fldCharType="begin"/>
          </w:r>
          <w:r>
            <w:instrText xml:space="preserve"> PAGEREF _Toc19006 \h </w:instrText>
          </w:r>
          <w:r>
            <w:fldChar w:fldCharType="separate"/>
          </w:r>
          <w:r>
            <w:t>120</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_Toc20411 </w:instrText>
          </w:r>
          <w:r>
            <w:rPr>
              <w:iCs/>
              <w:szCs w:val="24"/>
            </w:rPr>
            <w:fldChar w:fldCharType="separate"/>
          </w:r>
          <w:r>
            <w:rPr>
              <w:rFonts w:hint="eastAsia" w:ascii="宋体" w:hAnsi="宋体" w:eastAsia="宋体"/>
              <w:strike w:val="0"/>
              <w:szCs w:val="24"/>
            </w:rPr>
            <w:t xml:space="preserve">十三、 </w:t>
          </w:r>
          <w:r>
            <w:rPr>
              <w:rFonts w:hint="eastAsia" w:ascii="宋体" w:hAnsi="宋体" w:eastAsia="宋体"/>
              <w:szCs w:val="24"/>
            </w:rPr>
            <w:t>投标人类似项目业绩表</w:t>
          </w:r>
          <w:r>
            <w:tab/>
          </w:r>
          <w:r>
            <w:fldChar w:fldCharType="begin"/>
          </w:r>
          <w:r>
            <w:instrText xml:space="preserve"> PAGEREF _Toc20411 \h </w:instrText>
          </w:r>
          <w:r>
            <w:fldChar w:fldCharType="separate"/>
          </w:r>
          <w:r>
            <w:t>121</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_Toc28349 </w:instrText>
          </w:r>
          <w:r>
            <w:rPr>
              <w:iCs/>
              <w:szCs w:val="24"/>
            </w:rPr>
            <w:fldChar w:fldCharType="separate"/>
          </w:r>
          <w:r>
            <w:rPr>
              <w:rFonts w:hint="eastAsia"/>
              <w:strike w:val="0"/>
              <w:szCs w:val="24"/>
            </w:rPr>
            <w:t xml:space="preserve">十四、 </w:t>
          </w:r>
          <w:r>
            <w:rPr>
              <w:rFonts w:hint="eastAsia"/>
              <w:szCs w:val="24"/>
            </w:rPr>
            <w:t>节能</w:t>
          </w:r>
          <w:r>
            <w:rPr>
              <w:szCs w:val="24"/>
            </w:rPr>
            <w:t>、环保、创新产品</w:t>
          </w:r>
          <w:r>
            <w:rPr>
              <w:rFonts w:hint="eastAsia"/>
              <w:szCs w:val="24"/>
            </w:rPr>
            <w:t>明细</w:t>
          </w:r>
          <w:r>
            <w:rPr>
              <w:szCs w:val="24"/>
            </w:rPr>
            <w:t>清单及证明</w:t>
          </w:r>
          <w:r>
            <w:rPr>
              <w:rFonts w:hint="eastAsia"/>
              <w:szCs w:val="24"/>
            </w:rPr>
            <w:t>材料</w:t>
          </w:r>
          <w:r>
            <w:rPr>
              <w:rFonts w:hint="eastAsia" w:ascii="宋体" w:hAnsi="宋体" w:eastAsia="宋体"/>
              <w:szCs w:val="24"/>
            </w:rPr>
            <w:t>（此表非必填项，可选择填写）</w:t>
          </w:r>
          <w:r>
            <w:tab/>
          </w:r>
          <w:r>
            <w:fldChar w:fldCharType="begin"/>
          </w:r>
          <w:r>
            <w:instrText xml:space="preserve"> PAGEREF _Toc28349 \h </w:instrText>
          </w:r>
          <w:r>
            <w:fldChar w:fldCharType="separate"/>
          </w:r>
          <w:r>
            <w:t>122</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_Toc1304 </w:instrText>
          </w:r>
          <w:r>
            <w:rPr>
              <w:iCs/>
              <w:szCs w:val="24"/>
            </w:rPr>
            <w:fldChar w:fldCharType="separate"/>
          </w:r>
          <w:r>
            <w:rPr>
              <w:rFonts w:hint="eastAsia" w:ascii="宋体" w:hAnsi="宋体" w:eastAsia="宋体"/>
              <w:strike w:val="0"/>
              <w:szCs w:val="24"/>
            </w:rPr>
            <w:t xml:space="preserve">十五、 </w:t>
          </w:r>
          <w:r>
            <w:rPr>
              <w:rFonts w:hint="eastAsia" w:ascii="宋体" w:hAnsi="宋体" w:eastAsia="宋体"/>
              <w:szCs w:val="24"/>
            </w:rPr>
            <w:t>享受价格扣除优惠政策应提供的材料</w:t>
          </w:r>
          <w:r>
            <w:tab/>
          </w:r>
          <w:r>
            <w:fldChar w:fldCharType="begin"/>
          </w:r>
          <w:r>
            <w:instrText xml:space="preserve"> PAGEREF _Toc1304 \h </w:instrText>
          </w:r>
          <w:r>
            <w:fldChar w:fldCharType="separate"/>
          </w:r>
          <w:r>
            <w:t>123</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_Toc14005 </w:instrText>
          </w:r>
          <w:r>
            <w:rPr>
              <w:iCs/>
              <w:szCs w:val="24"/>
            </w:rPr>
            <w:fldChar w:fldCharType="separate"/>
          </w:r>
          <w:r>
            <w:rPr>
              <w:rFonts w:hint="eastAsia" w:ascii="宋体" w:hAnsi="宋体" w:eastAsia="宋体" w:cs="Times New Roman"/>
              <w:strike w:val="0"/>
              <w:szCs w:val="24"/>
            </w:rPr>
            <w:t xml:space="preserve">十六、 </w:t>
          </w:r>
          <w:r>
            <w:rPr>
              <w:rFonts w:hint="eastAsia" w:ascii="宋体" w:hAnsi="宋体" w:eastAsia="宋体" w:cs="Times New Roman"/>
              <w:szCs w:val="24"/>
            </w:rPr>
            <w:t>投标货物（或服务）介绍，项目建设（服务）方案</w:t>
          </w:r>
          <w:r>
            <w:tab/>
          </w:r>
          <w:r>
            <w:fldChar w:fldCharType="begin"/>
          </w:r>
          <w:r>
            <w:instrText xml:space="preserve"> PAGEREF _Toc14005 \h </w:instrText>
          </w:r>
          <w:r>
            <w:fldChar w:fldCharType="separate"/>
          </w:r>
          <w:r>
            <w:t>123</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_Toc17023 </w:instrText>
          </w:r>
          <w:r>
            <w:rPr>
              <w:iCs/>
              <w:szCs w:val="24"/>
            </w:rPr>
            <w:fldChar w:fldCharType="separate"/>
          </w:r>
          <w:r>
            <w:rPr>
              <w:rFonts w:hint="eastAsia" w:ascii="宋体" w:hAnsi="宋体" w:eastAsia="宋体" w:cs="Times New Roman"/>
              <w:strike w:val="0"/>
              <w:szCs w:val="24"/>
            </w:rPr>
            <w:t xml:space="preserve">十七、 </w:t>
          </w:r>
          <w:r>
            <w:rPr>
              <w:rFonts w:hint="eastAsia" w:ascii="宋体" w:hAnsi="宋体" w:eastAsia="宋体" w:cs="Times New Roman"/>
              <w:szCs w:val="24"/>
            </w:rPr>
            <w:t>招标文件要求提供或投标人认为需提供的其它资料</w:t>
          </w:r>
          <w:r>
            <w:tab/>
          </w:r>
          <w:r>
            <w:fldChar w:fldCharType="begin"/>
          </w:r>
          <w:r>
            <w:instrText xml:space="preserve"> PAGEREF _Toc17023 \h </w:instrText>
          </w:r>
          <w:r>
            <w:fldChar w:fldCharType="separate"/>
          </w:r>
          <w:r>
            <w:t>123</w:t>
          </w:r>
          <w:r>
            <w:fldChar w:fldCharType="end"/>
          </w:r>
          <w:r>
            <w:rPr>
              <w:iCs/>
              <w:szCs w:val="24"/>
            </w:rPr>
            <w:fldChar w:fldCharType="end"/>
          </w:r>
        </w:p>
        <w:p>
          <w:pPr>
            <w:pStyle w:val="20"/>
            <w:tabs>
              <w:tab w:val="left" w:pos="1050"/>
              <w:tab w:val="right" w:leader="dot" w:pos="9514"/>
            </w:tabs>
            <w:rPr>
              <w:b w:val="0"/>
              <w:bCs w:val="0"/>
              <w:szCs w:val="24"/>
            </w:rPr>
            <w:sectPr>
              <w:headerReference r:id="rId5" w:type="default"/>
              <w:footerReference r:id="rId6" w:type="default"/>
              <w:pgSz w:w="11906" w:h="16838"/>
              <w:pgMar w:top="1134" w:right="1191" w:bottom="1134" w:left="1191" w:header="851" w:footer="992" w:gutter="0"/>
              <w:pgBorders>
                <w:top w:val="none" w:sz="0" w:space="0"/>
                <w:left w:val="none" w:sz="0" w:space="0"/>
                <w:bottom w:val="none" w:sz="0" w:space="0"/>
                <w:right w:val="none" w:sz="0" w:space="0"/>
              </w:pgBorders>
              <w:cols w:space="425" w:num="1"/>
              <w:docGrid w:type="linesAndChars" w:linePitch="312" w:charSpace="0"/>
            </w:sectPr>
          </w:pPr>
          <w:r>
            <w:rPr>
              <w:b w:val="0"/>
              <w:iCs/>
              <w:szCs w:val="24"/>
            </w:rPr>
            <w:fldChar w:fldCharType="end"/>
          </w:r>
        </w:p>
      </w:sdtContent>
    </w:sdt>
    <w:p>
      <w:pPr>
        <w:pStyle w:val="2"/>
        <w:numPr>
          <w:ilvl w:val="0"/>
          <w:numId w:val="1"/>
        </w:numPr>
        <w:tabs>
          <w:tab w:val="left" w:pos="1276"/>
        </w:tabs>
        <w:wordWrap w:val="0"/>
        <w:spacing w:before="120" w:after="120" w:line="360" w:lineRule="auto"/>
        <w:ind w:left="723" w:hanging="720" w:hangingChars="200"/>
        <w:jc w:val="center"/>
        <w:rPr>
          <w:sz w:val="36"/>
          <w:szCs w:val="36"/>
        </w:rPr>
      </w:pPr>
      <w:bookmarkStart w:id="2" w:name="_Toc102114866"/>
      <w:bookmarkStart w:id="3" w:name="_Toc22343"/>
      <w:bookmarkStart w:id="4" w:name="_Toc117244347"/>
      <w:bookmarkStart w:id="5" w:name="_Toc31072"/>
      <w:bookmarkStart w:id="6" w:name="_Toc102115968"/>
      <w:bookmarkStart w:id="7" w:name="_Toc102057666"/>
      <w:bookmarkStart w:id="8" w:name="_Toc102116098"/>
      <w:bookmarkStart w:id="9" w:name="_Toc102056166"/>
      <w:bookmarkStart w:id="10" w:name="_Toc117244462"/>
      <w:bookmarkStart w:id="11" w:name="_Toc102119799"/>
      <w:r>
        <w:rPr>
          <w:rFonts w:hint="eastAsia"/>
          <w:sz w:val="36"/>
          <w:szCs w:val="36"/>
        </w:rPr>
        <w:t>投标邀请</w:t>
      </w:r>
      <w:bookmarkEnd w:id="0"/>
      <w:bookmarkEnd w:id="1"/>
      <w:bookmarkEnd w:id="2"/>
      <w:bookmarkEnd w:id="3"/>
      <w:bookmarkEnd w:id="4"/>
      <w:bookmarkEnd w:id="5"/>
      <w:bookmarkEnd w:id="6"/>
      <w:bookmarkEnd w:id="7"/>
      <w:bookmarkEnd w:id="8"/>
      <w:bookmarkEnd w:id="9"/>
      <w:bookmarkEnd w:id="10"/>
      <w:bookmarkEnd w:id="11"/>
    </w:p>
    <w:tbl>
      <w:tblPr>
        <w:tblStyle w:val="30"/>
        <w:tblW w:w="0" w:type="auto"/>
        <w:jc w:val="center"/>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9740"/>
      </w:tblGrid>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1830" w:hRule="atLeast"/>
          <w:jc w:val="center"/>
        </w:trPr>
        <w:tc>
          <w:tcPr>
            <w:tcW w:w="9740" w:type="dxa"/>
            <w:tcBorders>
              <w:tl2br w:val="nil"/>
              <w:tr2bl w:val="nil"/>
            </w:tcBorders>
          </w:tcPr>
          <w:p>
            <w:pPr>
              <w:wordWrap w:val="0"/>
              <w:spacing w:line="360" w:lineRule="auto"/>
              <w:rPr>
                <w:szCs w:val="24"/>
              </w:rPr>
            </w:pPr>
            <w:r>
              <w:rPr>
                <w:rFonts w:hint="eastAsia"/>
                <w:szCs w:val="24"/>
              </w:rPr>
              <w:t>项目概况：</w:t>
            </w:r>
          </w:p>
          <w:p>
            <w:pPr>
              <w:wordWrap w:val="0"/>
              <w:spacing w:line="360" w:lineRule="auto"/>
              <w:ind w:firstLine="480" w:firstLineChars="200"/>
              <w:rPr>
                <w:szCs w:val="24"/>
              </w:rPr>
            </w:pPr>
            <w:r>
              <w:rPr>
                <w:rFonts w:hint="eastAsia"/>
                <w:szCs w:val="24"/>
              </w:rPr>
              <w:t>黄冈市医疗集团信息系统服务（一期）的潜在投标人应在中国湖北政府采购网（http://www.ccgp-hubei.gov.cn）或黄冈市公共资源交易中心网（http://www.hgggzy.com）下载获取招标文件，并于20</w:t>
            </w:r>
            <w:r>
              <w:rPr>
                <w:rFonts w:hint="eastAsia"/>
                <w:szCs w:val="24"/>
                <w:lang w:val="en-US" w:eastAsia="zh-CN"/>
              </w:rPr>
              <w:t>24</w:t>
            </w:r>
            <w:r>
              <w:rPr>
                <w:rFonts w:hint="eastAsia"/>
                <w:szCs w:val="24"/>
              </w:rPr>
              <w:t>年</w:t>
            </w:r>
            <w:r>
              <w:rPr>
                <w:rFonts w:hint="eastAsia"/>
                <w:szCs w:val="24"/>
                <w:lang w:val="en-US" w:eastAsia="zh-CN"/>
              </w:rPr>
              <w:t>02</w:t>
            </w:r>
            <w:r>
              <w:rPr>
                <w:rFonts w:hint="eastAsia"/>
                <w:szCs w:val="24"/>
              </w:rPr>
              <w:t>月</w:t>
            </w:r>
            <w:r>
              <w:rPr>
                <w:rFonts w:hint="eastAsia"/>
                <w:szCs w:val="24"/>
                <w:lang w:val="en-US" w:eastAsia="zh-CN"/>
              </w:rPr>
              <w:t>26</w:t>
            </w:r>
            <w:r>
              <w:rPr>
                <w:rFonts w:hint="eastAsia"/>
                <w:szCs w:val="24"/>
              </w:rPr>
              <w:t>日</w:t>
            </w:r>
            <w:r>
              <w:rPr>
                <w:rFonts w:hint="eastAsia"/>
                <w:szCs w:val="24"/>
                <w:lang w:val="en-US" w:eastAsia="zh-CN"/>
              </w:rPr>
              <w:t>09</w:t>
            </w:r>
            <w:r>
              <w:rPr>
                <w:rFonts w:hint="eastAsia"/>
                <w:szCs w:val="24"/>
              </w:rPr>
              <w:t>点</w:t>
            </w:r>
            <w:r>
              <w:rPr>
                <w:rFonts w:hint="eastAsia"/>
                <w:szCs w:val="24"/>
                <w:lang w:val="en-US" w:eastAsia="zh-CN"/>
              </w:rPr>
              <w:t>00</w:t>
            </w:r>
            <w:r>
              <w:rPr>
                <w:rFonts w:hint="eastAsia"/>
                <w:szCs w:val="24"/>
              </w:rPr>
              <w:t>分（北京时间）前递交投标文件。</w:t>
            </w:r>
          </w:p>
        </w:tc>
      </w:tr>
    </w:tbl>
    <w:p>
      <w:pPr>
        <w:spacing w:line="360" w:lineRule="auto"/>
        <w:rPr>
          <w:b/>
          <w:szCs w:val="24"/>
        </w:rPr>
      </w:pPr>
      <w:bookmarkStart w:id="12" w:name="_Toc102116099"/>
      <w:bookmarkStart w:id="13" w:name="_Toc102057667"/>
      <w:bookmarkStart w:id="14" w:name="_Toc102114867"/>
      <w:bookmarkStart w:id="15" w:name="_Toc102119800"/>
      <w:bookmarkStart w:id="16" w:name="_Toc102115969"/>
      <w:bookmarkStart w:id="17" w:name="_Toc102056167"/>
      <w:r>
        <w:rPr>
          <w:rFonts w:hint="eastAsia"/>
          <w:b/>
          <w:szCs w:val="24"/>
        </w:rPr>
        <w:t>一</w:t>
      </w:r>
      <w:r>
        <w:rPr>
          <w:b/>
          <w:szCs w:val="24"/>
        </w:rPr>
        <w:t>、</w:t>
      </w:r>
      <w:r>
        <w:rPr>
          <w:rFonts w:hint="eastAsia"/>
          <w:b/>
          <w:szCs w:val="24"/>
        </w:rPr>
        <w:t>项目基本情况</w:t>
      </w:r>
      <w:bookmarkEnd w:id="12"/>
      <w:bookmarkEnd w:id="13"/>
      <w:bookmarkEnd w:id="14"/>
      <w:bookmarkEnd w:id="15"/>
      <w:bookmarkEnd w:id="16"/>
      <w:bookmarkEnd w:id="17"/>
    </w:p>
    <w:p>
      <w:pPr>
        <w:numPr>
          <w:ilvl w:val="0"/>
          <w:numId w:val="2"/>
        </w:numPr>
        <w:tabs>
          <w:tab w:val="left" w:pos="851"/>
          <w:tab w:val="clear" w:pos="420"/>
        </w:tabs>
        <w:wordWrap w:val="0"/>
        <w:spacing w:line="360" w:lineRule="auto"/>
        <w:ind w:left="0" w:firstLine="480" w:firstLineChars="200"/>
        <w:rPr>
          <w:szCs w:val="24"/>
        </w:rPr>
      </w:pPr>
      <w:r>
        <w:rPr>
          <w:rFonts w:hint="eastAsia"/>
          <w:szCs w:val="24"/>
        </w:rPr>
        <w:t>项目编号：HGJY2024-000</w:t>
      </w:r>
      <w:r>
        <w:rPr>
          <w:rFonts w:hint="eastAsia"/>
          <w:szCs w:val="24"/>
          <w:lang w:val="en-US" w:eastAsia="zh-CN"/>
        </w:rPr>
        <w:t>4</w:t>
      </w:r>
    </w:p>
    <w:p>
      <w:pPr>
        <w:numPr>
          <w:ilvl w:val="0"/>
          <w:numId w:val="2"/>
        </w:numPr>
        <w:tabs>
          <w:tab w:val="left" w:pos="851"/>
          <w:tab w:val="clear" w:pos="420"/>
        </w:tabs>
        <w:wordWrap w:val="0"/>
        <w:spacing w:line="360" w:lineRule="auto"/>
        <w:ind w:left="0" w:firstLine="480" w:firstLineChars="200"/>
        <w:rPr>
          <w:szCs w:val="24"/>
        </w:rPr>
      </w:pPr>
      <w:r>
        <w:rPr>
          <w:rFonts w:hint="eastAsia"/>
          <w:szCs w:val="24"/>
        </w:rPr>
        <w:t>政府采购计划备案号：421100-2024-00296</w:t>
      </w:r>
    </w:p>
    <w:p>
      <w:pPr>
        <w:numPr>
          <w:ilvl w:val="0"/>
          <w:numId w:val="2"/>
        </w:numPr>
        <w:tabs>
          <w:tab w:val="left" w:pos="851"/>
        </w:tabs>
        <w:wordWrap w:val="0"/>
        <w:spacing w:line="360" w:lineRule="auto"/>
        <w:rPr>
          <w:szCs w:val="24"/>
        </w:rPr>
      </w:pPr>
      <w:r>
        <w:rPr>
          <w:rFonts w:hint="eastAsia"/>
          <w:szCs w:val="24"/>
        </w:rPr>
        <w:t>项目名称：黄冈市医疗集团信息系统服务（一期）</w:t>
      </w:r>
    </w:p>
    <w:p>
      <w:pPr>
        <w:numPr>
          <w:ilvl w:val="0"/>
          <w:numId w:val="2"/>
        </w:numPr>
        <w:tabs>
          <w:tab w:val="left" w:pos="851"/>
          <w:tab w:val="clear" w:pos="420"/>
        </w:tabs>
        <w:wordWrap w:val="0"/>
        <w:spacing w:line="360" w:lineRule="auto"/>
        <w:ind w:left="0" w:firstLine="480" w:firstLineChars="200"/>
        <w:rPr>
          <w:szCs w:val="24"/>
        </w:rPr>
      </w:pPr>
      <w:r>
        <w:rPr>
          <w:rFonts w:hint="eastAsia"/>
          <w:szCs w:val="24"/>
        </w:rPr>
        <w:t>采购方式：公开招标</w:t>
      </w:r>
    </w:p>
    <w:p>
      <w:pPr>
        <w:numPr>
          <w:ilvl w:val="0"/>
          <w:numId w:val="2"/>
        </w:numPr>
        <w:tabs>
          <w:tab w:val="left" w:pos="851"/>
          <w:tab w:val="clear" w:pos="420"/>
        </w:tabs>
        <w:wordWrap w:val="0"/>
        <w:spacing w:line="360" w:lineRule="auto"/>
        <w:ind w:left="0" w:firstLine="480" w:firstLineChars="200"/>
        <w:rPr>
          <w:szCs w:val="24"/>
        </w:rPr>
      </w:pPr>
      <w:r>
        <w:rPr>
          <w:rFonts w:hint="eastAsia"/>
          <w:szCs w:val="24"/>
        </w:rPr>
        <w:t>预算金额：人民币</w:t>
      </w:r>
      <w:r>
        <w:rPr>
          <w:szCs w:val="24"/>
        </w:rPr>
        <w:t>690</w:t>
      </w:r>
      <w:r>
        <w:rPr>
          <w:rFonts w:hint="eastAsia"/>
          <w:szCs w:val="24"/>
        </w:rPr>
        <w:t>万元整</w:t>
      </w:r>
    </w:p>
    <w:p>
      <w:pPr>
        <w:numPr>
          <w:ilvl w:val="0"/>
          <w:numId w:val="2"/>
        </w:numPr>
        <w:tabs>
          <w:tab w:val="left" w:pos="851"/>
          <w:tab w:val="clear" w:pos="420"/>
        </w:tabs>
        <w:wordWrap w:val="0"/>
        <w:spacing w:line="360" w:lineRule="auto"/>
        <w:ind w:left="0" w:firstLine="480" w:firstLineChars="200"/>
        <w:rPr>
          <w:szCs w:val="24"/>
        </w:rPr>
      </w:pPr>
      <w:r>
        <w:rPr>
          <w:rFonts w:hint="eastAsia"/>
          <w:szCs w:val="24"/>
        </w:rPr>
        <w:t>最高限价：人民币</w:t>
      </w:r>
      <w:r>
        <w:rPr>
          <w:szCs w:val="24"/>
        </w:rPr>
        <w:t>690</w:t>
      </w:r>
      <w:r>
        <w:rPr>
          <w:rFonts w:hint="eastAsia"/>
          <w:szCs w:val="24"/>
        </w:rPr>
        <w:t>万元整</w:t>
      </w:r>
    </w:p>
    <w:p>
      <w:pPr>
        <w:numPr>
          <w:ilvl w:val="0"/>
          <w:numId w:val="2"/>
        </w:numPr>
        <w:tabs>
          <w:tab w:val="left" w:pos="851"/>
          <w:tab w:val="clear" w:pos="420"/>
        </w:tabs>
        <w:wordWrap w:val="0"/>
        <w:spacing w:line="360" w:lineRule="auto"/>
        <w:ind w:left="0" w:firstLine="480" w:firstLineChars="200"/>
        <w:rPr>
          <w:szCs w:val="24"/>
        </w:rPr>
      </w:pPr>
      <w:r>
        <w:rPr>
          <w:rFonts w:hint="eastAsia"/>
          <w:szCs w:val="24"/>
        </w:rPr>
        <w:t>采购需求：市医疗集团信息系统建设（一期）</w:t>
      </w:r>
      <w:r>
        <w:rPr>
          <w:rFonts w:hint="eastAsia"/>
          <w:szCs w:val="24"/>
          <w:lang w:eastAsia="zh-CN"/>
        </w:rPr>
        <w:t>，</w:t>
      </w:r>
      <w:r>
        <w:rPr>
          <w:rFonts w:hint="eastAsia"/>
          <w:szCs w:val="24"/>
        </w:rPr>
        <w:t>详见招标文件第三章</w:t>
      </w:r>
    </w:p>
    <w:p>
      <w:pPr>
        <w:numPr>
          <w:ilvl w:val="0"/>
          <w:numId w:val="2"/>
        </w:numPr>
        <w:tabs>
          <w:tab w:val="left" w:pos="851"/>
          <w:tab w:val="clear" w:pos="420"/>
        </w:tabs>
        <w:wordWrap w:val="0"/>
        <w:spacing w:line="360" w:lineRule="auto"/>
        <w:ind w:left="0" w:firstLine="480" w:firstLineChars="200"/>
        <w:rPr>
          <w:szCs w:val="24"/>
        </w:rPr>
      </w:pPr>
      <w:r>
        <w:rPr>
          <w:rFonts w:hint="eastAsia"/>
          <w:szCs w:val="24"/>
        </w:rPr>
        <w:t>合同履行期限：合同签订后60日历日内</w:t>
      </w:r>
      <w:r>
        <w:rPr>
          <w:rFonts w:hint="eastAsia"/>
          <w:szCs w:val="24"/>
          <w:lang w:eastAsia="zh-CN"/>
        </w:rPr>
        <w:t>完成系统开发、测试、培训、上线、接入集成平台并验收完毕，</w:t>
      </w:r>
      <w:r>
        <w:rPr>
          <w:rFonts w:hint="eastAsia"/>
          <w:szCs w:val="24"/>
        </w:rPr>
        <w:t>详见招标文件第三章</w:t>
      </w:r>
    </w:p>
    <w:p>
      <w:pPr>
        <w:numPr>
          <w:ilvl w:val="0"/>
          <w:numId w:val="2"/>
        </w:numPr>
        <w:tabs>
          <w:tab w:val="left" w:pos="851"/>
          <w:tab w:val="clear" w:pos="420"/>
        </w:tabs>
        <w:wordWrap w:val="0"/>
        <w:spacing w:line="360" w:lineRule="auto"/>
        <w:ind w:left="0" w:firstLine="480" w:firstLineChars="200"/>
        <w:rPr>
          <w:b/>
          <w:szCs w:val="24"/>
        </w:rPr>
      </w:pPr>
      <w:r>
        <w:rPr>
          <w:rFonts w:hint="eastAsia"/>
          <w:szCs w:val="24"/>
        </w:rPr>
        <w:t>是否接受联合体投标：否</w:t>
      </w:r>
    </w:p>
    <w:p>
      <w:pPr>
        <w:numPr>
          <w:ilvl w:val="0"/>
          <w:numId w:val="2"/>
        </w:numPr>
        <w:tabs>
          <w:tab w:val="left" w:pos="851"/>
          <w:tab w:val="clear" w:pos="420"/>
        </w:tabs>
        <w:wordWrap w:val="0"/>
        <w:spacing w:line="360" w:lineRule="auto"/>
        <w:ind w:left="0" w:firstLine="480" w:firstLineChars="200"/>
        <w:rPr>
          <w:szCs w:val="24"/>
        </w:rPr>
      </w:pPr>
      <w:r>
        <w:rPr>
          <w:rFonts w:hint="eastAsia"/>
          <w:szCs w:val="24"/>
        </w:rPr>
        <w:t>是否可采购进口产品：否</w:t>
      </w:r>
    </w:p>
    <w:p>
      <w:pPr>
        <w:numPr>
          <w:ilvl w:val="0"/>
          <w:numId w:val="2"/>
        </w:numPr>
        <w:tabs>
          <w:tab w:val="left" w:pos="851"/>
          <w:tab w:val="clear" w:pos="420"/>
        </w:tabs>
        <w:wordWrap w:val="0"/>
        <w:spacing w:line="360" w:lineRule="auto"/>
        <w:ind w:left="0" w:firstLine="480" w:firstLineChars="200"/>
        <w:rPr>
          <w:szCs w:val="24"/>
        </w:rPr>
      </w:pPr>
      <w:r>
        <w:rPr>
          <w:rFonts w:hint="eastAsia"/>
          <w:szCs w:val="24"/>
        </w:rPr>
        <w:t>是否接受合同分包：否</w:t>
      </w:r>
    </w:p>
    <w:p>
      <w:pPr>
        <w:numPr>
          <w:ilvl w:val="0"/>
          <w:numId w:val="2"/>
        </w:numPr>
        <w:tabs>
          <w:tab w:val="left" w:pos="851"/>
          <w:tab w:val="clear" w:pos="420"/>
        </w:tabs>
        <w:wordWrap w:val="0"/>
        <w:spacing w:line="360" w:lineRule="auto"/>
        <w:ind w:left="0" w:firstLine="480" w:firstLineChars="200"/>
        <w:rPr>
          <w:szCs w:val="24"/>
        </w:rPr>
      </w:pPr>
      <w:r>
        <w:rPr>
          <w:rFonts w:hint="eastAsia"/>
          <w:szCs w:val="24"/>
        </w:rPr>
        <w:t>是否专门面向中小微企业：</w:t>
      </w:r>
      <w:r>
        <w:rPr>
          <w:rFonts w:hint="eastAsia"/>
          <w:szCs w:val="24"/>
          <w:u w:val="none"/>
        </w:rPr>
        <w:t>是</w:t>
      </w:r>
    </w:p>
    <w:p>
      <w:pPr>
        <w:numPr>
          <w:ilvl w:val="0"/>
          <w:numId w:val="2"/>
        </w:numPr>
        <w:tabs>
          <w:tab w:val="left" w:pos="851"/>
          <w:tab w:val="clear" w:pos="420"/>
        </w:tabs>
        <w:wordWrap w:val="0"/>
        <w:spacing w:line="360" w:lineRule="auto"/>
        <w:ind w:left="0" w:firstLine="480" w:firstLineChars="200"/>
        <w:rPr>
          <w:szCs w:val="24"/>
        </w:rPr>
      </w:pPr>
      <w:r>
        <w:rPr>
          <w:rFonts w:hint="eastAsia"/>
          <w:szCs w:val="24"/>
        </w:rPr>
        <w:t xml:space="preserve">面向中小微企业的类型为：中小微企业  </w:t>
      </w:r>
    </w:p>
    <w:p>
      <w:pPr>
        <w:spacing w:line="360" w:lineRule="auto"/>
        <w:rPr>
          <w:b/>
          <w:szCs w:val="24"/>
        </w:rPr>
      </w:pPr>
      <w:bookmarkStart w:id="18" w:name="_Toc102119801"/>
      <w:bookmarkStart w:id="19" w:name="_Toc102114868"/>
      <w:bookmarkStart w:id="20" w:name="_Toc102056168"/>
      <w:bookmarkStart w:id="21" w:name="_Toc102116100"/>
      <w:bookmarkStart w:id="22" w:name="_Toc102115970"/>
      <w:bookmarkStart w:id="23" w:name="_Toc102057668"/>
      <w:r>
        <w:rPr>
          <w:rFonts w:hint="eastAsia"/>
          <w:b/>
          <w:szCs w:val="24"/>
        </w:rPr>
        <w:t>二</w:t>
      </w:r>
      <w:r>
        <w:rPr>
          <w:b/>
          <w:szCs w:val="24"/>
        </w:rPr>
        <w:t>、</w:t>
      </w:r>
      <w:r>
        <w:rPr>
          <w:rFonts w:hint="eastAsia"/>
          <w:b/>
          <w:szCs w:val="24"/>
        </w:rPr>
        <w:t>投标</w:t>
      </w:r>
      <w:r>
        <w:rPr>
          <w:b/>
          <w:szCs w:val="24"/>
        </w:rPr>
        <w:t>人</w:t>
      </w:r>
      <w:r>
        <w:rPr>
          <w:rFonts w:hint="eastAsia"/>
          <w:b/>
          <w:szCs w:val="24"/>
        </w:rPr>
        <w:t>资格要求</w:t>
      </w:r>
      <w:bookmarkEnd w:id="18"/>
      <w:bookmarkEnd w:id="19"/>
      <w:bookmarkEnd w:id="20"/>
      <w:bookmarkEnd w:id="21"/>
      <w:bookmarkEnd w:id="22"/>
      <w:bookmarkEnd w:id="23"/>
    </w:p>
    <w:p>
      <w:pPr>
        <w:numPr>
          <w:ilvl w:val="0"/>
          <w:numId w:val="3"/>
        </w:numPr>
        <w:tabs>
          <w:tab w:val="left" w:pos="0"/>
          <w:tab w:val="left" w:pos="851"/>
        </w:tabs>
        <w:wordWrap w:val="0"/>
        <w:spacing w:line="360" w:lineRule="auto"/>
        <w:ind w:left="0" w:firstLine="568" w:firstLineChars="0"/>
        <w:rPr>
          <w:szCs w:val="24"/>
        </w:rPr>
      </w:pPr>
      <w:r>
        <w:rPr>
          <w:rFonts w:hint="eastAsia"/>
          <w:szCs w:val="24"/>
        </w:rPr>
        <w:t>满足《中华人民共和国政府采购法》第二十二条第一款规定，即：</w:t>
      </w:r>
    </w:p>
    <w:p>
      <w:pPr>
        <w:tabs>
          <w:tab w:val="left" w:pos="0"/>
        </w:tabs>
        <w:wordWrap w:val="0"/>
        <w:spacing w:line="360" w:lineRule="auto"/>
        <w:ind w:left="482"/>
        <w:rPr>
          <w:szCs w:val="24"/>
        </w:rPr>
      </w:pPr>
      <w:r>
        <w:rPr>
          <w:rFonts w:hint="eastAsia"/>
          <w:szCs w:val="24"/>
        </w:rPr>
        <w:t>（1）具有独立承担民事责任的能力；</w:t>
      </w:r>
    </w:p>
    <w:p>
      <w:pPr>
        <w:tabs>
          <w:tab w:val="left" w:pos="0"/>
        </w:tabs>
        <w:wordWrap w:val="0"/>
        <w:spacing w:line="360" w:lineRule="auto"/>
        <w:ind w:left="482"/>
        <w:rPr>
          <w:szCs w:val="24"/>
        </w:rPr>
      </w:pPr>
      <w:r>
        <w:rPr>
          <w:rFonts w:hint="eastAsia"/>
          <w:szCs w:val="24"/>
        </w:rPr>
        <w:t>（2）具有良好的商业信誉和健全的财务会计制度；</w:t>
      </w:r>
    </w:p>
    <w:p>
      <w:pPr>
        <w:tabs>
          <w:tab w:val="left" w:pos="0"/>
        </w:tabs>
        <w:wordWrap w:val="0"/>
        <w:spacing w:line="360" w:lineRule="auto"/>
        <w:ind w:left="482"/>
        <w:rPr>
          <w:szCs w:val="24"/>
        </w:rPr>
      </w:pPr>
      <w:r>
        <w:rPr>
          <w:rFonts w:hint="eastAsia"/>
          <w:szCs w:val="24"/>
        </w:rPr>
        <w:t>（3）具有履行合同所必需的设备和专业技术能力；</w:t>
      </w:r>
    </w:p>
    <w:p>
      <w:pPr>
        <w:tabs>
          <w:tab w:val="left" w:pos="0"/>
        </w:tabs>
        <w:wordWrap w:val="0"/>
        <w:spacing w:line="360" w:lineRule="auto"/>
        <w:ind w:left="482"/>
        <w:rPr>
          <w:szCs w:val="24"/>
        </w:rPr>
      </w:pPr>
      <w:r>
        <w:rPr>
          <w:rFonts w:hint="eastAsia"/>
          <w:szCs w:val="24"/>
        </w:rPr>
        <w:t>（4）有依法缴纳税收和社会保障资金的良好记录；</w:t>
      </w:r>
    </w:p>
    <w:p>
      <w:pPr>
        <w:tabs>
          <w:tab w:val="left" w:pos="0"/>
        </w:tabs>
        <w:wordWrap w:val="0"/>
        <w:spacing w:line="360" w:lineRule="auto"/>
        <w:ind w:left="482"/>
        <w:rPr>
          <w:szCs w:val="24"/>
        </w:rPr>
      </w:pPr>
      <w:r>
        <w:rPr>
          <w:rFonts w:hint="eastAsia"/>
          <w:szCs w:val="24"/>
        </w:rPr>
        <w:t>（5）参加政府采购活动前三年内，在经营活动中没有重大违法记录；</w:t>
      </w:r>
    </w:p>
    <w:p>
      <w:pPr>
        <w:tabs>
          <w:tab w:val="left" w:pos="0"/>
        </w:tabs>
        <w:wordWrap w:val="0"/>
        <w:spacing w:line="360" w:lineRule="auto"/>
        <w:ind w:left="482"/>
        <w:rPr>
          <w:szCs w:val="24"/>
        </w:rPr>
      </w:pPr>
      <w:r>
        <w:rPr>
          <w:rFonts w:hint="eastAsia"/>
          <w:szCs w:val="24"/>
        </w:rPr>
        <w:t>（6）法律、行政法规规定的其他条件。</w:t>
      </w:r>
    </w:p>
    <w:p>
      <w:pPr>
        <w:numPr>
          <w:ilvl w:val="0"/>
          <w:numId w:val="3"/>
        </w:numPr>
        <w:tabs>
          <w:tab w:val="left" w:pos="0"/>
          <w:tab w:val="left" w:pos="851"/>
        </w:tabs>
        <w:wordWrap w:val="0"/>
        <w:spacing w:line="360" w:lineRule="auto"/>
        <w:ind w:left="0" w:firstLine="568" w:firstLineChars="0"/>
        <w:rPr>
          <w:szCs w:val="24"/>
        </w:rPr>
      </w:pPr>
      <w:r>
        <w:rPr>
          <w:rFonts w:hint="eastAsia"/>
          <w:szCs w:val="24"/>
        </w:rPr>
        <w:t>单位负责人为同一人或者存在直接控股、管理关系的不同投标人，不得参加本项目同一合同项下的政府采购活动。</w:t>
      </w:r>
    </w:p>
    <w:p>
      <w:pPr>
        <w:numPr>
          <w:ilvl w:val="0"/>
          <w:numId w:val="3"/>
        </w:numPr>
        <w:tabs>
          <w:tab w:val="left" w:pos="0"/>
          <w:tab w:val="left" w:pos="851"/>
        </w:tabs>
        <w:wordWrap w:val="0"/>
        <w:spacing w:line="360" w:lineRule="auto"/>
        <w:ind w:left="0" w:firstLine="568" w:firstLineChars="0"/>
        <w:rPr>
          <w:szCs w:val="24"/>
        </w:rPr>
      </w:pPr>
      <w:r>
        <w:rPr>
          <w:rFonts w:hint="eastAsia"/>
          <w:szCs w:val="24"/>
        </w:rPr>
        <w:t>为本采购项目提供整体设计、规范编制或者项目管理、监理、检测等服务的，不得再参加本项目的其他招标采购活动。</w:t>
      </w:r>
    </w:p>
    <w:p>
      <w:pPr>
        <w:numPr>
          <w:ilvl w:val="0"/>
          <w:numId w:val="3"/>
        </w:numPr>
        <w:tabs>
          <w:tab w:val="left" w:pos="0"/>
          <w:tab w:val="left" w:pos="851"/>
        </w:tabs>
        <w:wordWrap w:val="0"/>
        <w:spacing w:line="360" w:lineRule="auto"/>
        <w:ind w:left="0" w:firstLine="568" w:firstLineChars="0"/>
        <w:rPr>
          <w:szCs w:val="24"/>
        </w:rPr>
      </w:pPr>
      <w:r>
        <w:rPr>
          <w:rFonts w:hint="eastAsia"/>
          <w:szCs w:val="24"/>
        </w:rPr>
        <w:t>未被列入失信被执行人、重大税收违法案件当事人名单，未被列入政府采购严重违法失信行为记录名单。</w:t>
      </w:r>
    </w:p>
    <w:p>
      <w:pPr>
        <w:numPr>
          <w:ilvl w:val="0"/>
          <w:numId w:val="3"/>
        </w:numPr>
        <w:tabs>
          <w:tab w:val="left" w:pos="0"/>
          <w:tab w:val="left" w:pos="851"/>
        </w:tabs>
        <w:wordWrap w:val="0"/>
        <w:spacing w:line="360" w:lineRule="auto"/>
        <w:ind w:left="0" w:firstLine="568" w:firstLineChars="0"/>
        <w:rPr>
          <w:szCs w:val="24"/>
        </w:rPr>
      </w:pPr>
      <w:r>
        <w:rPr>
          <w:rFonts w:hint="eastAsia"/>
          <w:szCs w:val="24"/>
        </w:rPr>
        <w:t>落实政府采购政策需满足的资格要求：</w:t>
      </w:r>
    </w:p>
    <w:p>
      <w:pPr>
        <w:tabs>
          <w:tab w:val="left" w:pos="0"/>
          <w:tab w:val="left" w:pos="851"/>
        </w:tabs>
        <w:wordWrap w:val="0"/>
        <w:spacing w:line="360" w:lineRule="auto"/>
        <w:ind w:firstLine="480" w:firstLineChars="200"/>
        <w:rPr>
          <w:szCs w:val="24"/>
        </w:rPr>
      </w:pPr>
      <w:r>
        <w:rPr>
          <w:rFonts w:hint="eastAsia"/>
          <w:szCs w:val="24"/>
        </w:rPr>
        <w:t>（1）本项目专门面向中小微企业，即承接服务的供应商为中小微企业（监狱企业、残疾人福利性单位视同小微企业）。</w:t>
      </w:r>
    </w:p>
    <w:p>
      <w:pPr>
        <w:tabs>
          <w:tab w:val="left" w:pos="0"/>
          <w:tab w:val="left" w:pos="851"/>
        </w:tabs>
        <w:wordWrap w:val="0"/>
        <w:spacing w:line="360" w:lineRule="auto"/>
        <w:ind w:firstLine="480" w:firstLineChars="200"/>
        <w:rPr>
          <w:rFonts w:hint="eastAsia"/>
          <w:szCs w:val="24"/>
        </w:rPr>
      </w:pPr>
      <w:r>
        <w:rPr>
          <w:rFonts w:hint="eastAsia"/>
          <w:szCs w:val="24"/>
        </w:rPr>
        <w:t>（2）本项目采购标的对应的中小企业划分标准所属行业为</w:t>
      </w:r>
      <w:r>
        <w:rPr>
          <w:rFonts w:hint="eastAsia"/>
          <w:b/>
          <w:bCs/>
          <w:szCs w:val="24"/>
        </w:rPr>
        <w:t>软件与信息技术服务业</w:t>
      </w:r>
      <w:r>
        <w:rPr>
          <w:rFonts w:hint="eastAsia"/>
          <w:szCs w:val="24"/>
        </w:rPr>
        <w:t>。</w:t>
      </w:r>
      <w:bookmarkStart w:id="24" w:name="_Toc102115971"/>
      <w:bookmarkStart w:id="25" w:name="_Toc102056169"/>
      <w:bookmarkStart w:id="26" w:name="_Toc102114869"/>
      <w:bookmarkStart w:id="27" w:name="_Toc102057669"/>
      <w:bookmarkStart w:id="28" w:name="_Toc102116101"/>
      <w:bookmarkStart w:id="29" w:name="_Toc102119802"/>
    </w:p>
    <w:p>
      <w:pPr>
        <w:numPr>
          <w:ilvl w:val="0"/>
          <w:numId w:val="3"/>
        </w:numPr>
        <w:tabs>
          <w:tab w:val="left" w:pos="0"/>
          <w:tab w:val="left" w:pos="851"/>
        </w:tabs>
        <w:wordWrap w:val="0"/>
        <w:spacing w:line="360" w:lineRule="auto"/>
        <w:ind w:left="0" w:firstLine="568" w:firstLineChars="0"/>
        <w:rPr>
          <w:rFonts w:hint="eastAsia"/>
          <w:szCs w:val="24"/>
        </w:rPr>
      </w:pPr>
      <w:r>
        <w:rPr>
          <w:rFonts w:hint="eastAsia"/>
          <w:szCs w:val="24"/>
        </w:rPr>
        <w:t>本项目的特定资格要求：</w:t>
      </w:r>
    </w:p>
    <w:p>
      <w:pPr>
        <w:tabs>
          <w:tab w:val="left" w:pos="0"/>
          <w:tab w:val="left" w:pos="851"/>
        </w:tabs>
        <w:wordWrap w:val="0"/>
        <w:spacing w:line="360" w:lineRule="auto"/>
        <w:ind w:firstLine="480" w:firstLineChars="200"/>
        <w:rPr>
          <w:rFonts w:hint="eastAsia" w:eastAsia="宋体"/>
          <w:lang w:eastAsia="zh-CN"/>
        </w:rPr>
      </w:pPr>
      <w:r>
        <w:rPr>
          <w:rFonts w:hint="eastAsia"/>
          <w:szCs w:val="24"/>
        </w:rPr>
        <w:t>无</w:t>
      </w:r>
      <w:r>
        <w:rPr>
          <w:rFonts w:hint="eastAsia"/>
          <w:szCs w:val="24"/>
          <w:lang w:eastAsia="zh-CN"/>
        </w:rPr>
        <w:t>。</w:t>
      </w:r>
    </w:p>
    <w:p>
      <w:pPr>
        <w:spacing w:line="360" w:lineRule="auto"/>
        <w:rPr>
          <w:b/>
          <w:szCs w:val="24"/>
        </w:rPr>
      </w:pPr>
      <w:r>
        <w:rPr>
          <w:rFonts w:hint="eastAsia"/>
          <w:b/>
          <w:szCs w:val="24"/>
        </w:rPr>
        <w:t>三</w:t>
      </w:r>
      <w:r>
        <w:rPr>
          <w:b/>
          <w:szCs w:val="24"/>
        </w:rPr>
        <w:t>、</w:t>
      </w:r>
      <w:r>
        <w:rPr>
          <w:rFonts w:hint="eastAsia"/>
          <w:b/>
          <w:szCs w:val="24"/>
        </w:rPr>
        <w:t>获取招标文件</w:t>
      </w:r>
      <w:bookmarkEnd w:id="24"/>
      <w:bookmarkEnd w:id="25"/>
      <w:bookmarkEnd w:id="26"/>
      <w:bookmarkEnd w:id="27"/>
      <w:bookmarkEnd w:id="28"/>
      <w:bookmarkEnd w:id="29"/>
    </w:p>
    <w:p>
      <w:pPr>
        <w:numPr>
          <w:ilvl w:val="0"/>
          <w:numId w:val="4"/>
        </w:numPr>
        <w:tabs>
          <w:tab w:val="left" w:pos="0"/>
          <w:tab w:val="left" w:pos="851"/>
          <w:tab w:val="clear" w:pos="420"/>
        </w:tabs>
        <w:wordWrap w:val="0"/>
        <w:spacing w:line="360" w:lineRule="auto"/>
        <w:ind w:left="0" w:firstLine="480" w:firstLineChars="200"/>
        <w:rPr>
          <w:szCs w:val="24"/>
        </w:rPr>
      </w:pPr>
      <w:r>
        <w:rPr>
          <w:rFonts w:hint="eastAsia"/>
          <w:szCs w:val="24"/>
        </w:rPr>
        <w:t>时间：</w:t>
      </w:r>
      <w:r>
        <w:rPr>
          <w:rFonts w:hint="eastAsia" w:cs="宋体"/>
          <w:szCs w:val="24"/>
        </w:rPr>
        <w:t>20</w:t>
      </w:r>
      <w:r>
        <w:rPr>
          <w:rFonts w:hint="eastAsia" w:cs="宋体"/>
          <w:szCs w:val="24"/>
          <w:lang w:val="en-US" w:eastAsia="zh-CN"/>
        </w:rPr>
        <w:t>24</w:t>
      </w:r>
      <w:r>
        <w:rPr>
          <w:rFonts w:hint="eastAsia" w:cs="宋体"/>
          <w:szCs w:val="24"/>
        </w:rPr>
        <w:t>年</w:t>
      </w:r>
      <w:r>
        <w:rPr>
          <w:rFonts w:hint="eastAsia" w:cs="宋体"/>
          <w:szCs w:val="24"/>
          <w:lang w:val="en-US" w:eastAsia="zh-CN"/>
        </w:rPr>
        <w:t>02</w:t>
      </w:r>
      <w:r>
        <w:rPr>
          <w:rFonts w:hint="eastAsia" w:cs="宋体"/>
          <w:szCs w:val="24"/>
        </w:rPr>
        <w:t>月</w:t>
      </w:r>
      <w:r>
        <w:rPr>
          <w:rFonts w:hint="eastAsia" w:cs="宋体"/>
          <w:szCs w:val="24"/>
          <w:lang w:val="en-US" w:eastAsia="zh-CN"/>
        </w:rPr>
        <w:t>03</w:t>
      </w:r>
      <w:r>
        <w:rPr>
          <w:rFonts w:hint="eastAsia" w:cs="宋体"/>
          <w:szCs w:val="24"/>
        </w:rPr>
        <w:t>日至20</w:t>
      </w:r>
      <w:r>
        <w:rPr>
          <w:rFonts w:hint="eastAsia" w:cs="宋体"/>
          <w:szCs w:val="24"/>
          <w:lang w:val="en-US" w:eastAsia="zh-CN"/>
        </w:rPr>
        <w:t>24</w:t>
      </w:r>
      <w:r>
        <w:rPr>
          <w:rFonts w:hint="eastAsia" w:cs="宋体"/>
          <w:szCs w:val="24"/>
        </w:rPr>
        <w:t>年</w:t>
      </w:r>
      <w:r>
        <w:rPr>
          <w:rFonts w:hint="eastAsia" w:cs="宋体"/>
          <w:szCs w:val="24"/>
          <w:lang w:val="en-US" w:eastAsia="zh-CN"/>
        </w:rPr>
        <w:t>02</w:t>
      </w:r>
      <w:r>
        <w:rPr>
          <w:rFonts w:hint="eastAsia" w:cs="宋体"/>
          <w:szCs w:val="24"/>
        </w:rPr>
        <w:t>月</w:t>
      </w:r>
      <w:r>
        <w:rPr>
          <w:rFonts w:hint="eastAsia" w:cs="宋体"/>
          <w:szCs w:val="24"/>
          <w:lang w:val="en-US" w:eastAsia="zh-CN"/>
        </w:rPr>
        <w:t>09</w:t>
      </w:r>
      <w:r>
        <w:rPr>
          <w:rFonts w:hint="eastAsia" w:cs="宋体"/>
          <w:szCs w:val="24"/>
        </w:rPr>
        <w:t>日，每天上午00:00至12:00，下午12:00至24:00（北京时间，法定节假日除外）</w:t>
      </w:r>
    </w:p>
    <w:p>
      <w:pPr>
        <w:numPr>
          <w:ilvl w:val="0"/>
          <w:numId w:val="4"/>
        </w:numPr>
        <w:tabs>
          <w:tab w:val="left" w:pos="0"/>
          <w:tab w:val="left" w:pos="851"/>
          <w:tab w:val="clear" w:pos="420"/>
        </w:tabs>
        <w:wordWrap w:val="0"/>
        <w:spacing w:line="360" w:lineRule="auto"/>
        <w:ind w:left="0" w:firstLine="480" w:firstLineChars="200"/>
        <w:rPr>
          <w:szCs w:val="24"/>
        </w:rPr>
      </w:pPr>
      <w:r>
        <w:rPr>
          <w:rFonts w:hint="eastAsia"/>
          <w:szCs w:val="24"/>
        </w:rPr>
        <w:t>地点：中国湖北政府采购网（http://www.ccgp-hubei.gov.cn）或黄冈市公共资源交易中心网（http://www.hgggzy.com）采购公告</w:t>
      </w:r>
    </w:p>
    <w:p>
      <w:pPr>
        <w:numPr>
          <w:ilvl w:val="0"/>
          <w:numId w:val="4"/>
        </w:numPr>
        <w:tabs>
          <w:tab w:val="left" w:pos="0"/>
          <w:tab w:val="left" w:pos="851"/>
          <w:tab w:val="clear" w:pos="420"/>
        </w:tabs>
        <w:wordWrap w:val="0"/>
        <w:spacing w:line="360" w:lineRule="auto"/>
        <w:ind w:left="0" w:firstLine="480" w:firstLineChars="200"/>
        <w:rPr>
          <w:szCs w:val="24"/>
        </w:rPr>
      </w:pPr>
      <w:r>
        <w:rPr>
          <w:rFonts w:hint="eastAsia"/>
          <w:szCs w:val="24"/>
        </w:rPr>
        <w:t>方式：点击本公告中的文件下载链接下载招标文件，</w:t>
      </w:r>
      <w:r>
        <w:rPr>
          <w:rFonts w:hint="eastAsia"/>
          <w:b/>
          <w:bCs/>
          <w:szCs w:val="24"/>
        </w:rPr>
        <w:t>并在获取招标文件时间内登陆黄冈市政府电子采购平台点击</w:t>
      </w:r>
      <w:r>
        <w:rPr>
          <w:rFonts w:hint="eastAsia"/>
          <w:b/>
          <w:szCs w:val="24"/>
        </w:rPr>
        <w:t>项目参与</w:t>
      </w:r>
      <w:r>
        <w:rPr>
          <w:rFonts w:hint="eastAsia"/>
          <w:szCs w:val="24"/>
        </w:rPr>
        <w:t>（未在获取招标文件时间内用CA数字证书登陆黄冈市政府电子采购平台点击项目参与的投标人将无法提交投标文件）。潜在投标人应是黄冈市</w:t>
      </w:r>
      <w:r>
        <w:rPr>
          <w:szCs w:val="24"/>
        </w:rPr>
        <w:t>政府电子采购平台注册供应商。</w:t>
      </w:r>
      <w:r>
        <w:rPr>
          <w:rFonts w:hint="eastAsia"/>
          <w:szCs w:val="24"/>
        </w:rPr>
        <w:t>注册网站：https://sso.hubeigp.gov.cn/checkLogin?sourceURL=https%3A%2F%2Fdzcg.hubeigp.gov.cn%2Flogon&amp;cloudid=148，</w:t>
      </w:r>
      <w:r>
        <w:rPr>
          <w:szCs w:val="24"/>
        </w:rPr>
        <w:t>注册咨询</w:t>
      </w:r>
      <w:r>
        <w:rPr>
          <w:rFonts w:hint="eastAsia"/>
          <w:szCs w:val="24"/>
        </w:rPr>
        <w:t>联系</w:t>
      </w:r>
      <w:r>
        <w:rPr>
          <w:szCs w:val="24"/>
        </w:rPr>
        <w:t>电话：</w:t>
      </w:r>
      <w:r>
        <w:rPr>
          <w:rFonts w:hint="eastAsia"/>
          <w:szCs w:val="24"/>
        </w:rPr>
        <w:t>400-9913-966。</w:t>
      </w:r>
    </w:p>
    <w:p>
      <w:pPr>
        <w:spacing w:line="360" w:lineRule="auto"/>
        <w:rPr>
          <w:b/>
          <w:szCs w:val="24"/>
        </w:rPr>
      </w:pPr>
      <w:bookmarkStart w:id="30" w:name="_Toc102057670"/>
      <w:bookmarkStart w:id="31" w:name="_Toc102116102"/>
      <w:bookmarkStart w:id="32" w:name="_Toc102114870"/>
      <w:bookmarkStart w:id="33" w:name="_Toc102119803"/>
      <w:bookmarkStart w:id="34" w:name="_Toc102056170"/>
      <w:bookmarkStart w:id="35" w:name="_Toc102115972"/>
      <w:r>
        <w:rPr>
          <w:rFonts w:hint="eastAsia"/>
          <w:b/>
          <w:szCs w:val="24"/>
        </w:rPr>
        <w:t>四</w:t>
      </w:r>
      <w:r>
        <w:rPr>
          <w:b/>
          <w:szCs w:val="24"/>
        </w:rPr>
        <w:t>、</w:t>
      </w:r>
      <w:r>
        <w:rPr>
          <w:rFonts w:hint="eastAsia"/>
          <w:b/>
          <w:szCs w:val="24"/>
        </w:rPr>
        <w:t>提交投标文件截止时间、开标时间和地点</w:t>
      </w:r>
      <w:bookmarkEnd w:id="30"/>
      <w:bookmarkEnd w:id="31"/>
      <w:bookmarkEnd w:id="32"/>
      <w:bookmarkEnd w:id="33"/>
      <w:bookmarkEnd w:id="34"/>
      <w:bookmarkEnd w:id="35"/>
    </w:p>
    <w:p>
      <w:pPr>
        <w:numPr>
          <w:ilvl w:val="0"/>
          <w:numId w:val="5"/>
        </w:numPr>
        <w:tabs>
          <w:tab w:val="left" w:pos="0"/>
          <w:tab w:val="left" w:pos="851"/>
          <w:tab w:val="clear" w:pos="420"/>
        </w:tabs>
        <w:wordWrap w:val="0"/>
        <w:spacing w:line="360" w:lineRule="auto"/>
        <w:ind w:left="0" w:firstLine="480" w:firstLineChars="200"/>
        <w:rPr>
          <w:szCs w:val="24"/>
        </w:rPr>
      </w:pPr>
      <w:r>
        <w:rPr>
          <w:rFonts w:hint="eastAsia"/>
          <w:szCs w:val="24"/>
        </w:rPr>
        <w:t>提交投标文件开始时间：20</w:t>
      </w:r>
      <w:r>
        <w:rPr>
          <w:rFonts w:hint="eastAsia"/>
          <w:szCs w:val="24"/>
          <w:lang w:val="en-US" w:eastAsia="zh-CN"/>
        </w:rPr>
        <w:t>24</w:t>
      </w:r>
      <w:r>
        <w:rPr>
          <w:rFonts w:hint="eastAsia"/>
          <w:szCs w:val="24"/>
        </w:rPr>
        <w:t>年</w:t>
      </w:r>
      <w:r>
        <w:rPr>
          <w:rFonts w:hint="eastAsia"/>
          <w:szCs w:val="24"/>
          <w:lang w:val="en-US" w:eastAsia="zh-CN"/>
        </w:rPr>
        <w:t>02</w:t>
      </w:r>
      <w:r>
        <w:rPr>
          <w:rFonts w:hint="eastAsia"/>
          <w:szCs w:val="24"/>
        </w:rPr>
        <w:t>月</w:t>
      </w:r>
      <w:r>
        <w:rPr>
          <w:rFonts w:hint="eastAsia"/>
          <w:szCs w:val="24"/>
          <w:lang w:val="en-US" w:eastAsia="zh-CN"/>
        </w:rPr>
        <w:t>03</w:t>
      </w:r>
      <w:bookmarkStart w:id="760" w:name="_GoBack"/>
      <w:bookmarkEnd w:id="760"/>
      <w:r>
        <w:rPr>
          <w:rFonts w:hint="eastAsia"/>
          <w:szCs w:val="24"/>
        </w:rPr>
        <w:t>日</w:t>
      </w:r>
      <w:r>
        <w:rPr>
          <w:rFonts w:hint="eastAsia"/>
          <w:szCs w:val="24"/>
          <w:lang w:val="en-US" w:eastAsia="zh-CN"/>
        </w:rPr>
        <w:t>08</w:t>
      </w:r>
      <w:r>
        <w:rPr>
          <w:rFonts w:hint="eastAsia"/>
          <w:szCs w:val="24"/>
        </w:rPr>
        <w:t>点</w:t>
      </w:r>
      <w:r>
        <w:rPr>
          <w:rFonts w:hint="eastAsia"/>
          <w:szCs w:val="24"/>
          <w:lang w:val="en-US" w:eastAsia="zh-CN"/>
        </w:rPr>
        <w:t>30</w:t>
      </w:r>
      <w:r>
        <w:rPr>
          <w:rFonts w:hint="eastAsia"/>
          <w:szCs w:val="24"/>
        </w:rPr>
        <w:t>分（北京时间）</w:t>
      </w:r>
    </w:p>
    <w:p>
      <w:pPr>
        <w:numPr>
          <w:ilvl w:val="0"/>
          <w:numId w:val="5"/>
        </w:numPr>
        <w:tabs>
          <w:tab w:val="left" w:pos="0"/>
          <w:tab w:val="left" w:pos="851"/>
          <w:tab w:val="clear" w:pos="420"/>
        </w:tabs>
        <w:wordWrap w:val="0"/>
        <w:spacing w:line="360" w:lineRule="auto"/>
        <w:ind w:left="0" w:firstLine="480" w:firstLineChars="200"/>
        <w:rPr>
          <w:szCs w:val="24"/>
        </w:rPr>
      </w:pPr>
      <w:r>
        <w:rPr>
          <w:rFonts w:hint="eastAsia"/>
          <w:szCs w:val="24"/>
        </w:rPr>
        <w:t>提交投标文件截止时间、开标时间：20</w:t>
      </w:r>
      <w:r>
        <w:rPr>
          <w:rFonts w:hint="eastAsia"/>
          <w:szCs w:val="24"/>
          <w:lang w:val="en-US" w:eastAsia="zh-CN"/>
        </w:rPr>
        <w:t>24</w:t>
      </w:r>
      <w:r>
        <w:rPr>
          <w:rFonts w:hint="eastAsia"/>
          <w:szCs w:val="24"/>
        </w:rPr>
        <w:t>年</w:t>
      </w:r>
      <w:r>
        <w:rPr>
          <w:rFonts w:hint="eastAsia"/>
          <w:szCs w:val="24"/>
          <w:lang w:val="en-US" w:eastAsia="zh-CN"/>
        </w:rPr>
        <w:t>02</w:t>
      </w:r>
      <w:r>
        <w:rPr>
          <w:rFonts w:hint="eastAsia"/>
          <w:szCs w:val="24"/>
        </w:rPr>
        <w:t>月</w:t>
      </w:r>
      <w:r>
        <w:rPr>
          <w:rFonts w:hint="eastAsia"/>
          <w:szCs w:val="24"/>
          <w:lang w:val="en-US" w:eastAsia="zh-CN"/>
        </w:rPr>
        <w:t>26</w:t>
      </w:r>
      <w:r>
        <w:rPr>
          <w:rFonts w:hint="eastAsia"/>
          <w:szCs w:val="24"/>
        </w:rPr>
        <w:t>日</w:t>
      </w:r>
      <w:r>
        <w:rPr>
          <w:rFonts w:hint="eastAsia"/>
          <w:szCs w:val="24"/>
          <w:lang w:val="en-US" w:eastAsia="zh-CN"/>
        </w:rPr>
        <w:t>09</w:t>
      </w:r>
      <w:r>
        <w:rPr>
          <w:rFonts w:hint="eastAsia"/>
          <w:szCs w:val="24"/>
        </w:rPr>
        <w:t>点</w:t>
      </w:r>
      <w:r>
        <w:rPr>
          <w:rFonts w:hint="eastAsia"/>
          <w:szCs w:val="24"/>
          <w:lang w:val="en-US" w:eastAsia="zh-CN"/>
        </w:rPr>
        <w:t>00</w:t>
      </w:r>
      <w:r>
        <w:rPr>
          <w:rFonts w:hint="eastAsia"/>
          <w:szCs w:val="24"/>
        </w:rPr>
        <w:t>分（北京时间）</w:t>
      </w:r>
    </w:p>
    <w:p>
      <w:pPr>
        <w:numPr>
          <w:ilvl w:val="0"/>
          <w:numId w:val="5"/>
        </w:numPr>
        <w:tabs>
          <w:tab w:val="left" w:pos="0"/>
          <w:tab w:val="left" w:pos="851"/>
          <w:tab w:val="clear" w:pos="420"/>
        </w:tabs>
        <w:wordWrap w:val="0"/>
        <w:spacing w:line="360" w:lineRule="auto"/>
        <w:ind w:left="0" w:firstLine="480" w:firstLineChars="200"/>
        <w:rPr>
          <w:szCs w:val="24"/>
        </w:rPr>
      </w:pPr>
      <w:r>
        <w:rPr>
          <w:rFonts w:hint="eastAsia"/>
          <w:szCs w:val="24"/>
        </w:rPr>
        <w:t>地点：黄冈市政府电子采购平台（https://sso.hubeigp.gov.cn/checkLogin?sourceURL=https%3A%2F%2Fdzcg.hubeigp.gov.cn%2Flogon&amp;cloudid=148）</w:t>
      </w:r>
    </w:p>
    <w:p>
      <w:pPr>
        <w:spacing w:line="360" w:lineRule="auto"/>
        <w:rPr>
          <w:b/>
          <w:szCs w:val="24"/>
        </w:rPr>
      </w:pPr>
      <w:bookmarkStart w:id="36" w:name="_Toc102116103"/>
      <w:bookmarkStart w:id="37" w:name="_Toc102057671"/>
      <w:bookmarkStart w:id="38" w:name="_Toc102114871"/>
      <w:bookmarkStart w:id="39" w:name="_Toc102119804"/>
      <w:bookmarkStart w:id="40" w:name="_Toc102056171"/>
      <w:bookmarkStart w:id="41" w:name="_Toc102115973"/>
      <w:r>
        <w:rPr>
          <w:rFonts w:hint="eastAsia"/>
          <w:b/>
          <w:szCs w:val="24"/>
        </w:rPr>
        <w:t>五</w:t>
      </w:r>
      <w:r>
        <w:rPr>
          <w:b/>
          <w:szCs w:val="24"/>
        </w:rPr>
        <w:t>、</w:t>
      </w:r>
      <w:r>
        <w:rPr>
          <w:rFonts w:hint="eastAsia"/>
          <w:b/>
          <w:szCs w:val="24"/>
        </w:rPr>
        <w:t>公告期限</w:t>
      </w:r>
      <w:bookmarkEnd w:id="36"/>
      <w:bookmarkEnd w:id="37"/>
      <w:bookmarkEnd w:id="38"/>
      <w:bookmarkEnd w:id="39"/>
      <w:bookmarkEnd w:id="40"/>
      <w:bookmarkEnd w:id="41"/>
    </w:p>
    <w:p>
      <w:pPr>
        <w:tabs>
          <w:tab w:val="left" w:pos="896"/>
        </w:tabs>
        <w:wordWrap w:val="0"/>
        <w:spacing w:line="360" w:lineRule="auto"/>
        <w:ind w:firstLine="480" w:firstLineChars="200"/>
        <w:rPr>
          <w:szCs w:val="24"/>
        </w:rPr>
      </w:pPr>
      <w:r>
        <w:rPr>
          <w:rFonts w:hint="eastAsia"/>
          <w:szCs w:val="24"/>
        </w:rPr>
        <w:t>自本公告发布之日起5个工作日。</w:t>
      </w:r>
    </w:p>
    <w:p>
      <w:pPr>
        <w:spacing w:line="360" w:lineRule="auto"/>
        <w:rPr>
          <w:b/>
          <w:szCs w:val="24"/>
        </w:rPr>
      </w:pPr>
      <w:bookmarkStart w:id="42" w:name="_Toc102115974"/>
      <w:bookmarkStart w:id="43" w:name="_Toc102114872"/>
      <w:bookmarkStart w:id="44" w:name="_Toc102057672"/>
      <w:bookmarkStart w:id="45" w:name="_Toc102056172"/>
      <w:bookmarkStart w:id="46" w:name="_Toc102119805"/>
      <w:bookmarkStart w:id="47" w:name="_Toc102116104"/>
      <w:r>
        <w:rPr>
          <w:rFonts w:hint="eastAsia"/>
          <w:b/>
          <w:szCs w:val="24"/>
        </w:rPr>
        <w:t>六</w:t>
      </w:r>
      <w:r>
        <w:rPr>
          <w:b/>
          <w:szCs w:val="24"/>
        </w:rPr>
        <w:t>、</w:t>
      </w:r>
      <w:r>
        <w:rPr>
          <w:rFonts w:hint="eastAsia"/>
          <w:b/>
          <w:szCs w:val="24"/>
        </w:rPr>
        <w:t>其他补充事宜</w:t>
      </w:r>
      <w:bookmarkEnd w:id="42"/>
      <w:bookmarkEnd w:id="43"/>
      <w:bookmarkEnd w:id="44"/>
      <w:bookmarkEnd w:id="45"/>
      <w:bookmarkEnd w:id="46"/>
      <w:bookmarkEnd w:id="47"/>
    </w:p>
    <w:p>
      <w:pPr>
        <w:numPr>
          <w:ilvl w:val="0"/>
          <w:numId w:val="6"/>
        </w:numPr>
        <w:tabs>
          <w:tab w:val="left" w:pos="0"/>
          <w:tab w:val="left" w:pos="851"/>
          <w:tab w:val="clear" w:pos="420"/>
        </w:tabs>
        <w:wordWrap w:val="0"/>
        <w:spacing w:line="360" w:lineRule="auto"/>
        <w:ind w:left="0" w:firstLine="480" w:firstLineChars="200"/>
        <w:rPr>
          <w:szCs w:val="24"/>
        </w:rPr>
      </w:pPr>
      <w:r>
        <w:rPr>
          <w:rFonts w:hint="eastAsia"/>
          <w:szCs w:val="24"/>
        </w:rPr>
        <w:t>是</w:t>
      </w:r>
      <w:r>
        <w:rPr>
          <w:szCs w:val="24"/>
        </w:rPr>
        <w:t>否</w:t>
      </w:r>
      <w:r>
        <w:rPr>
          <w:rFonts w:hint="eastAsia"/>
          <w:szCs w:val="24"/>
        </w:rPr>
        <w:t>政府集中采购项目：是。</w:t>
      </w:r>
    </w:p>
    <w:p>
      <w:pPr>
        <w:numPr>
          <w:ilvl w:val="0"/>
          <w:numId w:val="6"/>
        </w:numPr>
        <w:tabs>
          <w:tab w:val="left" w:pos="0"/>
          <w:tab w:val="left" w:pos="851"/>
          <w:tab w:val="clear" w:pos="420"/>
        </w:tabs>
        <w:wordWrap w:val="0"/>
        <w:spacing w:line="360" w:lineRule="auto"/>
        <w:ind w:left="0" w:firstLine="480" w:firstLineChars="200"/>
        <w:rPr>
          <w:szCs w:val="24"/>
        </w:rPr>
      </w:pPr>
      <w:r>
        <w:rPr>
          <w:rFonts w:hint="eastAsia"/>
          <w:szCs w:val="24"/>
        </w:rPr>
        <w:t>采购预算资金来源：市级财政性资金。</w:t>
      </w:r>
    </w:p>
    <w:p>
      <w:pPr>
        <w:numPr>
          <w:ilvl w:val="0"/>
          <w:numId w:val="6"/>
        </w:numPr>
        <w:tabs>
          <w:tab w:val="left" w:pos="0"/>
          <w:tab w:val="left" w:pos="851"/>
          <w:tab w:val="clear" w:pos="420"/>
        </w:tabs>
        <w:wordWrap w:val="0"/>
        <w:spacing w:line="360" w:lineRule="auto"/>
        <w:ind w:left="0" w:firstLine="480" w:firstLineChars="200"/>
        <w:rPr>
          <w:szCs w:val="24"/>
        </w:rPr>
      </w:pPr>
      <w:r>
        <w:rPr>
          <w:rFonts w:hint="eastAsia"/>
          <w:szCs w:val="24"/>
        </w:rPr>
        <w:t>采购活动中应落实节约资源、保护环境、支持创新、支持绿色发展、扶持不发达地区和少数民族地区、促进中小企业发展等政策。</w:t>
      </w:r>
    </w:p>
    <w:p>
      <w:pPr>
        <w:numPr>
          <w:ilvl w:val="0"/>
          <w:numId w:val="6"/>
        </w:numPr>
        <w:tabs>
          <w:tab w:val="left" w:pos="0"/>
          <w:tab w:val="left" w:pos="851"/>
          <w:tab w:val="clear" w:pos="420"/>
        </w:tabs>
        <w:wordWrap w:val="0"/>
        <w:spacing w:line="360" w:lineRule="auto"/>
        <w:ind w:left="0" w:firstLine="480" w:firstLineChars="200"/>
        <w:rPr>
          <w:szCs w:val="24"/>
        </w:rPr>
      </w:pPr>
      <w:r>
        <w:rPr>
          <w:rFonts w:hint="eastAsia"/>
          <w:szCs w:val="24"/>
        </w:rPr>
        <w:t>登录“黄冈市政府电子采购平台”时，请投标人在浏览器直接输入黄冈市政府电子采购平台官方网址https://sso.hubeigp.gov.cn/checkLogin?sourceURL=https%3A%2F%2Fdzcg.hubeigp.gov.cn%2Flogon&amp;cloudid=148，勿使用搜索引擎查找，以免错误登录其他非官方平台，导致项目参与失败。</w:t>
      </w:r>
    </w:p>
    <w:p>
      <w:pPr>
        <w:spacing w:line="360" w:lineRule="auto"/>
        <w:rPr>
          <w:b/>
          <w:szCs w:val="24"/>
        </w:rPr>
      </w:pPr>
      <w:bookmarkStart w:id="48" w:name="_Toc102114873"/>
      <w:bookmarkStart w:id="49" w:name="_Toc102119806"/>
      <w:bookmarkStart w:id="50" w:name="_Toc102115975"/>
      <w:bookmarkStart w:id="51" w:name="_Toc102057673"/>
      <w:bookmarkStart w:id="52" w:name="_Toc102116105"/>
      <w:bookmarkStart w:id="53" w:name="_Toc102056173"/>
      <w:r>
        <w:rPr>
          <w:rFonts w:hint="eastAsia"/>
          <w:b/>
          <w:szCs w:val="24"/>
        </w:rPr>
        <w:t>七</w:t>
      </w:r>
      <w:r>
        <w:rPr>
          <w:b/>
          <w:szCs w:val="24"/>
        </w:rPr>
        <w:t>、</w:t>
      </w:r>
      <w:r>
        <w:rPr>
          <w:rFonts w:hint="eastAsia"/>
          <w:b/>
          <w:szCs w:val="24"/>
        </w:rPr>
        <w:t>对本次招标提出询问，请按以下方式联系</w:t>
      </w:r>
      <w:bookmarkEnd w:id="48"/>
      <w:bookmarkEnd w:id="49"/>
      <w:bookmarkEnd w:id="50"/>
      <w:bookmarkEnd w:id="51"/>
      <w:bookmarkEnd w:id="52"/>
      <w:bookmarkEnd w:id="53"/>
    </w:p>
    <w:p>
      <w:pPr>
        <w:numPr>
          <w:ilvl w:val="0"/>
          <w:numId w:val="7"/>
        </w:numPr>
        <w:tabs>
          <w:tab w:val="left" w:pos="0"/>
        </w:tabs>
        <w:wordWrap w:val="0"/>
        <w:spacing w:line="360" w:lineRule="auto"/>
        <w:ind w:left="851" w:hanging="369"/>
        <w:rPr>
          <w:szCs w:val="24"/>
        </w:rPr>
      </w:pPr>
      <w:r>
        <w:rPr>
          <w:rFonts w:hint="eastAsia"/>
          <w:szCs w:val="24"/>
        </w:rPr>
        <w:t>采购人信息</w:t>
      </w:r>
    </w:p>
    <w:p>
      <w:pPr>
        <w:tabs>
          <w:tab w:val="left" w:pos="0"/>
        </w:tabs>
        <w:wordWrap w:val="0"/>
        <w:spacing w:line="360" w:lineRule="auto"/>
        <w:ind w:left="851"/>
        <w:rPr>
          <w:rFonts w:hint="eastAsia" w:eastAsia="宋体"/>
          <w:szCs w:val="24"/>
          <w:lang w:eastAsia="zh-CN"/>
        </w:rPr>
      </w:pPr>
      <w:r>
        <w:rPr>
          <w:rFonts w:hint="eastAsia"/>
          <w:szCs w:val="24"/>
        </w:rPr>
        <w:t>名称：黄冈市</w:t>
      </w:r>
      <w:r>
        <w:rPr>
          <w:rFonts w:hint="eastAsia"/>
          <w:szCs w:val="24"/>
          <w:lang w:eastAsia="zh-CN"/>
        </w:rPr>
        <w:t>中心医院</w:t>
      </w:r>
    </w:p>
    <w:p>
      <w:pPr>
        <w:tabs>
          <w:tab w:val="left" w:pos="0"/>
        </w:tabs>
        <w:wordWrap w:val="0"/>
        <w:spacing w:line="360" w:lineRule="auto"/>
        <w:ind w:left="851"/>
        <w:rPr>
          <w:rFonts w:hint="eastAsia"/>
          <w:szCs w:val="24"/>
        </w:rPr>
      </w:pPr>
      <w:r>
        <w:rPr>
          <w:rFonts w:hint="eastAsia"/>
          <w:szCs w:val="24"/>
        </w:rPr>
        <w:t>地址：黄州</w:t>
      </w:r>
      <w:r>
        <w:rPr>
          <w:szCs w:val="24"/>
        </w:rPr>
        <w:t>区齐</w:t>
      </w:r>
      <w:r>
        <w:rPr>
          <w:rFonts w:hint="eastAsia"/>
          <w:szCs w:val="24"/>
        </w:rPr>
        <w:t>安</w:t>
      </w:r>
      <w:r>
        <w:rPr>
          <w:szCs w:val="24"/>
        </w:rPr>
        <w:t>大道</w:t>
      </w:r>
      <w:r>
        <w:rPr>
          <w:rFonts w:hint="eastAsia"/>
          <w:szCs w:val="24"/>
        </w:rPr>
        <w:t>126号</w:t>
      </w:r>
    </w:p>
    <w:p>
      <w:pPr>
        <w:tabs>
          <w:tab w:val="left" w:pos="0"/>
        </w:tabs>
        <w:wordWrap w:val="0"/>
        <w:spacing w:line="360" w:lineRule="auto"/>
        <w:ind w:left="851"/>
        <w:rPr>
          <w:szCs w:val="24"/>
          <w:u w:val="single"/>
        </w:rPr>
      </w:pPr>
      <w:r>
        <w:rPr>
          <w:rFonts w:hint="eastAsia"/>
          <w:szCs w:val="24"/>
        </w:rPr>
        <w:t>联系方式：0713-8625910</w:t>
      </w:r>
    </w:p>
    <w:p>
      <w:pPr>
        <w:numPr>
          <w:ilvl w:val="0"/>
          <w:numId w:val="7"/>
        </w:numPr>
        <w:tabs>
          <w:tab w:val="left" w:pos="0"/>
        </w:tabs>
        <w:wordWrap w:val="0"/>
        <w:spacing w:line="360" w:lineRule="auto"/>
        <w:ind w:left="851" w:hanging="369"/>
        <w:rPr>
          <w:szCs w:val="24"/>
        </w:rPr>
      </w:pPr>
      <w:r>
        <w:rPr>
          <w:rFonts w:hint="eastAsia"/>
          <w:szCs w:val="24"/>
        </w:rPr>
        <w:t>集中</w:t>
      </w:r>
      <w:r>
        <w:rPr>
          <w:szCs w:val="24"/>
        </w:rPr>
        <w:t>采购</w:t>
      </w:r>
      <w:r>
        <w:rPr>
          <w:rFonts w:hint="eastAsia"/>
          <w:szCs w:val="24"/>
        </w:rPr>
        <w:t>机构信息</w:t>
      </w:r>
    </w:p>
    <w:p>
      <w:pPr>
        <w:tabs>
          <w:tab w:val="left" w:pos="0"/>
        </w:tabs>
        <w:wordWrap w:val="0"/>
        <w:spacing w:line="360" w:lineRule="auto"/>
        <w:ind w:left="851"/>
        <w:rPr>
          <w:szCs w:val="24"/>
        </w:rPr>
      </w:pPr>
      <w:r>
        <w:rPr>
          <w:rFonts w:hint="eastAsia"/>
          <w:szCs w:val="24"/>
        </w:rPr>
        <w:t>名称：黄冈市政府采购中心</w:t>
      </w:r>
    </w:p>
    <w:p>
      <w:pPr>
        <w:tabs>
          <w:tab w:val="left" w:pos="0"/>
        </w:tabs>
        <w:wordWrap w:val="0"/>
        <w:spacing w:line="360" w:lineRule="auto"/>
        <w:ind w:left="851"/>
        <w:rPr>
          <w:szCs w:val="24"/>
        </w:rPr>
      </w:pPr>
      <w:r>
        <w:rPr>
          <w:rFonts w:hint="eastAsia"/>
          <w:szCs w:val="24"/>
        </w:rPr>
        <w:t>地址：黄冈市城东新区永安路特1号市政务服务中心三楼</w:t>
      </w:r>
    </w:p>
    <w:p>
      <w:pPr>
        <w:tabs>
          <w:tab w:val="left" w:pos="0"/>
        </w:tabs>
        <w:wordWrap w:val="0"/>
        <w:spacing w:line="360" w:lineRule="auto"/>
        <w:ind w:left="851"/>
        <w:rPr>
          <w:szCs w:val="24"/>
        </w:rPr>
      </w:pPr>
      <w:r>
        <w:rPr>
          <w:rFonts w:hint="eastAsia"/>
          <w:szCs w:val="24"/>
        </w:rPr>
        <w:t>联系方式：0713-8556260</w:t>
      </w:r>
    </w:p>
    <w:p>
      <w:pPr>
        <w:numPr>
          <w:ilvl w:val="0"/>
          <w:numId w:val="7"/>
        </w:numPr>
        <w:tabs>
          <w:tab w:val="left" w:pos="0"/>
        </w:tabs>
        <w:wordWrap w:val="0"/>
        <w:spacing w:line="360" w:lineRule="auto"/>
        <w:ind w:left="851" w:hanging="369"/>
        <w:rPr>
          <w:szCs w:val="24"/>
        </w:rPr>
      </w:pPr>
      <w:r>
        <w:rPr>
          <w:rFonts w:hint="eastAsia"/>
          <w:szCs w:val="24"/>
        </w:rPr>
        <w:t>项目联系方式</w:t>
      </w:r>
    </w:p>
    <w:p>
      <w:pPr>
        <w:tabs>
          <w:tab w:val="left" w:pos="0"/>
        </w:tabs>
        <w:wordWrap w:val="0"/>
        <w:spacing w:line="360" w:lineRule="auto"/>
        <w:ind w:left="851"/>
        <w:rPr>
          <w:szCs w:val="24"/>
        </w:rPr>
      </w:pPr>
      <w:r>
        <w:rPr>
          <w:rFonts w:hint="eastAsia"/>
          <w:szCs w:val="24"/>
        </w:rPr>
        <w:t>项目联系人：饶潜</w:t>
      </w:r>
    </w:p>
    <w:p>
      <w:pPr>
        <w:tabs>
          <w:tab w:val="left" w:pos="0"/>
          <w:tab w:val="left" w:pos="5880"/>
        </w:tabs>
        <w:wordWrap w:val="0"/>
        <w:spacing w:line="360" w:lineRule="auto"/>
        <w:ind w:left="851"/>
        <w:rPr>
          <w:b/>
          <w:iCs/>
          <w:szCs w:val="24"/>
        </w:rPr>
      </w:pPr>
      <w:r>
        <w:rPr>
          <w:rFonts w:hint="eastAsia"/>
          <w:szCs w:val="24"/>
        </w:rPr>
        <w:t>电话：0713-8556260</w:t>
      </w:r>
      <w:r>
        <w:rPr>
          <w:szCs w:val="24"/>
        </w:rPr>
        <w:tab/>
      </w:r>
    </w:p>
    <w:p>
      <w:pPr>
        <w:pStyle w:val="11"/>
        <w:tabs>
          <w:tab w:val="left" w:pos="5880"/>
        </w:tabs>
        <w:wordWrap w:val="0"/>
        <w:spacing w:line="360" w:lineRule="auto"/>
        <w:rPr>
          <w:sz w:val="21"/>
          <w:szCs w:val="21"/>
        </w:rPr>
        <w:sectPr>
          <w:footerReference r:id="rId7" w:type="default"/>
          <w:pgSz w:w="11906" w:h="16838"/>
          <w:pgMar w:top="1134" w:right="1191" w:bottom="1134" w:left="1191" w:header="851" w:footer="992" w:gutter="0"/>
          <w:pgBorders>
            <w:top w:val="none" w:sz="0" w:space="0"/>
            <w:left w:val="none" w:sz="0" w:space="0"/>
            <w:bottom w:val="none" w:sz="0" w:space="0"/>
            <w:right w:val="none" w:sz="0" w:space="0"/>
          </w:pgBorders>
          <w:pgNumType w:start="1"/>
          <w:cols w:space="425" w:num="1"/>
          <w:docGrid w:type="linesAndChars" w:linePitch="312" w:charSpace="0"/>
        </w:sectPr>
      </w:pPr>
      <w:r>
        <w:rPr>
          <w:sz w:val="21"/>
          <w:szCs w:val="21"/>
        </w:rPr>
        <w:tab/>
      </w:r>
    </w:p>
    <w:p>
      <w:pPr>
        <w:pStyle w:val="2"/>
        <w:numPr>
          <w:ilvl w:val="0"/>
          <w:numId w:val="1"/>
        </w:numPr>
        <w:tabs>
          <w:tab w:val="left" w:pos="1276"/>
        </w:tabs>
        <w:wordWrap w:val="0"/>
        <w:spacing w:before="120" w:after="120" w:line="360" w:lineRule="auto"/>
        <w:ind w:left="723" w:hanging="723" w:hangingChars="200"/>
        <w:jc w:val="center"/>
        <w:rPr>
          <w:sz w:val="36"/>
          <w:szCs w:val="36"/>
        </w:rPr>
      </w:pPr>
      <w:bookmarkStart w:id="54" w:name="_Toc4201"/>
      <w:bookmarkStart w:id="55" w:name="_Toc12909"/>
      <w:r>
        <w:rPr>
          <w:rFonts w:hint="eastAsia"/>
          <w:sz w:val="36"/>
          <w:szCs w:val="36"/>
        </w:rPr>
        <w:t>投标人须知</w:t>
      </w:r>
      <w:bookmarkEnd w:id="54"/>
      <w:bookmarkEnd w:id="55"/>
    </w:p>
    <w:p>
      <w:pPr>
        <w:tabs>
          <w:tab w:val="left" w:pos="476"/>
        </w:tabs>
        <w:wordWrap w:val="0"/>
        <w:spacing w:line="360" w:lineRule="auto"/>
        <w:ind w:firstLine="560" w:firstLineChars="200"/>
        <w:jc w:val="center"/>
        <w:outlineLvl w:val="1"/>
        <w:rPr>
          <w:sz w:val="28"/>
          <w:szCs w:val="28"/>
          <w:lang w:val="zh-CN"/>
        </w:rPr>
      </w:pPr>
      <w:bookmarkStart w:id="56" w:name="_Toc102057675"/>
      <w:bookmarkStart w:id="57" w:name="_Toc102114875"/>
      <w:bookmarkStart w:id="58" w:name="_Toc511894494"/>
      <w:bookmarkStart w:id="59" w:name="_Toc102119808"/>
      <w:bookmarkStart w:id="60" w:name="_Toc102056175"/>
      <w:bookmarkStart w:id="61" w:name="_Toc102116107"/>
      <w:bookmarkStart w:id="62" w:name="_Toc25601"/>
      <w:bookmarkStart w:id="63" w:name="_Toc511889416"/>
      <w:bookmarkStart w:id="64" w:name="_Toc117244464"/>
      <w:bookmarkStart w:id="65" w:name="_Toc102115977"/>
      <w:bookmarkStart w:id="66" w:name="_Toc12123"/>
      <w:bookmarkStart w:id="67" w:name="_Toc117244349"/>
      <w:bookmarkStart w:id="68" w:name="_Toc100579891"/>
      <w:bookmarkStart w:id="69" w:name="_Toc102119809"/>
      <w:bookmarkStart w:id="70" w:name="_Toc102056176"/>
      <w:bookmarkStart w:id="71" w:name="_Toc102116108"/>
      <w:bookmarkStart w:id="72" w:name="_Toc102057676"/>
      <w:bookmarkStart w:id="73" w:name="_Toc102114876"/>
      <w:bookmarkStart w:id="74" w:name="_Toc102115978"/>
      <w:r>
        <w:rPr>
          <w:sz w:val="28"/>
          <w:szCs w:val="28"/>
          <w:lang w:val="zh-CN"/>
        </w:rPr>
        <w:t>投标人须知前附表</w:t>
      </w:r>
      <w:bookmarkEnd w:id="56"/>
      <w:bookmarkEnd w:id="57"/>
      <w:bookmarkEnd w:id="58"/>
      <w:bookmarkEnd w:id="59"/>
      <w:bookmarkEnd w:id="60"/>
      <w:bookmarkEnd w:id="61"/>
      <w:bookmarkEnd w:id="62"/>
      <w:bookmarkEnd w:id="63"/>
      <w:bookmarkEnd w:id="64"/>
      <w:bookmarkEnd w:id="65"/>
      <w:bookmarkEnd w:id="66"/>
      <w:bookmarkEnd w:id="67"/>
    </w:p>
    <w:tbl>
      <w:tblPr>
        <w:tblStyle w:val="29"/>
        <w:tblW w:w="974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Layout w:type="fixed"/>
        <w:tblCellMar>
          <w:top w:w="0" w:type="dxa"/>
          <w:left w:w="108" w:type="dxa"/>
          <w:bottom w:w="0" w:type="dxa"/>
          <w:right w:w="108" w:type="dxa"/>
        </w:tblCellMar>
      </w:tblPr>
      <w:tblGrid>
        <w:gridCol w:w="959"/>
        <w:gridCol w:w="1730"/>
        <w:gridCol w:w="7051"/>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tblHeader/>
          <w:jc w:val="center"/>
        </w:trPr>
        <w:tc>
          <w:tcPr>
            <w:tcW w:w="959" w:type="dxa"/>
            <w:tcBorders>
              <w:tl2br w:val="nil"/>
              <w:tr2bl w:val="nil"/>
            </w:tcBorders>
            <w:shd w:val="pct10" w:color="C3BD96" w:themeColor="background2" w:themeShade="BF" w:fill="DDD9C4" w:themeFill="background2" w:themeFillShade="E6"/>
            <w:vAlign w:val="center"/>
          </w:tcPr>
          <w:p>
            <w:pPr>
              <w:wordWrap w:val="0"/>
              <w:spacing w:line="360" w:lineRule="auto"/>
              <w:ind w:left="-74" w:leftChars="-31" w:right="-91" w:rightChars="-38"/>
              <w:jc w:val="center"/>
              <w:rPr>
                <w:b/>
                <w:szCs w:val="24"/>
              </w:rPr>
            </w:pPr>
            <w:r>
              <w:rPr>
                <w:rFonts w:hint="eastAsia"/>
                <w:b/>
                <w:szCs w:val="24"/>
              </w:rPr>
              <w:t>条款</w:t>
            </w:r>
            <w:r>
              <w:rPr>
                <w:b/>
                <w:szCs w:val="24"/>
              </w:rPr>
              <w:t>号</w:t>
            </w:r>
          </w:p>
        </w:tc>
        <w:tc>
          <w:tcPr>
            <w:tcW w:w="1730" w:type="dxa"/>
            <w:tcBorders>
              <w:tl2br w:val="nil"/>
              <w:tr2bl w:val="nil"/>
            </w:tcBorders>
            <w:shd w:val="pct10" w:color="C3BD96" w:themeColor="background2" w:themeShade="BF" w:fill="DDD9C4" w:themeFill="background2" w:themeFillShade="E6"/>
            <w:vAlign w:val="center"/>
          </w:tcPr>
          <w:p>
            <w:pPr>
              <w:wordWrap w:val="0"/>
              <w:spacing w:line="360" w:lineRule="auto"/>
              <w:ind w:right="-11"/>
              <w:jc w:val="center"/>
              <w:rPr>
                <w:b/>
                <w:szCs w:val="24"/>
              </w:rPr>
            </w:pPr>
            <w:r>
              <w:rPr>
                <w:rFonts w:hint="eastAsia"/>
                <w:b/>
                <w:szCs w:val="24"/>
              </w:rPr>
              <w:t>条款名称</w:t>
            </w:r>
          </w:p>
        </w:tc>
        <w:tc>
          <w:tcPr>
            <w:tcW w:w="7051" w:type="dxa"/>
            <w:tcBorders>
              <w:tl2br w:val="nil"/>
              <w:tr2bl w:val="nil"/>
            </w:tcBorders>
            <w:shd w:val="pct10" w:color="C3BD96" w:themeColor="background2" w:themeShade="BF" w:fill="DDD9C4" w:themeFill="background2" w:themeFillShade="E6"/>
            <w:vAlign w:val="center"/>
          </w:tcPr>
          <w:p>
            <w:pPr>
              <w:wordWrap w:val="0"/>
              <w:spacing w:line="360" w:lineRule="auto"/>
              <w:ind w:right="57"/>
              <w:jc w:val="center"/>
              <w:rPr>
                <w:b/>
                <w:szCs w:val="24"/>
              </w:rPr>
            </w:pPr>
            <w:r>
              <w:rPr>
                <w:rFonts w:hint="eastAsia"/>
                <w:b/>
                <w:szCs w:val="24"/>
              </w:rPr>
              <w:t>编列</w:t>
            </w:r>
            <w:r>
              <w:rPr>
                <w:b/>
                <w:szCs w:val="24"/>
              </w:rPr>
              <w:t>内容</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740" w:type="dxa"/>
            <w:gridSpan w:val="3"/>
            <w:tcBorders>
              <w:tl2br w:val="nil"/>
              <w:tr2bl w:val="nil"/>
            </w:tcBorders>
            <w:vAlign w:val="center"/>
          </w:tcPr>
          <w:p>
            <w:pPr>
              <w:wordWrap w:val="0"/>
              <w:spacing w:line="360" w:lineRule="auto"/>
              <w:rPr>
                <w:rFonts w:cs="宋体"/>
                <w:szCs w:val="24"/>
              </w:rPr>
            </w:pPr>
            <w:r>
              <w:rPr>
                <w:rFonts w:hint="eastAsia" w:cs="宋体"/>
                <w:szCs w:val="24"/>
              </w:rPr>
              <w:t>一、总则</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vAlign w:val="center"/>
          </w:tcPr>
          <w:p>
            <w:pPr>
              <w:tabs>
                <w:tab w:val="left" w:pos="130"/>
              </w:tabs>
              <w:wordWrap w:val="0"/>
              <w:spacing w:line="360" w:lineRule="auto"/>
              <w:ind w:right="57"/>
              <w:jc w:val="center"/>
              <w:rPr>
                <w:szCs w:val="24"/>
              </w:rPr>
            </w:pPr>
            <w:r>
              <w:rPr>
                <w:rFonts w:hint="eastAsia"/>
                <w:szCs w:val="24"/>
              </w:rPr>
              <w:t>3.1</w:t>
            </w:r>
          </w:p>
        </w:tc>
        <w:tc>
          <w:tcPr>
            <w:tcW w:w="1730" w:type="dxa"/>
            <w:tcBorders>
              <w:tl2br w:val="nil"/>
              <w:tr2bl w:val="nil"/>
            </w:tcBorders>
            <w:vAlign w:val="center"/>
          </w:tcPr>
          <w:p>
            <w:pPr>
              <w:wordWrap w:val="0"/>
              <w:spacing w:line="360" w:lineRule="auto"/>
              <w:jc w:val="center"/>
              <w:rPr>
                <w:szCs w:val="24"/>
              </w:rPr>
            </w:pPr>
            <w:r>
              <w:rPr>
                <w:rFonts w:hint="eastAsia"/>
                <w:szCs w:val="24"/>
              </w:rPr>
              <w:t>监管部门</w:t>
            </w:r>
          </w:p>
        </w:tc>
        <w:tc>
          <w:tcPr>
            <w:tcW w:w="7051" w:type="dxa"/>
            <w:tcBorders>
              <w:tl2br w:val="nil"/>
              <w:tr2bl w:val="nil"/>
            </w:tcBorders>
            <w:vAlign w:val="center"/>
          </w:tcPr>
          <w:p>
            <w:pPr>
              <w:wordWrap w:val="0"/>
              <w:spacing w:line="360" w:lineRule="auto"/>
              <w:rPr>
                <w:szCs w:val="24"/>
              </w:rPr>
            </w:pPr>
            <w:r>
              <w:rPr>
                <w:rFonts w:hint="eastAsia"/>
                <w:szCs w:val="24"/>
              </w:rPr>
              <w:t>黄冈市财政局</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vAlign w:val="center"/>
          </w:tcPr>
          <w:p>
            <w:pPr>
              <w:tabs>
                <w:tab w:val="left" w:pos="130"/>
              </w:tabs>
              <w:wordWrap w:val="0"/>
              <w:spacing w:line="360" w:lineRule="auto"/>
              <w:ind w:right="57"/>
              <w:jc w:val="center"/>
              <w:rPr>
                <w:szCs w:val="24"/>
              </w:rPr>
            </w:pPr>
            <w:r>
              <w:rPr>
                <w:rFonts w:hint="eastAsia"/>
                <w:szCs w:val="24"/>
              </w:rPr>
              <w:t>4.1</w:t>
            </w:r>
          </w:p>
        </w:tc>
        <w:tc>
          <w:tcPr>
            <w:tcW w:w="1730" w:type="dxa"/>
            <w:tcBorders>
              <w:tl2br w:val="nil"/>
              <w:tr2bl w:val="nil"/>
            </w:tcBorders>
            <w:vAlign w:val="center"/>
          </w:tcPr>
          <w:p>
            <w:pPr>
              <w:wordWrap w:val="0"/>
              <w:spacing w:line="360" w:lineRule="auto"/>
              <w:jc w:val="center"/>
              <w:rPr>
                <w:rFonts w:cs="宋体"/>
                <w:szCs w:val="24"/>
              </w:rPr>
            </w:pPr>
            <w:r>
              <w:rPr>
                <w:rFonts w:hint="eastAsia" w:cs="宋体"/>
                <w:szCs w:val="24"/>
              </w:rPr>
              <w:t>项目属性</w:t>
            </w:r>
          </w:p>
        </w:tc>
        <w:tc>
          <w:tcPr>
            <w:tcW w:w="7051" w:type="dxa"/>
            <w:tcBorders>
              <w:tl2br w:val="nil"/>
              <w:tr2bl w:val="nil"/>
            </w:tcBorders>
            <w:vAlign w:val="center"/>
          </w:tcPr>
          <w:p>
            <w:pPr>
              <w:pStyle w:val="11"/>
              <w:spacing w:line="360" w:lineRule="auto"/>
              <w:rPr>
                <w:i/>
              </w:rPr>
            </w:pPr>
            <w:r>
              <w:rPr>
                <w:rFonts w:hint="eastAsia"/>
                <w:iCs/>
              </w:rPr>
              <w:t>服务</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vAlign w:val="center"/>
          </w:tcPr>
          <w:p>
            <w:pPr>
              <w:tabs>
                <w:tab w:val="left" w:pos="130"/>
              </w:tabs>
              <w:wordWrap w:val="0"/>
              <w:spacing w:line="360" w:lineRule="auto"/>
              <w:ind w:right="57"/>
              <w:jc w:val="center"/>
              <w:rPr>
                <w:szCs w:val="24"/>
              </w:rPr>
            </w:pPr>
            <w:r>
              <w:rPr>
                <w:rFonts w:hint="eastAsia"/>
                <w:szCs w:val="24"/>
              </w:rPr>
              <w:t>5.3</w:t>
            </w:r>
          </w:p>
        </w:tc>
        <w:tc>
          <w:tcPr>
            <w:tcW w:w="1730" w:type="dxa"/>
            <w:tcBorders>
              <w:tl2br w:val="nil"/>
              <w:tr2bl w:val="nil"/>
            </w:tcBorders>
            <w:vAlign w:val="center"/>
          </w:tcPr>
          <w:p>
            <w:pPr>
              <w:wordWrap w:val="0"/>
              <w:spacing w:line="360" w:lineRule="auto"/>
              <w:jc w:val="center"/>
              <w:rPr>
                <w:rFonts w:cs="宋体"/>
                <w:szCs w:val="24"/>
              </w:rPr>
            </w:pPr>
            <w:r>
              <w:rPr>
                <w:rFonts w:hint="eastAsia" w:cs="宋体"/>
                <w:szCs w:val="24"/>
              </w:rPr>
              <w:t>分支机构</w:t>
            </w:r>
          </w:p>
        </w:tc>
        <w:tc>
          <w:tcPr>
            <w:tcW w:w="7051" w:type="dxa"/>
            <w:tcBorders>
              <w:tl2br w:val="nil"/>
              <w:tr2bl w:val="nil"/>
            </w:tcBorders>
            <w:vAlign w:val="center"/>
          </w:tcPr>
          <w:p>
            <w:pPr>
              <w:pStyle w:val="11"/>
              <w:spacing w:line="360" w:lineRule="auto"/>
            </w:pPr>
            <w:r>
              <w:rPr>
                <w:rFonts w:hint="eastAsia"/>
              </w:rPr>
              <w:t>采购项目属于电信（</w:t>
            </w:r>
            <w:r>
              <w:t>基础电信服务</w:t>
            </w:r>
            <w:r>
              <w:rPr>
                <w:rFonts w:hint="eastAsia"/>
              </w:rPr>
              <w:t>）</w:t>
            </w:r>
            <w:r>
              <w:t>、银行、保险、石油石化、电力等行业的，上述企业分支机构无须总公司授权可以直接参加相应项目的投标，但其授权代表应获得总公司法定代表人有效授权。</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vAlign w:val="center"/>
          </w:tcPr>
          <w:p>
            <w:pPr>
              <w:tabs>
                <w:tab w:val="left" w:pos="130"/>
              </w:tabs>
              <w:wordWrap w:val="0"/>
              <w:spacing w:line="360" w:lineRule="auto"/>
              <w:ind w:right="57"/>
              <w:jc w:val="center"/>
              <w:rPr>
                <w:szCs w:val="24"/>
              </w:rPr>
            </w:pPr>
            <w:r>
              <w:rPr>
                <w:rFonts w:hint="eastAsia"/>
                <w:szCs w:val="24"/>
              </w:rPr>
              <w:t>5.4</w:t>
            </w:r>
          </w:p>
        </w:tc>
        <w:tc>
          <w:tcPr>
            <w:tcW w:w="1730" w:type="dxa"/>
            <w:tcBorders>
              <w:tl2br w:val="nil"/>
              <w:tr2bl w:val="nil"/>
            </w:tcBorders>
            <w:vAlign w:val="center"/>
          </w:tcPr>
          <w:p>
            <w:pPr>
              <w:wordWrap w:val="0"/>
              <w:spacing w:line="360" w:lineRule="auto"/>
              <w:jc w:val="center"/>
              <w:rPr>
                <w:szCs w:val="24"/>
              </w:rPr>
            </w:pPr>
            <w:r>
              <w:rPr>
                <w:rFonts w:hint="eastAsia"/>
                <w:szCs w:val="24"/>
              </w:rPr>
              <w:t>资格预审</w:t>
            </w:r>
          </w:p>
        </w:tc>
        <w:tc>
          <w:tcPr>
            <w:tcW w:w="7051" w:type="dxa"/>
            <w:tcBorders>
              <w:tl2br w:val="nil"/>
              <w:tr2bl w:val="nil"/>
            </w:tcBorders>
            <w:vAlign w:val="center"/>
          </w:tcPr>
          <w:p>
            <w:pPr>
              <w:wordWrap w:val="0"/>
              <w:spacing w:line="360" w:lineRule="auto"/>
              <w:rPr>
                <w:szCs w:val="24"/>
              </w:rPr>
            </w:pPr>
            <w:r>
              <w:rPr>
                <w:rFonts w:hint="eastAsia"/>
              </w:rPr>
              <w:t>未进行</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vAlign w:val="center"/>
          </w:tcPr>
          <w:p>
            <w:pPr>
              <w:tabs>
                <w:tab w:val="left" w:pos="130"/>
              </w:tabs>
              <w:wordWrap w:val="0"/>
              <w:spacing w:line="360" w:lineRule="auto"/>
              <w:ind w:right="57"/>
              <w:jc w:val="center"/>
              <w:rPr>
                <w:szCs w:val="24"/>
              </w:rPr>
            </w:pPr>
            <w:r>
              <w:rPr>
                <w:rFonts w:hint="eastAsia"/>
                <w:szCs w:val="24"/>
              </w:rPr>
              <w:t>9.1</w:t>
            </w:r>
          </w:p>
        </w:tc>
        <w:tc>
          <w:tcPr>
            <w:tcW w:w="1730" w:type="dxa"/>
            <w:tcBorders>
              <w:tl2br w:val="nil"/>
              <w:tr2bl w:val="nil"/>
            </w:tcBorders>
            <w:vAlign w:val="center"/>
          </w:tcPr>
          <w:p>
            <w:pPr>
              <w:wordWrap w:val="0"/>
              <w:spacing w:line="360" w:lineRule="auto"/>
              <w:jc w:val="center"/>
              <w:rPr>
                <w:szCs w:val="24"/>
              </w:rPr>
            </w:pPr>
            <w:r>
              <w:rPr>
                <w:rFonts w:hint="eastAsia"/>
                <w:szCs w:val="24"/>
              </w:rPr>
              <w:t>投标</w:t>
            </w:r>
            <w:r>
              <w:rPr>
                <w:szCs w:val="24"/>
              </w:rPr>
              <w:t>费用</w:t>
            </w:r>
          </w:p>
        </w:tc>
        <w:tc>
          <w:tcPr>
            <w:tcW w:w="7051" w:type="dxa"/>
            <w:tcBorders>
              <w:tl2br w:val="nil"/>
              <w:tr2bl w:val="nil"/>
            </w:tcBorders>
            <w:vAlign w:val="center"/>
          </w:tcPr>
          <w:p>
            <w:pPr>
              <w:wordWrap w:val="0"/>
              <w:spacing w:line="360" w:lineRule="auto"/>
              <w:rPr>
                <w:i/>
                <w:szCs w:val="24"/>
              </w:rPr>
            </w:pPr>
            <w:r>
              <w:rPr>
                <w:rFonts w:hint="eastAsia"/>
                <w:szCs w:val="24"/>
                <w:lang w:val="zh-CN"/>
              </w:rPr>
              <w:t>集中采购机构不向投标人收取任何费用。</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vAlign w:val="center"/>
          </w:tcPr>
          <w:p>
            <w:pPr>
              <w:tabs>
                <w:tab w:val="left" w:pos="130"/>
              </w:tabs>
              <w:wordWrap w:val="0"/>
              <w:spacing w:line="360" w:lineRule="auto"/>
              <w:ind w:right="57"/>
              <w:jc w:val="center"/>
              <w:rPr>
                <w:szCs w:val="24"/>
              </w:rPr>
            </w:pPr>
            <w:r>
              <w:rPr>
                <w:rFonts w:hint="eastAsia"/>
                <w:szCs w:val="24"/>
              </w:rPr>
              <w:t>10.2</w:t>
            </w:r>
          </w:p>
        </w:tc>
        <w:tc>
          <w:tcPr>
            <w:tcW w:w="1730" w:type="dxa"/>
            <w:tcBorders>
              <w:tl2br w:val="nil"/>
              <w:tr2bl w:val="nil"/>
            </w:tcBorders>
            <w:vAlign w:val="center"/>
          </w:tcPr>
          <w:p>
            <w:pPr>
              <w:wordWrap w:val="0"/>
              <w:spacing w:line="360" w:lineRule="auto"/>
              <w:jc w:val="center"/>
              <w:rPr>
                <w:szCs w:val="24"/>
              </w:rPr>
            </w:pPr>
            <w:r>
              <w:rPr>
                <w:rFonts w:hint="eastAsia"/>
                <w:szCs w:val="24"/>
              </w:rPr>
              <w:t>采购信息获取</w:t>
            </w:r>
          </w:p>
        </w:tc>
        <w:tc>
          <w:tcPr>
            <w:tcW w:w="7051" w:type="dxa"/>
            <w:tcBorders>
              <w:tl2br w:val="nil"/>
              <w:tr2bl w:val="nil"/>
            </w:tcBorders>
            <w:vAlign w:val="center"/>
          </w:tcPr>
          <w:p>
            <w:pPr>
              <w:wordWrap w:val="0"/>
              <w:spacing w:line="360" w:lineRule="auto"/>
              <w:rPr>
                <w:rFonts w:cs="宋体"/>
                <w:szCs w:val="24"/>
              </w:rPr>
            </w:pPr>
            <w:r>
              <w:rPr>
                <w:rFonts w:hint="eastAsia"/>
                <w:szCs w:val="24"/>
              </w:rPr>
              <w:t>应自行在中国湖北政府采购网、黄冈市公共资源交易中心网或黄冈市政府电子采购平台（以下简称电子采购平台）上获取。</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vAlign w:val="center"/>
          </w:tcPr>
          <w:p>
            <w:pPr>
              <w:tabs>
                <w:tab w:val="left" w:pos="130"/>
              </w:tabs>
              <w:wordWrap w:val="0"/>
              <w:spacing w:line="360" w:lineRule="auto"/>
              <w:ind w:right="57"/>
              <w:jc w:val="center"/>
              <w:rPr>
                <w:szCs w:val="24"/>
              </w:rPr>
            </w:pPr>
            <w:r>
              <w:rPr>
                <w:rFonts w:hint="eastAsia"/>
                <w:szCs w:val="24"/>
              </w:rPr>
              <w:t>11.</w:t>
            </w:r>
            <w:r>
              <w:rPr>
                <w:szCs w:val="24"/>
              </w:rPr>
              <w:t>2</w:t>
            </w:r>
          </w:p>
        </w:tc>
        <w:tc>
          <w:tcPr>
            <w:tcW w:w="1730" w:type="dxa"/>
            <w:tcBorders>
              <w:tl2br w:val="nil"/>
              <w:tr2bl w:val="nil"/>
            </w:tcBorders>
            <w:vAlign w:val="center"/>
          </w:tcPr>
          <w:p>
            <w:pPr>
              <w:wordWrap w:val="0"/>
              <w:spacing w:line="360" w:lineRule="auto"/>
              <w:jc w:val="center"/>
              <w:rPr>
                <w:szCs w:val="24"/>
              </w:rPr>
            </w:pPr>
            <w:r>
              <w:rPr>
                <w:rFonts w:hint="eastAsia"/>
                <w:szCs w:val="24"/>
              </w:rPr>
              <w:t>电子采购平台操作手册</w:t>
            </w:r>
          </w:p>
        </w:tc>
        <w:tc>
          <w:tcPr>
            <w:tcW w:w="7051" w:type="dxa"/>
            <w:tcBorders>
              <w:tl2br w:val="nil"/>
              <w:tr2bl w:val="nil"/>
            </w:tcBorders>
            <w:vAlign w:val="center"/>
          </w:tcPr>
          <w:p>
            <w:pPr>
              <w:wordWrap w:val="0"/>
              <w:spacing w:line="360" w:lineRule="auto"/>
            </w:pPr>
            <w:r>
              <w:rPr>
                <w:rFonts w:hint="eastAsia" w:cs="宋体"/>
                <w:szCs w:val="24"/>
              </w:rPr>
              <w:t>下载地址：</w:t>
            </w:r>
            <w:r>
              <w:fldChar w:fldCharType="begin"/>
            </w:r>
            <w:r>
              <w:instrText xml:space="preserve"> HYPERLINK "https://dzcg.hubeigp.gov.cn/assets/special/100/yptpic/gyssc.zip" </w:instrText>
            </w:r>
            <w:r>
              <w:fldChar w:fldCharType="separate"/>
            </w:r>
            <w:r>
              <w:rPr>
                <w:rStyle w:val="34"/>
                <w:rFonts w:hint="eastAsia" w:cs="宋体"/>
                <w:color w:val="auto"/>
                <w:szCs w:val="24"/>
              </w:rPr>
              <w:t>https://dzcg.hubeigp.gov.cn/assets/special/100/yptpic/gyssc.zip</w:t>
            </w:r>
            <w:r>
              <w:rPr>
                <w:rStyle w:val="34"/>
                <w:rFonts w:hint="eastAsia" w:cs="宋体"/>
                <w:color w:val="auto"/>
                <w:szCs w:val="24"/>
              </w:rPr>
              <w:fldChar w:fldCharType="end"/>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vAlign w:val="center"/>
          </w:tcPr>
          <w:p>
            <w:pPr>
              <w:tabs>
                <w:tab w:val="left" w:pos="242"/>
              </w:tabs>
              <w:wordWrap w:val="0"/>
              <w:spacing w:line="360" w:lineRule="auto"/>
              <w:ind w:right="57"/>
              <w:jc w:val="center"/>
              <w:rPr>
                <w:szCs w:val="24"/>
              </w:rPr>
            </w:pPr>
            <w:r>
              <w:rPr>
                <w:rFonts w:hint="eastAsia"/>
                <w:szCs w:val="24"/>
              </w:rPr>
              <w:t>11.</w:t>
            </w:r>
            <w:r>
              <w:rPr>
                <w:szCs w:val="24"/>
              </w:rPr>
              <w:t>3</w:t>
            </w:r>
          </w:p>
        </w:tc>
        <w:tc>
          <w:tcPr>
            <w:tcW w:w="1730" w:type="dxa"/>
            <w:tcBorders>
              <w:tl2br w:val="nil"/>
              <w:tr2bl w:val="nil"/>
            </w:tcBorders>
            <w:vAlign w:val="center"/>
          </w:tcPr>
          <w:p>
            <w:pPr>
              <w:wordWrap w:val="0"/>
              <w:spacing w:line="360" w:lineRule="auto"/>
              <w:jc w:val="center"/>
              <w:rPr>
                <w:szCs w:val="24"/>
              </w:rPr>
            </w:pPr>
            <w:r>
              <w:rPr>
                <w:rFonts w:hint="eastAsia"/>
                <w:szCs w:val="24"/>
              </w:rPr>
              <w:t>电子采购平台咨询</w:t>
            </w:r>
          </w:p>
        </w:tc>
        <w:tc>
          <w:tcPr>
            <w:tcW w:w="7051" w:type="dxa"/>
            <w:tcBorders>
              <w:tl2br w:val="nil"/>
              <w:tr2bl w:val="nil"/>
            </w:tcBorders>
            <w:vAlign w:val="center"/>
          </w:tcPr>
          <w:p>
            <w:pPr>
              <w:pStyle w:val="11"/>
              <w:wordWrap w:val="0"/>
              <w:spacing w:line="360" w:lineRule="auto"/>
              <w:rPr>
                <w:szCs w:val="24"/>
              </w:rPr>
            </w:pPr>
            <w:r>
              <w:rPr>
                <w:rFonts w:hint="eastAsia"/>
                <w:szCs w:val="24"/>
              </w:rPr>
              <w:t>如有问题，应在提交投标文件截止时间</w:t>
            </w:r>
            <w:r>
              <w:rPr>
                <w:rFonts w:hint="eastAsia"/>
                <w:b/>
                <w:szCs w:val="24"/>
              </w:rPr>
              <w:t>48小时前</w:t>
            </w:r>
            <w:r>
              <w:rPr>
                <w:rFonts w:hint="eastAsia"/>
                <w:szCs w:val="24"/>
              </w:rPr>
              <w:t>咨询电子采购平台。</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vAlign w:val="center"/>
          </w:tcPr>
          <w:p>
            <w:pPr>
              <w:tabs>
                <w:tab w:val="left" w:pos="242"/>
              </w:tabs>
              <w:wordWrap w:val="0"/>
              <w:spacing w:line="360" w:lineRule="auto"/>
              <w:ind w:right="57"/>
              <w:jc w:val="center"/>
              <w:rPr>
                <w:szCs w:val="24"/>
              </w:rPr>
            </w:pPr>
            <w:r>
              <w:rPr>
                <w:rFonts w:hint="eastAsia"/>
                <w:szCs w:val="24"/>
              </w:rPr>
              <w:t>11.</w:t>
            </w:r>
            <w:r>
              <w:rPr>
                <w:szCs w:val="24"/>
              </w:rPr>
              <w:t>4</w:t>
            </w:r>
          </w:p>
        </w:tc>
        <w:tc>
          <w:tcPr>
            <w:tcW w:w="1730" w:type="dxa"/>
            <w:tcBorders>
              <w:tl2br w:val="nil"/>
              <w:tr2bl w:val="nil"/>
            </w:tcBorders>
            <w:vAlign w:val="center"/>
          </w:tcPr>
          <w:p>
            <w:pPr>
              <w:wordWrap w:val="0"/>
              <w:spacing w:line="360" w:lineRule="auto"/>
              <w:jc w:val="center"/>
              <w:rPr>
                <w:szCs w:val="24"/>
              </w:rPr>
            </w:pPr>
            <w:r>
              <w:rPr>
                <w:rFonts w:hint="eastAsia"/>
                <w:szCs w:val="24"/>
              </w:rPr>
              <w:t>电子采购平台联系方式</w:t>
            </w:r>
          </w:p>
        </w:tc>
        <w:tc>
          <w:tcPr>
            <w:tcW w:w="7051" w:type="dxa"/>
            <w:tcBorders>
              <w:tl2br w:val="nil"/>
              <w:tr2bl w:val="nil"/>
            </w:tcBorders>
            <w:vAlign w:val="center"/>
          </w:tcPr>
          <w:p>
            <w:pPr>
              <w:pStyle w:val="11"/>
              <w:wordWrap w:val="0"/>
              <w:spacing w:line="360" w:lineRule="auto"/>
              <w:rPr>
                <w:szCs w:val="24"/>
              </w:rPr>
            </w:pPr>
            <w:r>
              <w:rPr>
                <w:rFonts w:hint="eastAsia"/>
                <w:szCs w:val="24"/>
              </w:rPr>
              <w:t>QQ群：463671735，966545752</w:t>
            </w:r>
          </w:p>
          <w:p>
            <w:pPr>
              <w:pStyle w:val="11"/>
              <w:wordWrap w:val="0"/>
              <w:spacing w:line="360" w:lineRule="auto"/>
              <w:rPr>
                <w:szCs w:val="24"/>
              </w:rPr>
            </w:pPr>
            <w:r>
              <w:rPr>
                <w:rFonts w:hint="eastAsia"/>
                <w:szCs w:val="24"/>
              </w:rPr>
              <w:t>电话：400-9913-966</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740" w:type="dxa"/>
            <w:gridSpan w:val="3"/>
            <w:tcBorders>
              <w:tl2br w:val="nil"/>
              <w:tr2bl w:val="nil"/>
            </w:tcBorders>
            <w:vAlign w:val="center"/>
          </w:tcPr>
          <w:p>
            <w:pPr>
              <w:pStyle w:val="11"/>
              <w:wordWrap w:val="0"/>
              <w:spacing w:line="360" w:lineRule="auto"/>
              <w:rPr>
                <w:szCs w:val="24"/>
              </w:rPr>
            </w:pPr>
            <w:r>
              <w:rPr>
                <w:rFonts w:hint="eastAsia"/>
                <w:szCs w:val="24"/>
              </w:rPr>
              <w:t>二、招标文件</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vAlign w:val="center"/>
          </w:tcPr>
          <w:p>
            <w:pPr>
              <w:tabs>
                <w:tab w:val="left" w:pos="130"/>
              </w:tabs>
              <w:wordWrap w:val="0"/>
              <w:spacing w:line="360" w:lineRule="auto"/>
              <w:ind w:right="57"/>
              <w:jc w:val="center"/>
              <w:rPr>
                <w:szCs w:val="24"/>
              </w:rPr>
            </w:pPr>
            <w:r>
              <w:rPr>
                <w:rFonts w:hint="eastAsia"/>
                <w:szCs w:val="24"/>
              </w:rPr>
              <w:t>13.1</w:t>
            </w:r>
          </w:p>
        </w:tc>
        <w:tc>
          <w:tcPr>
            <w:tcW w:w="1730" w:type="dxa"/>
            <w:tcBorders>
              <w:tl2br w:val="nil"/>
              <w:tr2bl w:val="nil"/>
            </w:tcBorders>
            <w:vAlign w:val="center"/>
          </w:tcPr>
          <w:p>
            <w:pPr>
              <w:wordWrap w:val="0"/>
              <w:spacing w:line="360" w:lineRule="auto"/>
              <w:jc w:val="center"/>
              <w:rPr>
                <w:rFonts w:cs="宋体"/>
                <w:szCs w:val="24"/>
              </w:rPr>
            </w:pPr>
            <w:r>
              <w:rPr>
                <w:rFonts w:hint="eastAsia" w:cs="宋体"/>
                <w:szCs w:val="24"/>
              </w:rPr>
              <w:t>实物样品</w:t>
            </w:r>
          </w:p>
        </w:tc>
        <w:tc>
          <w:tcPr>
            <w:tcW w:w="7051" w:type="dxa"/>
            <w:tcBorders>
              <w:tl2br w:val="nil"/>
              <w:tr2bl w:val="nil"/>
            </w:tcBorders>
            <w:vAlign w:val="center"/>
          </w:tcPr>
          <w:p>
            <w:pPr>
              <w:wordWrap w:val="0"/>
              <w:spacing w:line="360" w:lineRule="auto"/>
              <w:rPr>
                <w:szCs w:val="24"/>
              </w:rPr>
            </w:pPr>
            <w:r>
              <w:rPr>
                <w:rFonts w:hint="eastAsia"/>
                <w:iCs/>
                <w:szCs w:val="24"/>
              </w:rPr>
              <w:t>不提供</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vAlign w:val="center"/>
          </w:tcPr>
          <w:p>
            <w:pPr>
              <w:tabs>
                <w:tab w:val="left" w:pos="130"/>
              </w:tabs>
              <w:wordWrap w:val="0"/>
              <w:spacing w:line="360" w:lineRule="auto"/>
              <w:ind w:right="57"/>
              <w:jc w:val="center"/>
              <w:rPr>
                <w:szCs w:val="24"/>
              </w:rPr>
            </w:pPr>
            <w:r>
              <w:rPr>
                <w:rFonts w:hint="eastAsia"/>
                <w:szCs w:val="24"/>
              </w:rPr>
              <w:t>14.1</w:t>
            </w:r>
          </w:p>
        </w:tc>
        <w:tc>
          <w:tcPr>
            <w:tcW w:w="1730" w:type="dxa"/>
            <w:tcBorders>
              <w:tl2br w:val="nil"/>
              <w:tr2bl w:val="nil"/>
            </w:tcBorders>
            <w:vAlign w:val="center"/>
          </w:tcPr>
          <w:p>
            <w:pPr>
              <w:wordWrap w:val="0"/>
              <w:spacing w:line="360" w:lineRule="auto"/>
              <w:jc w:val="center"/>
              <w:rPr>
                <w:rFonts w:cs="宋体"/>
                <w:szCs w:val="24"/>
              </w:rPr>
            </w:pPr>
            <w:r>
              <w:rPr>
                <w:rFonts w:hint="eastAsia" w:cs="宋体"/>
                <w:szCs w:val="24"/>
              </w:rPr>
              <w:t>项目演示</w:t>
            </w:r>
          </w:p>
        </w:tc>
        <w:tc>
          <w:tcPr>
            <w:tcW w:w="7051" w:type="dxa"/>
            <w:tcBorders>
              <w:tl2br w:val="nil"/>
              <w:tr2bl w:val="nil"/>
            </w:tcBorders>
            <w:vAlign w:val="center"/>
          </w:tcPr>
          <w:p>
            <w:pPr>
              <w:pStyle w:val="11"/>
              <w:rPr>
                <w:rFonts w:hint="eastAsia" w:eastAsia="宋体"/>
                <w:lang w:val="zh-CN" w:eastAsia="zh-CN"/>
              </w:rPr>
            </w:pPr>
            <w:r>
              <w:rPr>
                <w:rFonts w:hint="eastAsia" w:ascii="宋体" w:hAnsi="宋体" w:eastAsia="宋体" w:cs="宋体"/>
                <w:b/>
                <w:bCs/>
                <w:sz w:val="24"/>
                <w:szCs w:val="24"/>
                <w:lang w:val="en-US" w:eastAsia="zh-CN" w:bidi="ar-SA"/>
              </w:rPr>
              <w:t>远程演示</w:t>
            </w:r>
            <w:r>
              <w:rPr>
                <w:rFonts w:hint="eastAsia" w:ascii="宋体" w:hAnsi="宋体" w:eastAsia="宋体" w:cs="宋体"/>
                <w:sz w:val="24"/>
                <w:szCs w:val="24"/>
                <w:lang w:val="en-US" w:eastAsia="zh-CN" w:bidi="ar-SA"/>
              </w:rPr>
              <w:t>。投标人通过黄冈市政府电子采购平台进行远程演示：进入演示环节后，投标人可在拟投平台（系统）部署的计算机上进行操作演示、或录制操作视频播放的方式，进行远程演示，总演示时间不得超过30分钟。具体演示内容详见采购需求及评审要求。（投标人</w:t>
            </w:r>
            <w:r>
              <w:rPr>
                <w:rFonts w:hint="eastAsia" w:cs="宋体"/>
                <w:sz w:val="24"/>
                <w:szCs w:val="24"/>
                <w:lang w:val="en-US" w:eastAsia="zh-CN" w:bidi="ar-SA"/>
              </w:rPr>
              <w:t>应保持通讯畅通，评审开始后</w:t>
            </w:r>
            <w:r>
              <w:rPr>
                <w:rFonts w:hint="eastAsia" w:ascii="宋体" w:hAnsi="宋体" w:eastAsia="宋体" w:cs="宋体"/>
                <w:sz w:val="24"/>
                <w:szCs w:val="24"/>
                <w:lang w:val="en-US" w:eastAsia="zh-CN" w:bidi="ar-SA"/>
              </w:rPr>
              <w:t>，</w:t>
            </w:r>
            <w:r>
              <w:rPr>
                <w:rFonts w:hint="eastAsia" w:cs="宋体"/>
                <w:sz w:val="24"/>
                <w:szCs w:val="24"/>
                <w:lang w:val="en-US" w:eastAsia="zh-CN" w:bidi="ar-SA"/>
              </w:rPr>
              <w:t>及时登录电子采购平台做好</w:t>
            </w:r>
            <w:r>
              <w:rPr>
                <w:rFonts w:hint="eastAsia" w:ascii="宋体" w:hAnsi="宋体" w:eastAsia="宋体" w:cs="宋体"/>
                <w:sz w:val="24"/>
                <w:szCs w:val="24"/>
                <w:lang w:val="en-US" w:eastAsia="zh-CN" w:bidi="ar-SA"/>
              </w:rPr>
              <w:t>远程线上演示准备，随时关注互动窗口，按照评标委员会的安排进行演示</w:t>
            </w:r>
            <w:r>
              <w:rPr>
                <w:rFonts w:hint="eastAsia" w:cs="宋体"/>
                <w:sz w:val="24"/>
                <w:szCs w:val="24"/>
                <w:lang w:val="en-US" w:eastAsia="zh-CN" w:bidi="ar-SA"/>
              </w:rPr>
              <w:t>。因投标人通讯不畅、未关注互动窗口、未按要求演示或其他自身原因导致演示失败的，由投标人自行承担由此产生的一切不利后果</w:t>
            </w:r>
            <w:r>
              <w:rPr>
                <w:rFonts w:hint="eastAsia" w:ascii="宋体" w:hAnsi="宋体" w:eastAsia="宋体" w:cs="宋体"/>
                <w:sz w:val="24"/>
                <w:szCs w:val="24"/>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vAlign w:val="center"/>
          </w:tcPr>
          <w:p>
            <w:pPr>
              <w:tabs>
                <w:tab w:val="left" w:pos="130"/>
              </w:tabs>
              <w:wordWrap w:val="0"/>
              <w:spacing w:line="360" w:lineRule="auto"/>
              <w:ind w:right="57"/>
              <w:jc w:val="center"/>
              <w:rPr>
                <w:szCs w:val="24"/>
              </w:rPr>
            </w:pPr>
            <w:r>
              <w:rPr>
                <w:rFonts w:hint="eastAsia"/>
                <w:szCs w:val="24"/>
              </w:rPr>
              <w:t>1</w:t>
            </w:r>
            <w:r>
              <w:rPr>
                <w:szCs w:val="24"/>
              </w:rPr>
              <w:t>6</w:t>
            </w:r>
            <w:r>
              <w:rPr>
                <w:rFonts w:hint="eastAsia"/>
                <w:szCs w:val="24"/>
              </w:rPr>
              <w:t>.1</w:t>
            </w:r>
          </w:p>
        </w:tc>
        <w:tc>
          <w:tcPr>
            <w:tcW w:w="1730" w:type="dxa"/>
            <w:tcBorders>
              <w:tl2br w:val="nil"/>
              <w:tr2bl w:val="nil"/>
            </w:tcBorders>
            <w:vAlign w:val="center"/>
          </w:tcPr>
          <w:p>
            <w:pPr>
              <w:wordWrap w:val="0"/>
              <w:spacing w:line="360" w:lineRule="auto"/>
              <w:jc w:val="center"/>
              <w:rPr>
                <w:rFonts w:cs="宋体"/>
                <w:szCs w:val="24"/>
              </w:rPr>
            </w:pPr>
            <w:r>
              <w:rPr>
                <w:rFonts w:hint="eastAsia" w:cs="宋体"/>
                <w:szCs w:val="24"/>
              </w:rPr>
              <w:t>澄清或修改</w:t>
            </w:r>
          </w:p>
        </w:tc>
        <w:tc>
          <w:tcPr>
            <w:tcW w:w="7051" w:type="dxa"/>
            <w:tcBorders>
              <w:tl2br w:val="nil"/>
              <w:tr2bl w:val="nil"/>
            </w:tcBorders>
            <w:vAlign w:val="center"/>
          </w:tcPr>
          <w:p>
            <w:pPr>
              <w:wordWrap w:val="0"/>
              <w:spacing w:line="360" w:lineRule="auto"/>
              <w:ind w:right="-120" w:rightChars="-50"/>
              <w:rPr>
                <w:szCs w:val="24"/>
              </w:rPr>
            </w:pPr>
            <w:r>
              <w:rPr>
                <w:rFonts w:hint="eastAsia" w:cs="宋体"/>
                <w:szCs w:val="24"/>
              </w:rPr>
              <w:t>获取招标文件的潜在投标人应自行在中国湖北政府采购网</w:t>
            </w:r>
            <w:r>
              <w:rPr>
                <w:rFonts w:hint="eastAsia"/>
                <w:szCs w:val="24"/>
              </w:rPr>
              <w:t>、</w:t>
            </w:r>
            <w:r>
              <w:rPr>
                <w:rFonts w:hint="eastAsia" w:cs="宋体"/>
                <w:szCs w:val="24"/>
              </w:rPr>
              <w:t>黄冈市公共资源交易中心网</w:t>
            </w:r>
            <w:r>
              <w:rPr>
                <w:rFonts w:hint="eastAsia"/>
                <w:szCs w:val="24"/>
              </w:rPr>
              <w:t>或黄冈市政府电子采购平台</w:t>
            </w:r>
            <w:r>
              <w:rPr>
                <w:rFonts w:hint="eastAsia" w:cs="宋体"/>
                <w:szCs w:val="24"/>
              </w:rPr>
              <w:t>上关注更正公告并按要求下载澄清或修改的内容，采购人、集中采购机构</w:t>
            </w:r>
            <w:r>
              <w:rPr>
                <w:rFonts w:hint="eastAsia" w:cs="宋体"/>
                <w:b/>
                <w:szCs w:val="24"/>
              </w:rPr>
              <w:t>不再另行书面通知</w:t>
            </w:r>
            <w:r>
              <w:rPr>
                <w:rFonts w:hint="eastAsia" w:cs="宋体"/>
                <w:szCs w:val="24"/>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vAlign w:val="center"/>
          </w:tcPr>
          <w:p>
            <w:pPr>
              <w:tabs>
                <w:tab w:val="left" w:pos="130"/>
              </w:tabs>
              <w:wordWrap w:val="0"/>
              <w:spacing w:line="360" w:lineRule="auto"/>
              <w:ind w:right="57"/>
              <w:jc w:val="center"/>
              <w:rPr>
                <w:szCs w:val="24"/>
              </w:rPr>
            </w:pPr>
            <w:r>
              <w:rPr>
                <w:rFonts w:hint="eastAsia"/>
                <w:szCs w:val="24"/>
              </w:rPr>
              <w:t>1</w:t>
            </w:r>
            <w:r>
              <w:rPr>
                <w:szCs w:val="24"/>
              </w:rPr>
              <w:t>7</w:t>
            </w:r>
            <w:r>
              <w:rPr>
                <w:rFonts w:hint="eastAsia"/>
                <w:szCs w:val="24"/>
              </w:rPr>
              <w:t>.1</w:t>
            </w:r>
          </w:p>
        </w:tc>
        <w:tc>
          <w:tcPr>
            <w:tcW w:w="1730" w:type="dxa"/>
            <w:tcBorders>
              <w:tl2br w:val="nil"/>
              <w:tr2bl w:val="nil"/>
            </w:tcBorders>
            <w:vAlign w:val="center"/>
          </w:tcPr>
          <w:p>
            <w:pPr>
              <w:wordWrap w:val="0"/>
              <w:spacing w:line="360" w:lineRule="auto"/>
              <w:jc w:val="center"/>
              <w:rPr>
                <w:szCs w:val="24"/>
              </w:rPr>
            </w:pPr>
            <w:r>
              <w:rPr>
                <w:rFonts w:hint="eastAsia" w:cs="宋体"/>
                <w:szCs w:val="24"/>
              </w:rPr>
              <w:t>现场考察</w:t>
            </w:r>
            <w:r>
              <w:rPr>
                <w:rFonts w:hint="eastAsia" w:cs="宋体"/>
                <w:b/>
                <w:szCs w:val="24"/>
              </w:rPr>
              <w:t>或</w:t>
            </w:r>
            <w:r>
              <w:rPr>
                <w:rFonts w:hint="eastAsia" w:cs="宋体"/>
                <w:szCs w:val="24"/>
                <w:lang w:val="zh-CN"/>
              </w:rPr>
              <w:t>开标前答疑会</w:t>
            </w:r>
          </w:p>
        </w:tc>
        <w:tc>
          <w:tcPr>
            <w:tcW w:w="7051" w:type="dxa"/>
            <w:tcBorders>
              <w:tl2br w:val="nil"/>
              <w:tr2bl w:val="nil"/>
            </w:tcBorders>
            <w:vAlign w:val="center"/>
          </w:tcPr>
          <w:p>
            <w:pPr>
              <w:pStyle w:val="11"/>
              <w:spacing w:line="360" w:lineRule="auto"/>
            </w:pPr>
            <w:r>
              <w:rPr>
                <w:rFonts w:hint="eastAsia"/>
                <w:iCs/>
                <w:szCs w:val="24"/>
              </w:rPr>
              <w:t>不组织</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740" w:type="dxa"/>
            <w:gridSpan w:val="3"/>
            <w:tcBorders>
              <w:tl2br w:val="nil"/>
              <w:tr2bl w:val="nil"/>
            </w:tcBorders>
            <w:vAlign w:val="center"/>
          </w:tcPr>
          <w:p>
            <w:pPr>
              <w:wordWrap w:val="0"/>
              <w:spacing w:line="360" w:lineRule="auto"/>
              <w:ind w:right="-120" w:rightChars="-50"/>
              <w:rPr>
                <w:szCs w:val="24"/>
              </w:rPr>
            </w:pPr>
            <w:r>
              <w:rPr>
                <w:rFonts w:hint="eastAsia"/>
                <w:szCs w:val="24"/>
              </w:rPr>
              <w:t>三、投标文件</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vAlign w:val="center"/>
          </w:tcPr>
          <w:p>
            <w:pPr>
              <w:tabs>
                <w:tab w:val="left" w:pos="130"/>
              </w:tabs>
              <w:wordWrap w:val="0"/>
              <w:spacing w:line="360" w:lineRule="auto"/>
              <w:ind w:right="57"/>
              <w:jc w:val="center"/>
              <w:rPr>
                <w:szCs w:val="24"/>
              </w:rPr>
            </w:pPr>
            <w:r>
              <w:rPr>
                <w:szCs w:val="24"/>
              </w:rPr>
              <w:t>20</w:t>
            </w:r>
          </w:p>
        </w:tc>
        <w:tc>
          <w:tcPr>
            <w:tcW w:w="1730" w:type="dxa"/>
            <w:tcBorders>
              <w:tl2br w:val="nil"/>
              <w:tr2bl w:val="nil"/>
            </w:tcBorders>
            <w:vAlign w:val="center"/>
          </w:tcPr>
          <w:p>
            <w:pPr>
              <w:wordWrap w:val="0"/>
              <w:spacing w:line="360" w:lineRule="auto"/>
              <w:jc w:val="center"/>
              <w:rPr>
                <w:szCs w:val="24"/>
              </w:rPr>
            </w:pPr>
            <w:r>
              <w:rPr>
                <w:rFonts w:hint="eastAsia"/>
                <w:szCs w:val="24"/>
              </w:rPr>
              <w:t>投标</w:t>
            </w:r>
            <w:r>
              <w:rPr>
                <w:szCs w:val="24"/>
              </w:rPr>
              <w:t>文件</w:t>
            </w:r>
            <w:r>
              <w:rPr>
                <w:rFonts w:hint="eastAsia"/>
                <w:szCs w:val="24"/>
              </w:rPr>
              <w:t>数量</w:t>
            </w:r>
          </w:p>
        </w:tc>
        <w:tc>
          <w:tcPr>
            <w:tcW w:w="7051" w:type="dxa"/>
            <w:tcBorders>
              <w:tl2br w:val="nil"/>
              <w:tr2bl w:val="nil"/>
            </w:tcBorders>
            <w:vAlign w:val="center"/>
          </w:tcPr>
          <w:p>
            <w:pPr>
              <w:wordWrap w:val="0"/>
              <w:spacing w:line="360" w:lineRule="auto"/>
              <w:rPr>
                <w:szCs w:val="24"/>
              </w:rPr>
            </w:pPr>
            <w:r>
              <w:rPr>
                <w:rFonts w:hint="eastAsia"/>
                <w:b/>
                <w:szCs w:val="24"/>
                <w:u w:val="single"/>
              </w:rPr>
              <w:t xml:space="preserve"> 1</w:t>
            </w:r>
            <w:r>
              <w:rPr>
                <w:rFonts w:hint="eastAsia"/>
                <w:szCs w:val="24"/>
                <w:u w:val="single"/>
              </w:rPr>
              <w:t xml:space="preserve"> </w:t>
            </w:r>
            <w:r>
              <w:rPr>
                <w:rFonts w:hint="eastAsia"/>
                <w:szCs w:val="24"/>
              </w:rPr>
              <w:t>份（包括投标</w:t>
            </w:r>
            <w:r>
              <w:rPr>
                <w:szCs w:val="24"/>
              </w:rPr>
              <w:t>文件</w:t>
            </w:r>
            <w:r>
              <w:rPr>
                <w:rFonts w:hint="eastAsia"/>
                <w:szCs w:val="24"/>
              </w:rPr>
              <w:t>&lt;</w:t>
            </w:r>
            <w:r>
              <w:rPr>
                <w:szCs w:val="24"/>
              </w:rPr>
              <w:t>PDF格式</w:t>
            </w:r>
            <w:r>
              <w:rPr>
                <w:rFonts w:hint="eastAsia"/>
                <w:szCs w:val="24"/>
              </w:rPr>
              <w:t>&gt;</w:t>
            </w:r>
            <w:r>
              <w:rPr>
                <w:szCs w:val="24"/>
              </w:rPr>
              <w:t>和投标数据文件</w:t>
            </w:r>
            <w:r>
              <w:rPr>
                <w:rFonts w:hint="eastAsia"/>
                <w:szCs w:val="24"/>
              </w:rPr>
              <w:t>&lt;</w:t>
            </w:r>
            <w:r>
              <w:rPr>
                <w:szCs w:val="24"/>
              </w:rPr>
              <w:t>PDF格式</w:t>
            </w:r>
            <w:r>
              <w:rPr>
                <w:rFonts w:hint="eastAsia"/>
                <w:szCs w:val="24"/>
              </w:rPr>
              <w:t>&gt;</w:t>
            </w:r>
            <w:r>
              <w:rPr>
                <w:szCs w:val="24"/>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vAlign w:val="center"/>
          </w:tcPr>
          <w:p>
            <w:pPr>
              <w:tabs>
                <w:tab w:val="left" w:pos="242"/>
              </w:tabs>
              <w:wordWrap w:val="0"/>
              <w:spacing w:line="360" w:lineRule="auto"/>
              <w:ind w:right="57"/>
              <w:jc w:val="center"/>
              <w:rPr>
                <w:szCs w:val="24"/>
              </w:rPr>
            </w:pPr>
            <w:r>
              <w:rPr>
                <w:rFonts w:hint="eastAsia"/>
                <w:szCs w:val="24"/>
              </w:rPr>
              <w:t>22</w:t>
            </w:r>
          </w:p>
        </w:tc>
        <w:tc>
          <w:tcPr>
            <w:tcW w:w="1730" w:type="dxa"/>
            <w:tcBorders>
              <w:tl2br w:val="nil"/>
              <w:tr2bl w:val="nil"/>
            </w:tcBorders>
            <w:vAlign w:val="center"/>
          </w:tcPr>
          <w:p>
            <w:pPr>
              <w:wordWrap w:val="0"/>
              <w:spacing w:line="360" w:lineRule="auto"/>
              <w:jc w:val="center"/>
              <w:rPr>
                <w:szCs w:val="24"/>
              </w:rPr>
            </w:pPr>
            <w:r>
              <w:rPr>
                <w:rFonts w:hint="eastAsia"/>
                <w:szCs w:val="24"/>
              </w:rPr>
              <w:t>备选方案</w:t>
            </w:r>
          </w:p>
        </w:tc>
        <w:tc>
          <w:tcPr>
            <w:tcW w:w="7051" w:type="dxa"/>
            <w:tcBorders>
              <w:tl2br w:val="nil"/>
              <w:tr2bl w:val="nil"/>
            </w:tcBorders>
            <w:vAlign w:val="center"/>
          </w:tcPr>
          <w:p>
            <w:pPr>
              <w:wordWrap w:val="0"/>
              <w:spacing w:line="360" w:lineRule="auto"/>
              <w:rPr>
                <w:szCs w:val="24"/>
              </w:rPr>
            </w:pPr>
            <w:r>
              <w:rPr>
                <w:rFonts w:hint="eastAsia"/>
                <w:szCs w:val="24"/>
              </w:rPr>
              <w:t>不允许</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vAlign w:val="center"/>
          </w:tcPr>
          <w:p>
            <w:pPr>
              <w:tabs>
                <w:tab w:val="left" w:pos="242"/>
              </w:tabs>
              <w:wordWrap w:val="0"/>
              <w:spacing w:line="360" w:lineRule="auto"/>
              <w:ind w:right="57"/>
              <w:jc w:val="center"/>
              <w:rPr>
                <w:szCs w:val="24"/>
              </w:rPr>
            </w:pPr>
            <w:r>
              <w:rPr>
                <w:rFonts w:hint="eastAsia"/>
                <w:szCs w:val="24"/>
              </w:rPr>
              <w:t>23.1</w:t>
            </w:r>
          </w:p>
        </w:tc>
        <w:tc>
          <w:tcPr>
            <w:tcW w:w="1730" w:type="dxa"/>
            <w:tcBorders>
              <w:tl2br w:val="nil"/>
              <w:tr2bl w:val="nil"/>
            </w:tcBorders>
            <w:vAlign w:val="center"/>
          </w:tcPr>
          <w:p>
            <w:pPr>
              <w:wordWrap w:val="0"/>
              <w:spacing w:line="360" w:lineRule="auto"/>
              <w:jc w:val="center"/>
              <w:rPr>
                <w:szCs w:val="24"/>
              </w:rPr>
            </w:pPr>
            <w:r>
              <w:rPr>
                <w:szCs w:val="24"/>
              </w:rPr>
              <w:t>投标有效期</w:t>
            </w:r>
          </w:p>
        </w:tc>
        <w:tc>
          <w:tcPr>
            <w:tcW w:w="7051" w:type="dxa"/>
            <w:tcBorders>
              <w:tl2br w:val="nil"/>
              <w:tr2bl w:val="nil"/>
            </w:tcBorders>
            <w:vAlign w:val="center"/>
          </w:tcPr>
          <w:p>
            <w:pPr>
              <w:wordWrap w:val="0"/>
              <w:spacing w:line="360" w:lineRule="auto"/>
              <w:rPr>
                <w:szCs w:val="24"/>
              </w:rPr>
            </w:pPr>
            <w:r>
              <w:rPr>
                <w:rFonts w:hint="eastAsia" w:cs="宋体"/>
                <w:szCs w:val="24"/>
              </w:rPr>
              <w:t>提交投标文件截止之日起</w:t>
            </w:r>
            <w:r>
              <w:rPr>
                <w:rFonts w:hint="eastAsia" w:cs="宋体"/>
                <w:b/>
                <w:szCs w:val="24"/>
                <w:u w:val="single"/>
              </w:rPr>
              <w:t>90</w:t>
            </w:r>
            <w:r>
              <w:rPr>
                <w:rFonts w:hint="eastAsia" w:cs="宋体"/>
                <w:szCs w:val="24"/>
              </w:rPr>
              <w:t>日历日</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740" w:type="dxa"/>
            <w:gridSpan w:val="3"/>
            <w:tcBorders>
              <w:tl2br w:val="nil"/>
              <w:tr2bl w:val="nil"/>
            </w:tcBorders>
            <w:vAlign w:val="center"/>
          </w:tcPr>
          <w:p>
            <w:pPr>
              <w:wordWrap w:val="0"/>
              <w:spacing w:line="360" w:lineRule="auto"/>
              <w:rPr>
                <w:rFonts w:cs="宋体"/>
                <w:szCs w:val="24"/>
              </w:rPr>
            </w:pPr>
            <w:r>
              <w:rPr>
                <w:rFonts w:hint="eastAsia" w:cs="宋体"/>
                <w:szCs w:val="24"/>
              </w:rPr>
              <w:t>四、开标与评标</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vAlign w:val="center"/>
          </w:tcPr>
          <w:p>
            <w:pPr>
              <w:tabs>
                <w:tab w:val="left" w:pos="242"/>
              </w:tabs>
              <w:wordWrap w:val="0"/>
              <w:spacing w:line="360" w:lineRule="auto"/>
              <w:ind w:right="57"/>
              <w:jc w:val="center"/>
              <w:rPr>
                <w:szCs w:val="24"/>
              </w:rPr>
            </w:pPr>
            <w:r>
              <w:rPr>
                <w:rFonts w:hint="eastAsia"/>
                <w:szCs w:val="24"/>
              </w:rPr>
              <w:t>28.</w:t>
            </w:r>
            <w:r>
              <w:rPr>
                <w:szCs w:val="24"/>
              </w:rPr>
              <w:t>2</w:t>
            </w:r>
          </w:p>
        </w:tc>
        <w:tc>
          <w:tcPr>
            <w:tcW w:w="1730" w:type="dxa"/>
            <w:tcBorders>
              <w:tl2br w:val="nil"/>
              <w:tr2bl w:val="nil"/>
            </w:tcBorders>
            <w:vAlign w:val="center"/>
          </w:tcPr>
          <w:p>
            <w:pPr>
              <w:wordWrap w:val="0"/>
              <w:spacing w:line="360" w:lineRule="auto"/>
              <w:jc w:val="center"/>
              <w:rPr>
                <w:szCs w:val="24"/>
              </w:rPr>
            </w:pPr>
            <w:r>
              <w:rPr>
                <w:rFonts w:hint="eastAsia"/>
                <w:szCs w:val="24"/>
              </w:rPr>
              <w:t>投标文件解密</w:t>
            </w:r>
          </w:p>
        </w:tc>
        <w:tc>
          <w:tcPr>
            <w:tcW w:w="7051" w:type="dxa"/>
            <w:tcBorders>
              <w:tl2br w:val="nil"/>
              <w:tr2bl w:val="nil"/>
            </w:tcBorders>
            <w:vAlign w:val="center"/>
          </w:tcPr>
          <w:p>
            <w:pPr>
              <w:wordWrap w:val="0"/>
              <w:spacing w:line="360" w:lineRule="auto"/>
              <w:ind w:right="-120" w:rightChars="-50"/>
              <w:rPr>
                <w:szCs w:val="24"/>
              </w:rPr>
            </w:pPr>
            <w:r>
              <w:rPr>
                <w:rFonts w:hint="eastAsia"/>
                <w:szCs w:val="24"/>
              </w:rPr>
              <w:t>文件解密时间：无特殊情况，</w:t>
            </w:r>
            <w:r>
              <w:rPr>
                <w:rFonts w:hint="eastAsia"/>
                <w:b/>
                <w:szCs w:val="24"/>
              </w:rPr>
              <w:t>30分钟内</w:t>
            </w:r>
          </w:p>
          <w:p>
            <w:pPr>
              <w:wordWrap w:val="0"/>
              <w:spacing w:line="360" w:lineRule="auto"/>
              <w:ind w:right="-120" w:rightChars="-50"/>
              <w:rPr>
                <w:szCs w:val="24"/>
              </w:rPr>
            </w:pPr>
            <w:r>
              <w:rPr>
                <w:rFonts w:hint="eastAsia"/>
                <w:szCs w:val="24"/>
              </w:rPr>
              <w:t>密码输入：</w:t>
            </w:r>
            <w:r>
              <w:rPr>
                <w:rFonts w:hint="eastAsia"/>
                <w:b/>
                <w:szCs w:val="24"/>
              </w:rPr>
              <w:t>5次机会</w:t>
            </w:r>
            <w:r>
              <w:rPr>
                <w:rFonts w:hint="eastAsia" w:ascii="楷体" w:hAnsi="楷体" w:eastAsia="楷体"/>
                <w:szCs w:val="24"/>
              </w:rPr>
              <w:t>（</w:t>
            </w:r>
            <w:r>
              <w:rPr>
                <w:rFonts w:ascii="楷体" w:hAnsi="楷体" w:eastAsia="楷体"/>
                <w:szCs w:val="24"/>
              </w:rPr>
              <w:t>若忘记密码，在</w:t>
            </w:r>
            <w:r>
              <w:rPr>
                <w:rFonts w:hint="eastAsia" w:ascii="楷体" w:hAnsi="楷体" w:eastAsia="楷体"/>
                <w:szCs w:val="24"/>
              </w:rPr>
              <w:t>5次输入</w:t>
            </w:r>
            <w:r>
              <w:rPr>
                <w:rFonts w:ascii="楷体" w:hAnsi="楷体" w:eastAsia="楷体"/>
                <w:szCs w:val="24"/>
              </w:rPr>
              <w:t>机会未使用完前可</w:t>
            </w:r>
            <w:r>
              <w:rPr>
                <w:rFonts w:hint="eastAsia" w:ascii="楷体" w:hAnsi="楷体" w:eastAsia="楷体"/>
                <w:szCs w:val="24"/>
              </w:rPr>
              <w:t>使</w:t>
            </w:r>
            <w:r>
              <w:rPr>
                <w:rFonts w:ascii="楷体" w:hAnsi="楷体" w:eastAsia="楷体"/>
                <w:szCs w:val="24"/>
              </w:rPr>
              <w:t>用密码找回</w:t>
            </w:r>
            <w:r>
              <w:rPr>
                <w:rFonts w:hint="eastAsia" w:ascii="楷体" w:hAnsi="楷体" w:eastAsia="楷体"/>
                <w:szCs w:val="24"/>
              </w:rPr>
              <w:t>功能找回</w:t>
            </w:r>
            <w:r>
              <w:rPr>
                <w:rFonts w:ascii="楷体" w:hAnsi="楷体" w:eastAsia="楷体"/>
                <w:szCs w:val="24"/>
              </w:rPr>
              <w:t>密码</w:t>
            </w:r>
            <w:r>
              <w:rPr>
                <w:rFonts w:hint="eastAsia" w:ascii="楷体" w:hAnsi="楷体" w:eastAsia="楷体"/>
                <w:szCs w:val="24"/>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740" w:type="dxa"/>
            <w:gridSpan w:val="3"/>
            <w:tcBorders>
              <w:tl2br w:val="nil"/>
              <w:tr2bl w:val="nil"/>
            </w:tcBorders>
            <w:vAlign w:val="center"/>
          </w:tcPr>
          <w:p>
            <w:pPr>
              <w:wordWrap w:val="0"/>
              <w:spacing w:line="360" w:lineRule="auto"/>
              <w:ind w:right="-120" w:rightChars="-50"/>
              <w:rPr>
                <w:szCs w:val="24"/>
              </w:rPr>
            </w:pPr>
            <w:r>
              <w:rPr>
                <w:rFonts w:hint="eastAsia"/>
                <w:szCs w:val="24"/>
              </w:rPr>
              <w:t>五、中标和合同</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vAlign w:val="center"/>
          </w:tcPr>
          <w:p>
            <w:pPr>
              <w:tabs>
                <w:tab w:val="left" w:pos="130"/>
              </w:tabs>
              <w:wordWrap w:val="0"/>
              <w:spacing w:line="360" w:lineRule="auto"/>
              <w:ind w:right="57"/>
              <w:jc w:val="center"/>
              <w:rPr>
                <w:szCs w:val="24"/>
              </w:rPr>
            </w:pPr>
            <w:r>
              <w:rPr>
                <w:rFonts w:hint="eastAsia"/>
                <w:szCs w:val="24"/>
              </w:rPr>
              <w:t>34.1</w:t>
            </w:r>
          </w:p>
        </w:tc>
        <w:tc>
          <w:tcPr>
            <w:tcW w:w="1730" w:type="dxa"/>
            <w:tcBorders>
              <w:tl2br w:val="nil"/>
              <w:tr2bl w:val="nil"/>
            </w:tcBorders>
            <w:vAlign w:val="center"/>
          </w:tcPr>
          <w:p>
            <w:pPr>
              <w:wordWrap w:val="0"/>
              <w:spacing w:line="360" w:lineRule="auto"/>
              <w:jc w:val="center"/>
              <w:rPr>
                <w:szCs w:val="24"/>
              </w:rPr>
            </w:pPr>
            <w:r>
              <w:rPr>
                <w:rFonts w:hint="eastAsia"/>
                <w:szCs w:val="24"/>
              </w:rPr>
              <w:t>中</w:t>
            </w:r>
            <w:r>
              <w:rPr>
                <w:szCs w:val="24"/>
              </w:rPr>
              <w:t>标通知书</w:t>
            </w:r>
          </w:p>
          <w:p>
            <w:pPr>
              <w:wordWrap w:val="0"/>
              <w:spacing w:line="360" w:lineRule="auto"/>
              <w:jc w:val="center"/>
              <w:rPr>
                <w:szCs w:val="24"/>
              </w:rPr>
            </w:pPr>
            <w:r>
              <w:rPr>
                <w:rFonts w:hint="eastAsia"/>
                <w:szCs w:val="24"/>
              </w:rPr>
              <w:t>领取方式</w:t>
            </w:r>
          </w:p>
        </w:tc>
        <w:tc>
          <w:tcPr>
            <w:tcW w:w="7051" w:type="dxa"/>
            <w:tcBorders>
              <w:tl2br w:val="nil"/>
              <w:tr2bl w:val="nil"/>
            </w:tcBorders>
            <w:vAlign w:val="center"/>
          </w:tcPr>
          <w:p>
            <w:pPr>
              <w:wordWrap w:val="0"/>
              <w:spacing w:line="360" w:lineRule="auto"/>
              <w:rPr>
                <w:rFonts w:cs="宋体"/>
                <w:szCs w:val="24"/>
              </w:rPr>
            </w:pPr>
            <w:r>
              <w:rPr>
                <w:rFonts w:hint="eastAsia" w:cs="宋体"/>
                <w:szCs w:val="24"/>
              </w:rPr>
              <w:t>自行</w:t>
            </w:r>
            <w:r>
              <w:rPr>
                <w:rFonts w:cs="宋体"/>
                <w:szCs w:val="24"/>
              </w:rPr>
              <w:t>在电子采购平台上下载打印</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vAlign w:val="center"/>
          </w:tcPr>
          <w:p>
            <w:pPr>
              <w:tabs>
                <w:tab w:val="left" w:pos="130"/>
              </w:tabs>
              <w:wordWrap w:val="0"/>
              <w:spacing w:line="360" w:lineRule="auto"/>
              <w:ind w:right="57"/>
              <w:jc w:val="center"/>
              <w:rPr>
                <w:szCs w:val="24"/>
              </w:rPr>
            </w:pPr>
            <w:r>
              <w:rPr>
                <w:rFonts w:hint="eastAsia"/>
                <w:szCs w:val="24"/>
              </w:rPr>
              <w:t>37</w:t>
            </w:r>
          </w:p>
        </w:tc>
        <w:tc>
          <w:tcPr>
            <w:tcW w:w="1730" w:type="dxa"/>
            <w:tcBorders>
              <w:tl2br w:val="nil"/>
              <w:tr2bl w:val="nil"/>
            </w:tcBorders>
            <w:vAlign w:val="center"/>
          </w:tcPr>
          <w:p>
            <w:pPr>
              <w:wordWrap w:val="0"/>
              <w:spacing w:line="360" w:lineRule="auto"/>
              <w:jc w:val="center"/>
              <w:rPr>
                <w:szCs w:val="24"/>
              </w:rPr>
            </w:pPr>
            <w:r>
              <w:rPr>
                <w:rFonts w:hint="eastAsia"/>
                <w:szCs w:val="24"/>
              </w:rPr>
              <w:t>合同融资</w:t>
            </w:r>
          </w:p>
          <w:p>
            <w:pPr>
              <w:wordWrap w:val="0"/>
              <w:spacing w:line="360" w:lineRule="auto"/>
              <w:jc w:val="center"/>
              <w:rPr>
                <w:szCs w:val="24"/>
              </w:rPr>
            </w:pPr>
            <w:r>
              <w:rPr>
                <w:rFonts w:hint="eastAsia"/>
                <w:szCs w:val="24"/>
              </w:rPr>
              <w:t>（</w:t>
            </w:r>
            <w:r>
              <w:rPr>
                <w:rFonts w:hint="eastAsia"/>
                <w:b/>
                <w:szCs w:val="24"/>
              </w:rPr>
              <w:t>政采贷</w:t>
            </w:r>
            <w:r>
              <w:rPr>
                <w:rFonts w:hint="eastAsia"/>
                <w:szCs w:val="24"/>
              </w:rPr>
              <w:t>）</w:t>
            </w:r>
          </w:p>
        </w:tc>
        <w:tc>
          <w:tcPr>
            <w:tcW w:w="7051" w:type="dxa"/>
            <w:tcBorders>
              <w:tl2br w:val="nil"/>
              <w:tr2bl w:val="nil"/>
            </w:tcBorders>
            <w:vAlign w:val="center"/>
          </w:tcPr>
          <w:p>
            <w:pPr>
              <w:wordWrap w:val="0"/>
              <w:spacing w:line="360" w:lineRule="auto"/>
              <w:rPr>
                <w:rFonts w:cs="宋体"/>
                <w:szCs w:val="24"/>
              </w:rPr>
            </w:pPr>
            <w:r>
              <w:rPr>
                <w:rFonts w:hint="eastAsia" w:cs="宋体"/>
                <w:szCs w:val="24"/>
              </w:rPr>
              <w:t>黄冈市政府采购合同融资平台http://58.51.104.17:8888/</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740" w:type="dxa"/>
            <w:gridSpan w:val="3"/>
            <w:tcBorders>
              <w:tl2br w:val="nil"/>
              <w:tr2bl w:val="nil"/>
            </w:tcBorders>
            <w:vAlign w:val="center"/>
          </w:tcPr>
          <w:p>
            <w:pPr>
              <w:wordWrap w:val="0"/>
              <w:spacing w:line="360" w:lineRule="auto"/>
              <w:rPr>
                <w:rFonts w:cs="宋体"/>
                <w:szCs w:val="24"/>
              </w:rPr>
            </w:pPr>
            <w:r>
              <w:rPr>
                <w:rFonts w:hint="eastAsia" w:cs="宋体"/>
                <w:szCs w:val="24"/>
              </w:rPr>
              <w:t>六、询问及质疑</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vAlign w:val="center"/>
          </w:tcPr>
          <w:p>
            <w:pPr>
              <w:tabs>
                <w:tab w:val="left" w:pos="242"/>
              </w:tabs>
              <w:wordWrap w:val="0"/>
              <w:spacing w:line="360" w:lineRule="auto"/>
              <w:ind w:right="57"/>
              <w:jc w:val="center"/>
              <w:rPr>
                <w:szCs w:val="24"/>
              </w:rPr>
            </w:pPr>
            <w:r>
              <w:rPr>
                <w:rFonts w:hint="eastAsia"/>
                <w:szCs w:val="24"/>
              </w:rPr>
              <w:t>38.2</w:t>
            </w:r>
          </w:p>
        </w:tc>
        <w:tc>
          <w:tcPr>
            <w:tcW w:w="1730" w:type="dxa"/>
            <w:tcBorders>
              <w:tl2br w:val="nil"/>
              <w:tr2bl w:val="nil"/>
            </w:tcBorders>
            <w:vAlign w:val="center"/>
          </w:tcPr>
          <w:p>
            <w:pPr>
              <w:wordWrap w:val="0"/>
              <w:spacing w:line="360" w:lineRule="auto"/>
              <w:jc w:val="center"/>
              <w:rPr>
                <w:szCs w:val="24"/>
              </w:rPr>
            </w:pPr>
            <w:r>
              <w:rPr>
                <w:rFonts w:hint="eastAsia"/>
                <w:szCs w:val="24"/>
              </w:rPr>
              <w:t>询问联系方式</w:t>
            </w:r>
          </w:p>
        </w:tc>
        <w:tc>
          <w:tcPr>
            <w:tcW w:w="7051" w:type="dxa"/>
            <w:tcBorders>
              <w:tl2br w:val="nil"/>
              <w:tr2bl w:val="nil"/>
            </w:tcBorders>
            <w:vAlign w:val="center"/>
          </w:tcPr>
          <w:p>
            <w:pPr>
              <w:pStyle w:val="11"/>
              <w:wordWrap w:val="0"/>
              <w:spacing w:line="360" w:lineRule="auto"/>
              <w:rPr>
                <w:szCs w:val="24"/>
              </w:rPr>
            </w:pPr>
            <w:r>
              <w:rPr>
                <w:rFonts w:hint="eastAsia"/>
                <w:szCs w:val="24"/>
              </w:rPr>
              <w:t>采购人联系方式详见“第一章 投标邀请”</w:t>
            </w:r>
          </w:p>
          <w:p>
            <w:pPr>
              <w:pStyle w:val="11"/>
              <w:wordWrap w:val="0"/>
              <w:spacing w:line="360" w:lineRule="auto"/>
              <w:rPr>
                <w:szCs w:val="24"/>
                <w:highlight w:val="yellow"/>
              </w:rPr>
            </w:pPr>
            <w:r>
              <w:rPr>
                <w:rFonts w:hint="eastAsia"/>
                <w:szCs w:val="24"/>
              </w:rPr>
              <w:t>招标文件联系方式详见“第一章 投标邀请”</w:t>
            </w:r>
          </w:p>
          <w:p>
            <w:pPr>
              <w:pStyle w:val="11"/>
              <w:wordWrap w:val="0"/>
              <w:spacing w:line="360" w:lineRule="auto"/>
              <w:rPr>
                <w:szCs w:val="24"/>
              </w:rPr>
            </w:pPr>
            <w:r>
              <w:rPr>
                <w:rFonts w:hint="eastAsia"/>
                <w:b/>
                <w:bCs/>
                <w:szCs w:val="24"/>
              </w:rPr>
              <w:t>开评标及中标后事项联系方式：0713-8365819</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vAlign w:val="center"/>
          </w:tcPr>
          <w:p>
            <w:pPr>
              <w:tabs>
                <w:tab w:val="left" w:pos="242"/>
              </w:tabs>
              <w:wordWrap w:val="0"/>
              <w:spacing w:line="360" w:lineRule="auto"/>
              <w:ind w:right="57"/>
              <w:jc w:val="center"/>
              <w:rPr>
                <w:szCs w:val="24"/>
              </w:rPr>
            </w:pPr>
            <w:r>
              <w:rPr>
                <w:rFonts w:hint="eastAsia"/>
                <w:szCs w:val="24"/>
              </w:rPr>
              <w:t>39.3</w:t>
            </w:r>
          </w:p>
        </w:tc>
        <w:tc>
          <w:tcPr>
            <w:tcW w:w="1730" w:type="dxa"/>
            <w:tcBorders>
              <w:tl2br w:val="nil"/>
              <w:tr2bl w:val="nil"/>
            </w:tcBorders>
            <w:vAlign w:val="center"/>
          </w:tcPr>
          <w:p>
            <w:pPr>
              <w:wordWrap w:val="0"/>
              <w:spacing w:line="360" w:lineRule="auto"/>
              <w:jc w:val="center"/>
              <w:rPr>
                <w:szCs w:val="24"/>
              </w:rPr>
            </w:pPr>
            <w:r>
              <w:rPr>
                <w:rFonts w:hint="eastAsia"/>
                <w:szCs w:val="24"/>
              </w:rPr>
              <w:t>质疑联系方式</w:t>
            </w:r>
          </w:p>
        </w:tc>
        <w:tc>
          <w:tcPr>
            <w:tcW w:w="7051" w:type="dxa"/>
            <w:tcBorders>
              <w:tl2br w:val="nil"/>
              <w:tr2bl w:val="nil"/>
            </w:tcBorders>
            <w:vAlign w:val="center"/>
          </w:tcPr>
          <w:p>
            <w:pPr>
              <w:pStyle w:val="11"/>
              <w:wordWrap w:val="0"/>
              <w:spacing w:line="360" w:lineRule="auto"/>
              <w:rPr>
                <w:szCs w:val="24"/>
              </w:rPr>
            </w:pPr>
            <w:r>
              <w:rPr>
                <w:rFonts w:hint="eastAsia"/>
                <w:szCs w:val="24"/>
              </w:rPr>
              <w:t>联系人：兰旋；电话：0713-8556260</w:t>
            </w:r>
          </w:p>
          <w:p>
            <w:pPr>
              <w:pStyle w:val="11"/>
              <w:wordWrap w:val="0"/>
              <w:spacing w:line="360" w:lineRule="auto"/>
              <w:rPr>
                <w:szCs w:val="24"/>
              </w:rPr>
            </w:pPr>
            <w:r>
              <w:rPr>
                <w:rFonts w:hint="eastAsia"/>
                <w:szCs w:val="24"/>
              </w:rPr>
              <w:t>地址：黄冈市城东新区永安路特1号市政务服务中心三楼</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740" w:type="dxa"/>
            <w:gridSpan w:val="3"/>
            <w:tcBorders>
              <w:tl2br w:val="nil"/>
              <w:tr2bl w:val="nil"/>
            </w:tcBorders>
            <w:vAlign w:val="center"/>
          </w:tcPr>
          <w:p>
            <w:pPr>
              <w:pStyle w:val="11"/>
              <w:wordWrap w:val="0"/>
              <w:spacing w:line="360" w:lineRule="auto"/>
              <w:rPr>
                <w:szCs w:val="24"/>
              </w:rPr>
            </w:pPr>
            <w:r>
              <w:rPr>
                <w:szCs w:val="24"/>
              </w:rPr>
              <w:t>1</w:t>
            </w:r>
            <w:r>
              <w:rPr>
                <w:rFonts w:hint="eastAsia"/>
                <w:szCs w:val="24"/>
              </w:rPr>
              <w:t>.本招标文件所称的“以上”、“以下”、“内”、“以内”，包括本数；所称的“不足”，不包括本数。</w:t>
            </w:r>
          </w:p>
          <w:p>
            <w:pPr>
              <w:pStyle w:val="11"/>
              <w:wordWrap w:val="0"/>
              <w:spacing w:line="360" w:lineRule="auto"/>
              <w:rPr>
                <w:szCs w:val="24"/>
              </w:rPr>
            </w:pPr>
            <w:r>
              <w:rPr>
                <w:szCs w:val="24"/>
              </w:rPr>
              <w:t>2</w:t>
            </w:r>
            <w:r>
              <w:rPr>
                <w:rFonts w:hint="eastAsia"/>
                <w:szCs w:val="24"/>
              </w:rPr>
              <w:t>.</w:t>
            </w:r>
            <w:r>
              <w:rPr>
                <w:szCs w:val="24"/>
              </w:rPr>
              <w:t>若招标文件前后不一致的，</w:t>
            </w:r>
            <w:r>
              <w:rPr>
                <w:rFonts w:hint="eastAsia"/>
                <w:szCs w:val="24"/>
              </w:rPr>
              <w:t>以“</w:t>
            </w:r>
            <w:r>
              <w:rPr>
                <w:szCs w:val="24"/>
              </w:rPr>
              <w:t>第一章</w:t>
            </w:r>
            <w:r>
              <w:rPr>
                <w:rFonts w:hint="eastAsia"/>
                <w:szCs w:val="24"/>
              </w:rPr>
              <w:t xml:space="preserve"> 投标</w:t>
            </w:r>
            <w:r>
              <w:rPr>
                <w:szCs w:val="24"/>
              </w:rPr>
              <w:t>邀请</w:t>
            </w:r>
            <w:r>
              <w:rPr>
                <w:rFonts w:hint="eastAsia"/>
                <w:szCs w:val="24"/>
              </w:rPr>
              <w:t>”</w:t>
            </w:r>
            <w:r>
              <w:rPr>
                <w:szCs w:val="24"/>
              </w:rPr>
              <w:t>和此表的内容为准</w:t>
            </w:r>
            <w:r>
              <w:rPr>
                <w:rFonts w:hint="eastAsia"/>
                <w:szCs w:val="24"/>
              </w:rPr>
              <w:t>。</w:t>
            </w:r>
          </w:p>
        </w:tc>
      </w:tr>
    </w:tbl>
    <w:p>
      <w:pPr>
        <w:pStyle w:val="11"/>
        <w:wordWrap w:val="0"/>
        <w:spacing w:line="360" w:lineRule="auto"/>
      </w:pPr>
      <w:r>
        <w:br w:type="page"/>
      </w:r>
    </w:p>
    <w:bookmarkEnd w:id="68"/>
    <w:bookmarkEnd w:id="69"/>
    <w:bookmarkEnd w:id="70"/>
    <w:bookmarkEnd w:id="71"/>
    <w:bookmarkEnd w:id="72"/>
    <w:bookmarkEnd w:id="73"/>
    <w:bookmarkEnd w:id="74"/>
    <w:p>
      <w:pPr>
        <w:pStyle w:val="3"/>
        <w:numPr>
          <w:ilvl w:val="0"/>
          <w:numId w:val="8"/>
        </w:numPr>
        <w:adjustRightInd w:val="0"/>
        <w:snapToGrid w:val="0"/>
        <w:spacing w:before="218" w:beforeLines="70" w:after="0" w:line="360" w:lineRule="auto"/>
        <w:ind w:left="658" w:hanging="658"/>
        <w:jc w:val="center"/>
        <w:rPr>
          <w:rFonts w:ascii="宋体" w:hAnsi="宋体" w:eastAsia="宋体" w:cs="Times New Roman"/>
          <w:bCs w:val="0"/>
          <w:sz w:val="28"/>
          <w:szCs w:val="28"/>
          <w:lang w:val="zh-CN"/>
        </w:rPr>
      </w:pPr>
      <w:bookmarkStart w:id="75" w:name="_Toc7552"/>
      <w:bookmarkStart w:id="76" w:name="_Toc117244350"/>
      <w:bookmarkStart w:id="77" w:name="_Toc117244465"/>
      <w:bookmarkStart w:id="78" w:name="_Toc12975"/>
      <w:r>
        <w:rPr>
          <w:rFonts w:hint="eastAsia" w:ascii="宋体" w:hAnsi="宋体" w:eastAsia="宋体" w:cs="Times New Roman"/>
          <w:bCs w:val="0"/>
          <w:sz w:val="28"/>
          <w:szCs w:val="28"/>
          <w:lang w:val="zh-CN"/>
        </w:rPr>
        <w:t>总  则</w:t>
      </w:r>
      <w:bookmarkEnd w:id="75"/>
      <w:bookmarkEnd w:id="76"/>
      <w:bookmarkEnd w:id="77"/>
      <w:bookmarkEnd w:id="78"/>
    </w:p>
    <w:p>
      <w:pPr>
        <w:pStyle w:val="43"/>
        <w:numPr>
          <w:ilvl w:val="0"/>
          <w:numId w:val="9"/>
        </w:numPr>
        <w:spacing w:line="360" w:lineRule="auto"/>
        <w:ind w:left="284" w:hanging="284" w:firstLineChars="0"/>
        <w:rPr>
          <w:b/>
          <w:szCs w:val="24"/>
          <w:lang w:val="zh-CN"/>
        </w:rPr>
      </w:pPr>
      <w:bookmarkStart w:id="79" w:name="_Toc102056177"/>
      <w:bookmarkStart w:id="80" w:name="_Toc102115979"/>
      <w:bookmarkStart w:id="81" w:name="_Toc102057677"/>
      <w:bookmarkStart w:id="82" w:name="_Toc102119810"/>
      <w:bookmarkStart w:id="83" w:name="_Toc102114877"/>
      <w:bookmarkStart w:id="84" w:name="_Toc102116109"/>
      <w:r>
        <w:rPr>
          <w:rFonts w:hint="eastAsia"/>
          <w:b/>
          <w:szCs w:val="24"/>
          <w:lang w:val="zh-CN"/>
        </w:rPr>
        <w:t>适用</w:t>
      </w:r>
      <w:bookmarkEnd w:id="79"/>
      <w:bookmarkEnd w:id="80"/>
      <w:bookmarkEnd w:id="81"/>
      <w:bookmarkEnd w:id="82"/>
      <w:bookmarkEnd w:id="83"/>
      <w:bookmarkEnd w:id="84"/>
      <w:r>
        <w:rPr>
          <w:rFonts w:hint="eastAsia"/>
          <w:b/>
          <w:szCs w:val="24"/>
          <w:lang w:val="zh-CN"/>
        </w:rPr>
        <w:t>范围</w:t>
      </w:r>
    </w:p>
    <w:p>
      <w:pPr>
        <w:numPr>
          <w:ilvl w:val="0"/>
          <w:numId w:val="10"/>
        </w:numPr>
        <w:tabs>
          <w:tab w:val="left" w:pos="420"/>
          <w:tab w:val="clear" w:pos="0"/>
        </w:tabs>
        <w:wordWrap w:val="0"/>
        <w:adjustRightInd w:val="0"/>
        <w:snapToGrid w:val="0"/>
        <w:spacing w:line="360" w:lineRule="auto"/>
        <w:rPr>
          <w:szCs w:val="24"/>
          <w:lang w:val="zh-CN"/>
        </w:rPr>
      </w:pPr>
      <w:r>
        <w:rPr>
          <w:rFonts w:hint="eastAsia"/>
          <w:szCs w:val="24"/>
          <w:lang w:val="zh-CN"/>
        </w:rPr>
        <w:t>本招标文件仅适用于“第一章 投标邀请”中所述的采购项目。</w:t>
      </w:r>
    </w:p>
    <w:p>
      <w:pPr>
        <w:pStyle w:val="43"/>
        <w:numPr>
          <w:ilvl w:val="0"/>
          <w:numId w:val="9"/>
        </w:numPr>
        <w:spacing w:line="360" w:lineRule="auto"/>
        <w:ind w:left="284" w:hanging="284" w:firstLineChars="0"/>
        <w:rPr>
          <w:b/>
          <w:szCs w:val="24"/>
          <w:lang w:val="zh-CN"/>
        </w:rPr>
      </w:pPr>
      <w:bookmarkStart w:id="85" w:name="_Toc102056180"/>
      <w:bookmarkStart w:id="86" w:name="_Toc102114881"/>
      <w:bookmarkStart w:id="87" w:name="_Toc102116113"/>
      <w:bookmarkStart w:id="88" w:name="_Toc102057680"/>
      <w:bookmarkStart w:id="89" w:name="_Toc102115983"/>
      <w:bookmarkStart w:id="90" w:name="_Toc102119814"/>
      <w:bookmarkStart w:id="91" w:name="_Toc102115981"/>
      <w:bookmarkStart w:id="92" w:name="_Toc102114879"/>
      <w:bookmarkStart w:id="93" w:name="_Toc102116111"/>
      <w:bookmarkStart w:id="94" w:name="_Toc102056179"/>
      <w:bookmarkStart w:id="95" w:name="_Toc102057679"/>
      <w:bookmarkStart w:id="96" w:name="_Toc102119812"/>
      <w:r>
        <w:rPr>
          <w:rFonts w:hint="eastAsia"/>
          <w:b/>
          <w:szCs w:val="24"/>
          <w:lang w:val="zh-CN"/>
        </w:rPr>
        <w:t>基本定义</w:t>
      </w:r>
    </w:p>
    <w:p>
      <w:pPr>
        <w:numPr>
          <w:ilvl w:val="0"/>
          <w:numId w:val="11"/>
        </w:numPr>
        <w:wordWrap w:val="0"/>
        <w:adjustRightInd w:val="0"/>
        <w:snapToGrid w:val="0"/>
        <w:spacing w:line="360" w:lineRule="auto"/>
        <w:ind w:left="420"/>
        <w:rPr>
          <w:rFonts w:cs="宋体"/>
          <w:szCs w:val="24"/>
          <w:lang w:val="zh-CN"/>
        </w:rPr>
      </w:pPr>
      <w:r>
        <w:rPr>
          <w:rFonts w:hint="eastAsia" w:cs="宋体"/>
          <w:szCs w:val="24"/>
          <w:lang w:val="zh-CN"/>
        </w:rPr>
        <w:t>“电子采购平台”是指：</w:t>
      </w:r>
      <w:r>
        <w:rPr>
          <w:rFonts w:hint="eastAsia" w:cs="宋体"/>
          <w:b/>
          <w:bCs/>
          <w:szCs w:val="24"/>
          <w:lang w:val="zh-CN"/>
        </w:rPr>
        <w:t>黄冈市政府电子采购平台（https://sso.hubeigp.gov.cn/checkLogin?sourceURL=https%3A%2F%2Fdzcg.hubeigp.gov.cn%2Flogon&amp;cloudid=148）</w:t>
      </w:r>
      <w:r>
        <w:rPr>
          <w:rFonts w:hint="eastAsia" w:cs="宋体"/>
          <w:szCs w:val="24"/>
          <w:lang w:val="zh-CN"/>
        </w:rPr>
        <w:t>。</w:t>
      </w:r>
    </w:p>
    <w:p>
      <w:pPr>
        <w:numPr>
          <w:ilvl w:val="0"/>
          <w:numId w:val="11"/>
        </w:numPr>
        <w:wordWrap w:val="0"/>
        <w:adjustRightInd w:val="0"/>
        <w:snapToGrid w:val="0"/>
        <w:spacing w:line="360" w:lineRule="auto"/>
        <w:ind w:left="420"/>
        <w:rPr>
          <w:rFonts w:cs="宋体"/>
          <w:szCs w:val="24"/>
          <w:lang w:val="zh-CN"/>
        </w:rPr>
      </w:pPr>
      <w:r>
        <w:rPr>
          <w:rFonts w:hint="eastAsia" w:cs="宋体"/>
          <w:szCs w:val="24"/>
          <w:lang w:val="zh-CN"/>
        </w:rPr>
        <w:t>“采购人”：详见“第一章 投标邀请”。</w:t>
      </w:r>
    </w:p>
    <w:p>
      <w:pPr>
        <w:numPr>
          <w:ilvl w:val="0"/>
          <w:numId w:val="11"/>
        </w:numPr>
        <w:wordWrap w:val="0"/>
        <w:adjustRightInd w:val="0"/>
        <w:snapToGrid w:val="0"/>
        <w:spacing w:line="360" w:lineRule="auto"/>
        <w:ind w:left="420"/>
        <w:rPr>
          <w:rFonts w:cs="宋体"/>
          <w:szCs w:val="24"/>
          <w:lang w:val="zh-CN"/>
        </w:rPr>
      </w:pPr>
      <w:r>
        <w:rPr>
          <w:rFonts w:hint="eastAsia" w:cs="宋体"/>
          <w:szCs w:val="24"/>
          <w:lang w:val="zh-CN"/>
        </w:rPr>
        <w:t>“集中采购机构”是指：黄冈市政府采购中心。</w:t>
      </w:r>
    </w:p>
    <w:p>
      <w:pPr>
        <w:numPr>
          <w:ilvl w:val="0"/>
          <w:numId w:val="11"/>
        </w:numPr>
        <w:wordWrap w:val="0"/>
        <w:adjustRightInd w:val="0"/>
        <w:snapToGrid w:val="0"/>
        <w:spacing w:line="360" w:lineRule="auto"/>
        <w:ind w:left="420"/>
        <w:rPr>
          <w:rFonts w:cs="宋体"/>
          <w:szCs w:val="24"/>
          <w:lang w:val="zh-CN"/>
        </w:rPr>
      </w:pPr>
      <w:r>
        <w:rPr>
          <w:rFonts w:hint="eastAsia" w:cs="宋体"/>
          <w:szCs w:val="24"/>
          <w:lang w:val="zh-CN"/>
        </w:rPr>
        <w:t>“投标人”是指：通过招标公告的方式邀请的，响应招标、参加投标竞争的法人、其他组织或者自然人，应在电子采购平台注册办理CA数字证书及电子签章。</w:t>
      </w:r>
    </w:p>
    <w:p>
      <w:pPr>
        <w:numPr>
          <w:ilvl w:val="0"/>
          <w:numId w:val="11"/>
        </w:numPr>
        <w:wordWrap w:val="0"/>
        <w:adjustRightInd w:val="0"/>
        <w:snapToGrid w:val="0"/>
        <w:spacing w:line="360" w:lineRule="auto"/>
        <w:ind w:left="420"/>
        <w:rPr>
          <w:rFonts w:cs="宋体"/>
          <w:szCs w:val="24"/>
          <w:lang w:val="zh-CN"/>
        </w:rPr>
      </w:pPr>
      <w:r>
        <w:rPr>
          <w:rFonts w:hint="eastAsia" w:cs="宋体"/>
          <w:szCs w:val="24"/>
          <w:lang w:val="zh-CN"/>
        </w:rPr>
        <w:t>“中标人”是指：经评标委员会评审，授予合同的投标人。</w:t>
      </w:r>
    </w:p>
    <w:p>
      <w:pPr>
        <w:numPr>
          <w:ilvl w:val="0"/>
          <w:numId w:val="11"/>
        </w:numPr>
        <w:wordWrap w:val="0"/>
        <w:adjustRightInd w:val="0"/>
        <w:snapToGrid w:val="0"/>
        <w:spacing w:line="360" w:lineRule="auto"/>
        <w:ind w:left="420"/>
        <w:rPr>
          <w:rFonts w:cs="宋体"/>
          <w:szCs w:val="24"/>
          <w:lang w:val="zh-CN"/>
        </w:rPr>
      </w:pPr>
      <w:r>
        <w:rPr>
          <w:rFonts w:hint="eastAsia" w:cs="宋体"/>
          <w:szCs w:val="24"/>
          <w:lang w:val="zh-CN"/>
        </w:rPr>
        <w:t>“进口产品”是指：符合《政府采购进口产品管理办法》（财库〔2007〕119号）和《关于政府采购进口产品管理有关问题的通知》（财办库〔2008〕248号）文件规定的产品。招标文件未规定采购进口产品的，拒绝进口产品参加投标。招标文件规定可采购进口产品的，不得限制满足招标文件要求的国内产品参与投标竞争。</w:t>
      </w:r>
    </w:p>
    <w:p>
      <w:pPr>
        <w:numPr>
          <w:ilvl w:val="0"/>
          <w:numId w:val="11"/>
        </w:numPr>
        <w:wordWrap w:val="0"/>
        <w:adjustRightInd w:val="0"/>
        <w:snapToGrid w:val="0"/>
        <w:spacing w:line="360" w:lineRule="auto"/>
        <w:ind w:left="420"/>
        <w:rPr>
          <w:rFonts w:cs="宋体"/>
          <w:szCs w:val="24"/>
          <w:lang w:val="zh-CN"/>
        </w:rPr>
      </w:pPr>
      <w:r>
        <w:rPr>
          <w:rFonts w:hint="eastAsia" w:cs="宋体"/>
          <w:szCs w:val="24"/>
          <w:lang w:val="zh-CN"/>
        </w:rPr>
        <w:t>本项目若涉及采购货物，则合格的货物及相应服务应满足以下要求：</w:t>
      </w:r>
    </w:p>
    <w:p>
      <w:pPr>
        <w:tabs>
          <w:tab w:val="left" w:pos="420"/>
        </w:tabs>
        <w:wordWrap w:val="0"/>
        <w:adjustRightInd w:val="0"/>
        <w:snapToGrid w:val="0"/>
        <w:spacing w:line="360" w:lineRule="auto"/>
        <w:ind w:firstLine="480" w:firstLineChars="200"/>
        <w:rPr>
          <w:szCs w:val="24"/>
          <w:lang w:val="zh-CN"/>
        </w:rPr>
      </w:pPr>
      <w:r>
        <w:rPr>
          <w:rFonts w:hint="eastAsia"/>
          <w:szCs w:val="24"/>
          <w:lang w:val="zh-CN"/>
        </w:rPr>
        <w:t>（</w:t>
      </w:r>
      <w:r>
        <w:rPr>
          <w:rFonts w:hint="eastAsia"/>
          <w:szCs w:val="24"/>
        </w:rPr>
        <w:t>1）</w:t>
      </w:r>
      <w:r>
        <w:rPr>
          <w:rFonts w:hint="eastAsia"/>
          <w:szCs w:val="24"/>
          <w:lang w:val="zh-CN"/>
        </w:rPr>
        <w:t>必须是全新、未使用过的原装合格正品（包括零部件），如安装或配置了软件的，须为正版软件。</w:t>
      </w:r>
    </w:p>
    <w:p>
      <w:pPr>
        <w:tabs>
          <w:tab w:val="left" w:pos="420"/>
        </w:tabs>
        <w:wordWrap w:val="0"/>
        <w:adjustRightInd w:val="0"/>
        <w:snapToGrid w:val="0"/>
        <w:spacing w:line="360" w:lineRule="auto"/>
        <w:ind w:firstLine="480" w:firstLineChars="200"/>
        <w:rPr>
          <w:szCs w:val="24"/>
          <w:lang w:val="zh-CN"/>
        </w:rPr>
      </w:pPr>
      <w:r>
        <w:rPr>
          <w:rFonts w:hint="eastAsia"/>
          <w:szCs w:val="24"/>
          <w:lang w:val="zh-CN"/>
        </w:rPr>
        <w:t>（</w:t>
      </w:r>
      <w:r>
        <w:rPr>
          <w:rFonts w:hint="eastAsia"/>
          <w:szCs w:val="24"/>
        </w:rPr>
        <w:t>2）</w:t>
      </w:r>
      <w:r>
        <w:rPr>
          <w:rFonts w:hint="eastAsia"/>
          <w:szCs w:val="24"/>
          <w:lang w:val="zh-CN"/>
        </w:rPr>
        <w:t>国产的货物及其有关服务必须符合中华人民共和国的设计、制造生产标准及行业标准。</w:t>
      </w:r>
      <w:r>
        <w:rPr>
          <w:rFonts w:hint="eastAsia"/>
          <w:szCs w:val="24"/>
        </w:rPr>
        <w:t>招标</w:t>
      </w:r>
      <w:r>
        <w:rPr>
          <w:rFonts w:hint="eastAsia"/>
          <w:szCs w:val="24"/>
          <w:lang w:val="zh-CN"/>
        </w:rPr>
        <w:t>文件有其他要求的，亦应符合其要求。</w:t>
      </w:r>
    </w:p>
    <w:p>
      <w:pPr>
        <w:tabs>
          <w:tab w:val="left" w:pos="420"/>
        </w:tabs>
        <w:wordWrap w:val="0"/>
        <w:adjustRightInd w:val="0"/>
        <w:snapToGrid w:val="0"/>
        <w:spacing w:line="360" w:lineRule="auto"/>
        <w:ind w:firstLine="480" w:firstLineChars="200"/>
        <w:rPr>
          <w:szCs w:val="24"/>
          <w:lang w:val="zh-CN"/>
        </w:rPr>
      </w:pPr>
      <w:r>
        <w:rPr>
          <w:rFonts w:hint="eastAsia"/>
          <w:szCs w:val="24"/>
          <w:lang w:val="zh-CN"/>
        </w:rPr>
        <w:t>（</w:t>
      </w:r>
      <w:r>
        <w:rPr>
          <w:rFonts w:hint="eastAsia"/>
          <w:szCs w:val="24"/>
        </w:rPr>
        <w:t>3）</w:t>
      </w:r>
      <w:r>
        <w:rPr>
          <w:rFonts w:hint="eastAsia"/>
          <w:szCs w:val="24"/>
          <w:lang w:val="zh-CN"/>
        </w:rPr>
        <w:t>进口货物及其有关服务必须符合原产地和中华人民共和国的设计、制造生产标准及行业标准。进口的货物必须具有合法的进口手续和途径，并通过中华人民共和国商检部门检验。</w:t>
      </w:r>
      <w:r>
        <w:rPr>
          <w:rFonts w:hint="eastAsia"/>
          <w:szCs w:val="24"/>
        </w:rPr>
        <w:t>招标</w:t>
      </w:r>
      <w:r>
        <w:rPr>
          <w:rFonts w:hint="eastAsia"/>
          <w:szCs w:val="24"/>
          <w:lang w:val="zh-CN"/>
        </w:rPr>
        <w:t>文件有其他要求的，亦应符合其要求。</w:t>
      </w:r>
    </w:p>
    <w:p>
      <w:pPr>
        <w:tabs>
          <w:tab w:val="left" w:pos="420"/>
        </w:tabs>
        <w:wordWrap w:val="0"/>
        <w:adjustRightInd w:val="0"/>
        <w:snapToGrid w:val="0"/>
        <w:spacing w:line="360" w:lineRule="auto"/>
        <w:ind w:firstLine="480" w:firstLineChars="200"/>
        <w:rPr>
          <w:szCs w:val="24"/>
          <w:lang w:val="zh-CN"/>
        </w:rPr>
      </w:pPr>
      <w:r>
        <w:rPr>
          <w:rFonts w:hint="eastAsia"/>
          <w:szCs w:val="24"/>
          <w:lang w:val="zh-CN"/>
        </w:rPr>
        <w:t>（</w:t>
      </w:r>
      <w:r>
        <w:rPr>
          <w:rFonts w:hint="eastAsia"/>
          <w:szCs w:val="24"/>
        </w:rPr>
        <w:t>4）</w:t>
      </w:r>
      <w:r>
        <w:rPr>
          <w:rFonts w:hint="eastAsia"/>
          <w:szCs w:val="24"/>
          <w:lang w:val="zh-CN"/>
        </w:rPr>
        <w:t>投标人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pPr>
        <w:tabs>
          <w:tab w:val="left" w:pos="420"/>
        </w:tabs>
        <w:wordWrap w:val="0"/>
        <w:adjustRightInd w:val="0"/>
        <w:snapToGrid w:val="0"/>
        <w:spacing w:line="360" w:lineRule="auto"/>
        <w:ind w:firstLine="480" w:firstLineChars="200"/>
        <w:rPr>
          <w:szCs w:val="24"/>
          <w:lang w:val="zh-CN"/>
        </w:rPr>
      </w:pPr>
      <w:r>
        <w:rPr>
          <w:rFonts w:hint="eastAsia"/>
          <w:szCs w:val="24"/>
          <w:lang w:val="zh-CN"/>
        </w:rPr>
        <w:t>（</w:t>
      </w:r>
      <w:r>
        <w:rPr>
          <w:rFonts w:hint="eastAsia"/>
          <w:szCs w:val="24"/>
        </w:rPr>
        <w:t>5）</w:t>
      </w:r>
      <w:r>
        <w:rPr>
          <w:rFonts w:hint="eastAsia"/>
          <w:szCs w:val="24"/>
          <w:lang w:val="zh-CN"/>
        </w:rPr>
        <w:t>投标人应保证，其所提供的货物符合国家强制性标准要求；符合相关行业标准（如具备行政主管部门颁发的资质证书或国家质量监督部门的产品《检验报告》等）。设备到货验收时，还必须提供设备的产品合格证、质量保证文件。若</w:t>
      </w:r>
      <w:r>
        <w:rPr>
          <w:rFonts w:hint="eastAsia"/>
          <w:szCs w:val="24"/>
        </w:rPr>
        <w:t>成交</w:t>
      </w:r>
      <w:r>
        <w:rPr>
          <w:rFonts w:hint="eastAsia"/>
          <w:szCs w:val="24"/>
          <w:lang w:val="zh-CN"/>
        </w:rPr>
        <w:t>后，除非另有约定，投标人必须按合同规定完成设备的安装，并达到验收标准。</w:t>
      </w:r>
    </w:p>
    <w:p>
      <w:pPr>
        <w:tabs>
          <w:tab w:val="left" w:pos="420"/>
        </w:tabs>
        <w:wordWrap w:val="0"/>
        <w:adjustRightInd w:val="0"/>
        <w:snapToGrid w:val="0"/>
        <w:spacing w:line="360" w:lineRule="auto"/>
        <w:ind w:firstLine="480" w:firstLineChars="200"/>
        <w:rPr>
          <w:szCs w:val="24"/>
          <w:lang w:val="zh-CN"/>
        </w:rPr>
      </w:pPr>
      <w:r>
        <w:rPr>
          <w:rFonts w:hint="eastAsia"/>
          <w:szCs w:val="24"/>
          <w:lang w:val="zh-CN"/>
        </w:rPr>
        <w:t>（</w:t>
      </w:r>
      <w:r>
        <w:rPr>
          <w:rFonts w:hint="eastAsia"/>
          <w:szCs w:val="24"/>
        </w:rPr>
        <w:t>6）</w:t>
      </w:r>
      <w:r>
        <w:rPr>
          <w:rFonts w:hint="eastAsia"/>
          <w:szCs w:val="24"/>
          <w:lang w:val="zh-CN"/>
        </w:rPr>
        <w:t>工期要求：投标人在</w:t>
      </w:r>
      <w:r>
        <w:rPr>
          <w:rFonts w:hint="eastAsia"/>
          <w:szCs w:val="24"/>
        </w:rPr>
        <w:t>响应</w:t>
      </w:r>
      <w:r>
        <w:rPr>
          <w:rFonts w:hint="eastAsia"/>
          <w:szCs w:val="24"/>
          <w:lang w:val="zh-CN"/>
        </w:rPr>
        <w:t>时对其所投项目应提交交货进度、交货计划等，在合同规定的时间内完成项目实施工作。</w:t>
      </w:r>
    </w:p>
    <w:p>
      <w:pPr>
        <w:tabs>
          <w:tab w:val="left" w:pos="420"/>
        </w:tabs>
        <w:wordWrap w:val="0"/>
        <w:adjustRightInd w:val="0"/>
        <w:snapToGrid w:val="0"/>
        <w:spacing w:line="360" w:lineRule="auto"/>
        <w:ind w:firstLine="480" w:firstLineChars="200"/>
        <w:rPr>
          <w:rFonts w:cs="宋体"/>
          <w:szCs w:val="24"/>
          <w:lang w:val="zh-CN"/>
        </w:rPr>
      </w:pPr>
      <w:r>
        <w:rPr>
          <w:rFonts w:hint="eastAsia"/>
          <w:szCs w:val="24"/>
          <w:lang w:val="zh-CN"/>
        </w:rPr>
        <w:t>（</w:t>
      </w:r>
      <w:r>
        <w:rPr>
          <w:rFonts w:hint="eastAsia"/>
          <w:szCs w:val="24"/>
        </w:rPr>
        <w:t>7）</w:t>
      </w:r>
      <w:r>
        <w:rPr>
          <w:rFonts w:hint="eastAsia"/>
          <w:szCs w:val="24"/>
          <w:lang w:val="zh-CN"/>
        </w:rPr>
        <w:t>投标人必须承担的设备运输、安装调试、验收检测和提供设备操作说明书、图纸等其他相关及类似的义务。</w:t>
      </w:r>
    </w:p>
    <w:p>
      <w:pPr>
        <w:pStyle w:val="43"/>
        <w:numPr>
          <w:ilvl w:val="0"/>
          <w:numId w:val="9"/>
        </w:numPr>
        <w:spacing w:line="360" w:lineRule="auto"/>
        <w:ind w:left="284" w:hanging="284" w:firstLineChars="0"/>
        <w:rPr>
          <w:b/>
          <w:szCs w:val="24"/>
          <w:lang w:val="zh-CN"/>
        </w:rPr>
      </w:pPr>
      <w:r>
        <w:rPr>
          <w:rFonts w:hint="eastAsia"/>
          <w:b/>
          <w:szCs w:val="24"/>
          <w:lang w:val="zh-CN"/>
        </w:rPr>
        <w:t>监管部门</w:t>
      </w:r>
    </w:p>
    <w:p>
      <w:pPr>
        <w:numPr>
          <w:ilvl w:val="0"/>
          <w:numId w:val="12"/>
        </w:numPr>
        <w:wordWrap w:val="0"/>
        <w:adjustRightInd w:val="0"/>
        <w:snapToGrid w:val="0"/>
        <w:spacing w:line="360" w:lineRule="auto"/>
        <w:ind w:left="420"/>
        <w:rPr>
          <w:rFonts w:cs="宋体"/>
          <w:szCs w:val="24"/>
          <w:lang w:val="zh-CN"/>
        </w:rPr>
      </w:pPr>
      <w:r>
        <w:rPr>
          <w:rFonts w:hint="eastAsia" w:cs="宋体"/>
          <w:szCs w:val="24"/>
          <w:lang w:val="zh-CN"/>
        </w:rPr>
        <w:t>监管部门：详见“</w:t>
      </w:r>
      <w:r>
        <w:rPr>
          <w:rFonts w:hint="eastAsia" w:cs="宋体"/>
          <w:b/>
          <w:bCs/>
          <w:szCs w:val="24"/>
          <w:lang w:val="zh-CN"/>
        </w:rPr>
        <w:t>投标人须知前附表</w:t>
      </w:r>
      <w:r>
        <w:rPr>
          <w:rFonts w:hint="eastAsia" w:cs="宋体"/>
          <w:szCs w:val="24"/>
          <w:lang w:val="zh-CN"/>
        </w:rPr>
        <w:t>”。</w:t>
      </w:r>
    </w:p>
    <w:p>
      <w:pPr>
        <w:numPr>
          <w:ilvl w:val="0"/>
          <w:numId w:val="12"/>
        </w:numPr>
        <w:wordWrap w:val="0"/>
        <w:adjustRightInd w:val="0"/>
        <w:snapToGrid w:val="0"/>
        <w:spacing w:line="360" w:lineRule="auto"/>
        <w:ind w:left="420"/>
        <w:rPr>
          <w:rFonts w:cs="宋体"/>
          <w:szCs w:val="24"/>
          <w:lang w:val="zh-CN"/>
        </w:rPr>
      </w:pPr>
      <w:r>
        <w:rPr>
          <w:rFonts w:hint="eastAsia" w:cs="宋体"/>
          <w:szCs w:val="24"/>
          <w:lang w:val="zh-CN"/>
        </w:rPr>
        <w:t>跨区域联合采购项目，采购人所属预算级次相同的，集中采购机构所在地的财政部门为政府采购监管部门；采购人所属预算级次不同的，由预算级次最高的财政部门为政府采购监管部门。</w:t>
      </w:r>
    </w:p>
    <w:p>
      <w:pPr>
        <w:pStyle w:val="43"/>
        <w:numPr>
          <w:ilvl w:val="0"/>
          <w:numId w:val="9"/>
        </w:numPr>
        <w:spacing w:line="360" w:lineRule="auto"/>
        <w:ind w:left="284" w:hanging="284" w:firstLineChars="0"/>
        <w:rPr>
          <w:b/>
          <w:szCs w:val="24"/>
          <w:lang w:val="zh-CN"/>
        </w:rPr>
      </w:pPr>
      <w:r>
        <w:rPr>
          <w:rFonts w:hint="eastAsia"/>
          <w:b/>
          <w:szCs w:val="24"/>
          <w:lang w:val="zh-CN"/>
        </w:rPr>
        <w:t>项目属性</w:t>
      </w:r>
      <w:bookmarkEnd w:id="85"/>
      <w:bookmarkEnd w:id="86"/>
      <w:bookmarkEnd w:id="87"/>
      <w:bookmarkEnd w:id="88"/>
      <w:bookmarkEnd w:id="89"/>
      <w:bookmarkEnd w:id="90"/>
    </w:p>
    <w:p>
      <w:pPr>
        <w:numPr>
          <w:ilvl w:val="0"/>
          <w:numId w:val="13"/>
        </w:numPr>
        <w:wordWrap w:val="0"/>
        <w:adjustRightInd w:val="0"/>
        <w:snapToGrid w:val="0"/>
        <w:spacing w:line="360" w:lineRule="auto"/>
        <w:ind w:left="420"/>
        <w:rPr>
          <w:rFonts w:cs="宋体"/>
          <w:szCs w:val="24"/>
          <w:lang w:val="zh-CN"/>
        </w:rPr>
      </w:pPr>
      <w:r>
        <w:rPr>
          <w:rFonts w:hint="eastAsia" w:cs="宋体"/>
          <w:szCs w:val="24"/>
          <w:lang w:val="zh-CN"/>
        </w:rPr>
        <w:t>项目属性：详见“</w:t>
      </w:r>
      <w:r>
        <w:rPr>
          <w:rFonts w:hint="eastAsia" w:cs="宋体"/>
          <w:b/>
          <w:bCs/>
          <w:szCs w:val="24"/>
          <w:lang w:val="zh-CN"/>
        </w:rPr>
        <w:t>投标人须知前附表</w:t>
      </w:r>
      <w:r>
        <w:rPr>
          <w:rFonts w:hint="eastAsia" w:cs="宋体"/>
          <w:szCs w:val="24"/>
          <w:lang w:val="zh-CN"/>
        </w:rPr>
        <w:t>”。</w:t>
      </w:r>
    </w:p>
    <w:p>
      <w:pPr>
        <w:numPr>
          <w:ilvl w:val="0"/>
          <w:numId w:val="13"/>
        </w:numPr>
        <w:wordWrap w:val="0"/>
        <w:adjustRightInd w:val="0"/>
        <w:snapToGrid w:val="0"/>
        <w:spacing w:line="360" w:lineRule="auto"/>
        <w:ind w:left="420"/>
        <w:rPr>
          <w:rFonts w:cs="宋体"/>
          <w:szCs w:val="24"/>
          <w:lang w:val="zh-CN"/>
        </w:rPr>
      </w:pPr>
      <w:r>
        <w:rPr>
          <w:rFonts w:hint="eastAsia" w:cs="宋体"/>
          <w:szCs w:val="24"/>
          <w:lang w:val="zh-CN"/>
        </w:rPr>
        <w:t>采购人应当按照财政部制定的《政府采购品目分类目录》确定采购项目属性。按照《政府采购品目分类目录》无法确定的，按照有利于采购项目实施的原则确定。</w:t>
      </w:r>
    </w:p>
    <w:p>
      <w:pPr>
        <w:numPr>
          <w:ilvl w:val="0"/>
          <w:numId w:val="13"/>
        </w:numPr>
        <w:wordWrap w:val="0"/>
        <w:adjustRightInd w:val="0"/>
        <w:snapToGrid w:val="0"/>
        <w:spacing w:line="360" w:lineRule="auto"/>
        <w:ind w:left="420"/>
        <w:rPr>
          <w:rFonts w:cs="宋体"/>
          <w:szCs w:val="24"/>
          <w:lang w:val="zh-CN"/>
        </w:rPr>
      </w:pPr>
      <w:r>
        <w:rPr>
          <w:rFonts w:hint="eastAsia" w:cs="宋体"/>
          <w:szCs w:val="24"/>
          <w:lang w:val="zh-CN"/>
        </w:rPr>
        <w:t>本项目采购标的对应的中小企业划分标准所属行业：详见“</w:t>
      </w:r>
      <w:r>
        <w:rPr>
          <w:rFonts w:hint="eastAsia" w:cs="宋体"/>
          <w:b/>
          <w:bCs/>
          <w:szCs w:val="24"/>
          <w:lang w:val="zh-CN"/>
        </w:rPr>
        <w:t>第一章</w:t>
      </w:r>
      <w:r>
        <w:rPr>
          <w:rFonts w:hint="eastAsia" w:cs="宋体"/>
          <w:szCs w:val="24"/>
        </w:rPr>
        <w:t xml:space="preserve"> </w:t>
      </w:r>
      <w:r>
        <w:rPr>
          <w:rFonts w:hint="eastAsia" w:cs="宋体"/>
          <w:b/>
          <w:bCs/>
          <w:szCs w:val="24"/>
          <w:lang w:val="zh-CN"/>
        </w:rPr>
        <w:t>投标邀请</w:t>
      </w:r>
      <w:r>
        <w:rPr>
          <w:rFonts w:hint="eastAsia" w:cs="宋体"/>
          <w:szCs w:val="24"/>
          <w:lang w:val="zh-CN"/>
        </w:rPr>
        <w:t>”。</w:t>
      </w:r>
    </w:p>
    <w:bookmarkEnd w:id="91"/>
    <w:bookmarkEnd w:id="92"/>
    <w:bookmarkEnd w:id="93"/>
    <w:bookmarkEnd w:id="94"/>
    <w:bookmarkEnd w:id="95"/>
    <w:bookmarkEnd w:id="96"/>
    <w:p>
      <w:pPr>
        <w:pStyle w:val="43"/>
        <w:numPr>
          <w:ilvl w:val="0"/>
          <w:numId w:val="9"/>
        </w:numPr>
        <w:spacing w:line="360" w:lineRule="auto"/>
        <w:ind w:left="284" w:hanging="284" w:firstLineChars="0"/>
        <w:rPr>
          <w:b/>
          <w:szCs w:val="24"/>
          <w:lang w:val="zh-CN"/>
        </w:rPr>
      </w:pPr>
      <w:bookmarkStart w:id="97" w:name="_Toc102116116"/>
      <w:bookmarkStart w:id="98" w:name="_Toc102057683"/>
      <w:bookmarkStart w:id="99" w:name="_Toc102056183"/>
      <w:bookmarkStart w:id="100" w:name="_Toc102119817"/>
      <w:bookmarkStart w:id="101" w:name="_Toc102115986"/>
      <w:bookmarkStart w:id="102" w:name="_Toc102114884"/>
      <w:r>
        <w:rPr>
          <w:rFonts w:hint="eastAsia"/>
          <w:b/>
          <w:szCs w:val="24"/>
          <w:lang w:val="zh-CN"/>
        </w:rPr>
        <w:t>投标人资格要求</w:t>
      </w:r>
    </w:p>
    <w:p>
      <w:pPr>
        <w:numPr>
          <w:ilvl w:val="0"/>
          <w:numId w:val="14"/>
        </w:numPr>
        <w:wordWrap w:val="0"/>
        <w:adjustRightInd w:val="0"/>
        <w:snapToGrid w:val="0"/>
        <w:spacing w:line="360" w:lineRule="auto"/>
        <w:ind w:left="420"/>
        <w:rPr>
          <w:rFonts w:cs="宋体"/>
          <w:szCs w:val="24"/>
          <w:lang w:val="zh-CN"/>
        </w:rPr>
      </w:pPr>
      <w:r>
        <w:rPr>
          <w:rFonts w:hint="eastAsia" w:cs="宋体"/>
          <w:szCs w:val="24"/>
          <w:lang w:val="zh-CN"/>
        </w:rPr>
        <w:t>应当符合“第一章 投标邀请”中投标人资格要求的规定。</w:t>
      </w:r>
    </w:p>
    <w:p>
      <w:pPr>
        <w:numPr>
          <w:ilvl w:val="0"/>
          <w:numId w:val="14"/>
        </w:numPr>
        <w:wordWrap w:val="0"/>
        <w:adjustRightInd w:val="0"/>
        <w:snapToGrid w:val="0"/>
        <w:spacing w:line="360" w:lineRule="auto"/>
        <w:ind w:left="420"/>
        <w:rPr>
          <w:rFonts w:cs="宋体"/>
          <w:szCs w:val="24"/>
          <w:lang w:val="zh-CN"/>
        </w:rPr>
      </w:pPr>
      <w:bookmarkStart w:id="103" w:name="_Toc102119831"/>
      <w:bookmarkStart w:id="104" w:name="_Toc102114898"/>
      <w:bookmarkStart w:id="105" w:name="_Toc102116000"/>
      <w:bookmarkStart w:id="106" w:name="_Toc102057696"/>
      <w:bookmarkStart w:id="107" w:name="_Toc102056196"/>
      <w:bookmarkStart w:id="108" w:name="_Toc102116130"/>
      <w:r>
        <w:rPr>
          <w:rFonts w:hint="eastAsia" w:cs="宋体"/>
          <w:szCs w:val="24"/>
          <w:lang w:val="zh-CN"/>
        </w:rPr>
        <w:t>联合体</w:t>
      </w:r>
      <w:bookmarkEnd w:id="103"/>
      <w:bookmarkEnd w:id="104"/>
      <w:bookmarkEnd w:id="105"/>
      <w:bookmarkEnd w:id="106"/>
      <w:bookmarkEnd w:id="107"/>
      <w:bookmarkEnd w:id="108"/>
    </w:p>
    <w:p>
      <w:pPr>
        <w:pStyle w:val="11"/>
        <w:tabs>
          <w:tab w:val="left" w:pos="1701"/>
        </w:tabs>
        <w:wordWrap w:val="0"/>
        <w:adjustRightInd w:val="0"/>
        <w:snapToGrid w:val="0"/>
        <w:spacing w:line="360" w:lineRule="auto"/>
        <w:ind w:firstLine="480" w:firstLineChars="200"/>
        <w:rPr>
          <w:szCs w:val="24"/>
          <w:lang w:val="zh-CN"/>
        </w:rPr>
      </w:pPr>
      <w:r>
        <w:rPr>
          <w:rFonts w:hint="eastAsia"/>
          <w:szCs w:val="24"/>
          <w:lang w:val="zh-CN"/>
        </w:rPr>
        <w:t>（1）两个以上自然人、</w:t>
      </w:r>
      <w:r>
        <w:rPr>
          <w:rFonts w:hint="eastAsia"/>
          <w:lang w:val="zh-CN"/>
        </w:rPr>
        <w:t>法人</w:t>
      </w:r>
      <w:r>
        <w:rPr>
          <w:rFonts w:hint="eastAsia"/>
          <w:szCs w:val="24"/>
          <w:lang w:val="zh-CN"/>
        </w:rPr>
        <w:t>、或者其它组织可以组成联合体，以一个投标人身份共同参加投标；接受或要求联合体的，详见“第一章 投标邀请”；</w:t>
      </w:r>
    </w:p>
    <w:p>
      <w:pPr>
        <w:pStyle w:val="11"/>
        <w:tabs>
          <w:tab w:val="left" w:pos="1701"/>
        </w:tabs>
        <w:wordWrap w:val="0"/>
        <w:adjustRightInd w:val="0"/>
        <w:snapToGrid w:val="0"/>
        <w:spacing w:line="360" w:lineRule="auto"/>
        <w:ind w:firstLine="480" w:firstLineChars="200"/>
        <w:rPr>
          <w:rFonts w:cs="宋体"/>
          <w:szCs w:val="24"/>
          <w:lang w:val="zh-CN"/>
        </w:rPr>
      </w:pPr>
      <w:r>
        <w:rPr>
          <w:rFonts w:hint="eastAsia" w:cs="宋体"/>
          <w:szCs w:val="24"/>
          <w:lang w:val="zh-CN"/>
        </w:rPr>
        <w:t>（2）以联合体形式进行</w:t>
      </w:r>
      <w:r>
        <w:rPr>
          <w:rFonts w:hint="eastAsia" w:cs="宋体"/>
          <w:bCs/>
          <w:szCs w:val="24"/>
          <w:lang w:val="zh-CN"/>
        </w:rPr>
        <w:t>投标</w:t>
      </w:r>
      <w:r>
        <w:rPr>
          <w:rFonts w:hint="eastAsia" w:cs="宋体"/>
          <w:szCs w:val="24"/>
          <w:lang w:val="zh-CN"/>
        </w:rPr>
        <w:t>的，应由组成联合体的任意一方办理参与项目的相关手续，联合体各方之间应签订联合协议书，联合体各方均应当符合《政府采购法》第二十二条第一款规定的条件；</w:t>
      </w:r>
    </w:p>
    <w:p>
      <w:pPr>
        <w:pStyle w:val="11"/>
        <w:tabs>
          <w:tab w:val="left" w:pos="1701"/>
        </w:tabs>
        <w:wordWrap w:val="0"/>
        <w:adjustRightInd w:val="0"/>
        <w:snapToGrid w:val="0"/>
        <w:spacing w:line="360" w:lineRule="auto"/>
        <w:ind w:firstLine="480" w:firstLineChars="200"/>
        <w:rPr>
          <w:rFonts w:cs="宋体"/>
          <w:szCs w:val="24"/>
          <w:lang w:val="zh-CN"/>
        </w:rPr>
      </w:pPr>
      <w:r>
        <w:rPr>
          <w:rFonts w:hint="eastAsia" w:cs="宋体"/>
          <w:szCs w:val="24"/>
          <w:lang w:val="zh-CN"/>
        </w:rPr>
        <w:t>（</w:t>
      </w:r>
      <w:r>
        <w:rPr>
          <w:rFonts w:hint="eastAsia" w:cs="宋体"/>
          <w:szCs w:val="24"/>
        </w:rPr>
        <w:t>3</w:t>
      </w:r>
      <w:r>
        <w:rPr>
          <w:rFonts w:hint="eastAsia" w:cs="宋体"/>
          <w:szCs w:val="24"/>
          <w:lang w:val="zh-CN"/>
        </w:rPr>
        <w:t>）采取联合体形式投标的，联合体各方不得再单独参加或者与其他投标人另外组成联合体参加同一合同项下的政府采购活动。</w:t>
      </w:r>
    </w:p>
    <w:p>
      <w:pPr>
        <w:pStyle w:val="11"/>
        <w:tabs>
          <w:tab w:val="left" w:pos="1701"/>
        </w:tabs>
        <w:wordWrap w:val="0"/>
        <w:adjustRightInd w:val="0"/>
        <w:snapToGrid w:val="0"/>
        <w:spacing w:line="360" w:lineRule="auto"/>
        <w:ind w:firstLine="480" w:firstLineChars="200"/>
        <w:rPr>
          <w:rFonts w:cs="宋体"/>
          <w:szCs w:val="24"/>
          <w:lang w:val="zh-CN"/>
        </w:rPr>
      </w:pPr>
      <w:r>
        <w:rPr>
          <w:rFonts w:hint="eastAsia" w:cs="宋体"/>
          <w:szCs w:val="24"/>
          <w:lang w:val="zh-CN"/>
        </w:rPr>
        <w:t>（</w:t>
      </w:r>
      <w:r>
        <w:rPr>
          <w:rFonts w:hint="eastAsia" w:cs="宋体"/>
          <w:szCs w:val="24"/>
        </w:rPr>
        <w:t>4</w:t>
      </w:r>
      <w:r>
        <w:rPr>
          <w:rFonts w:hint="eastAsia" w:cs="宋体"/>
          <w:szCs w:val="24"/>
          <w:lang w:val="zh-CN"/>
        </w:rPr>
        <w:t>）采取联合体形式投标的，其投标文件应由联合体所有成员或其各自正式书面授权的代表签署（盖章），以便对所有成员作为整体及作为个体均具有法律约束力。为避免无法完成电子签章，建议除牵头人外，其他联合体成员同时在电子采购平台上注册并获得平台安全证书（CA锁）及电子签章。</w:t>
      </w:r>
    </w:p>
    <w:p>
      <w:pPr>
        <w:pStyle w:val="11"/>
        <w:tabs>
          <w:tab w:val="left" w:pos="1701"/>
        </w:tabs>
        <w:wordWrap w:val="0"/>
        <w:adjustRightInd w:val="0"/>
        <w:snapToGrid w:val="0"/>
        <w:spacing w:line="360" w:lineRule="auto"/>
        <w:ind w:firstLine="480" w:firstLineChars="200"/>
        <w:rPr>
          <w:rFonts w:cs="宋体"/>
          <w:szCs w:val="24"/>
          <w:lang w:val="zh-CN"/>
        </w:rPr>
      </w:pPr>
      <w:r>
        <w:rPr>
          <w:rFonts w:hint="eastAsia" w:cs="宋体"/>
          <w:szCs w:val="24"/>
          <w:lang w:val="zh-CN"/>
        </w:rPr>
        <w:t>（</w:t>
      </w:r>
      <w:r>
        <w:rPr>
          <w:rFonts w:hint="eastAsia" w:cs="宋体"/>
          <w:szCs w:val="24"/>
        </w:rPr>
        <w:t>5</w:t>
      </w:r>
      <w:r>
        <w:rPr>
          <w:rFonts w:hint="eastAsia" w:cs="宋体"/>
          <w:szCs w:val="24"/>
          <w:lang w:val="zh-CN"/>
        </w:rPr>
        <w:t>）联合体中有同类资质的投标人按照联合体分工承担相同工作的，应当按照资质等级较低的投标人确定资质等级；</w:t>
      </w:r>
    </w:p>
    <w:p>
      <w:pPr>
        <w:pStyle w:val="11"/>
        <w:tabs>
          <w:tab w:val="left" w:pos="1701"/>
        </w:tabs>
        <w:wordWrap w:val="0"/>
        <w:adjustRightInd w:val="0"/>
        <w:snapToGrid w:val="0"/>
        <w:spacing w:line="360" w:lineRule="auto"/>
        <w:ind w:firstLine="480" w:firstLineChars="200"/>
        <w:rPr>
          <w:rFonts w:cs="宋体"/>
          <w:szCs w:val="24"/>
          <w:lang w:val="zh-CN"/>
        </w:rPr>
      </w:pPr>
      <w:r>
        <w:rPr>
          <w:rFonts w:hint="eastAsia" w:cs="宋体"/>
          <w:szCs w:val="24"/>
          <w:lang w:val="zh-CN"/>
        </w:rPr>
        <w:t>（</w:t>
      </w:r>
      <w:r>
        <w:rPr>
          <w:rFonts w:hint="eastAsia" w:cs="宋体"/>
          <w:szCs w:val="24"/>
        </w:rPr>
        <w:t>6</w:t>
      </w:r>
      <w:r>
        <w:rPr>
          <w:rFonts w:hint="eastAsia" w:cs="宋体"/>
          <w:szCs w:val="24"/>
          <w:lang w:val="zh-CN"/>
        </w:rPr>
        <w:t>）联合体中标的，联合体各方应当共同与采购人签订采购合同，</w:t>
      </w:r>
      <w:r>
        <w:rPr>
          <w:rFonts w:hint="eastAsia" w:cs="宋体"/>
          <w:szCs w:val="24"/>
        </w:rPr>
        <w:t>就采购合同约定的事项对采购人承担</w:t>
      </w:r>
      <w:r>
        <w:rPr>
          <w:rFonts w:hint="eastAsia" w:cs="宋体"/>
          <w:szCs w:val="24"/>
          <w:lang w:val="zh-CN"/>
        </w:rPr>
        <w:t>连带责任</w:t>
      </w:r>
      <w:r>
        <w:rPr>
          <w:rFonts w:hint="eastAsia" w:cs="宋体"/>
          <w:szCs w:val="24"/>
        </w:rPr>
        <w:t>，</w:t>
      </w:r>
      <w:r>
        <w:rPr>
          <w:rFonts w:hint="eastAsia" w:cs="宋体"/>
          <w:szCs w:val="24"/>
          <w:lang w:val="zh-CN"/>
        </w:rPr>
        <w:t>联合体主体负主要责任。</w:t>
      </w:r>
    </w:p>
    <w:p>
      <w:pPr>
        <w:numPr>
          <w:ilvl w:val="0"/>
          <w:numId w:val="14"/>
        </w:numPr>
        <w:wordWrap w:val="0"/>
        <w:adjustRightInd w:val="0"/>
        <w:snapToGrid w:val="0"/>
        <w:spacing w:line="360" w:lineRule="auto"/>
        <w:ind w:left="420"/>
        <w:rPr>
          <w:rFonts w:cs="宋体"/>
          <w:szCs w:val="24"/>
          <w:lang w:val="zh-CN"/>
        </w:rPr>
      </w:pPr>
      <w:bookmarkStart w:id="109" w:name="_Toc102114899"/>
      <w:bookmarkStart w:id="110" w:name="_Toc102116001"/>
      <w:bookmarkStart w:id="111" w:name="_Toc102056197"/>
      <w:bookmarkStart w:id="112" w:name="_Toc102116131"/>
      <w:bookmarkStart w:id="113" w:name="_Toc102119832"/>
      <w:bookmarkStart w:id="114" w:name="_Toc102057697"/>
      <w:r>
        <w:rPr>
          <w:rFonts w:hint="eastAsia" w:cs="宋体"/>
          <w:szCs w:val="24"/>
          <w:lang w:val="zh-CN"/>
        </w:rPr>
        <w:t>分支机构</w:t>
      </w:r>
      <w:bookmarkEnd w:id="109"/>
      <w:bookmarkEnd w:id="110"/>
      <w:bookmarkEnd w:id="111"/>
      <w:bookmarkEnd w:id="112"/>
      <w:bookmarkEnd w:id="113"/>
      <w:bookmarkEnd w:id="114"/>
      <w:r>
        <w:rPr>
          <w:rFonts w:hint="eastAsia" w:cs="宋体"/>
          <w:szCs w:val="24"/>
          <w:lang w:val="zh-CN"/>
        </w:rPr>
        <w:t>：根据财政部《政府采购法实施条例》释义中关于供应商资格条件的解释，对于分支机构投标详见“</w:t>
      </w:r>
      <w:r>
        <w:rPr>
          <w:rFonts w:hint="eastAsia" w:cs="宋体"/>
          <w:b/>
          <w:bCs/>
          <w:szCs w:val="24"/>
          <w:lang w:val="zh-CN"/>
        </w:rPr>
        <w:t>投标人须知前附表</w:t>
      </w:r>
      <w:r>
        <w:rPr>
          <w:rFonts w:hint="eastAsia" w:cs="宋体"/>
          <w:szCs w:val="24"/>
          <w:lang w:val="zh-CN"/>
        </w:rPr>
        <w:t>”的规定。</w:t>
      </w:r>
    </w:p>
    <w:p>
      <w:pPr>
        <w:numPr>
          <w:ilvl w:val="0"/>
          <w:numId w:val="14"/>
        </w:numPr>
        <w:wordWrap w:val="0"/>
        <w:adjustRightInd w:val="0"/>
        <w:snapToGrid w:val="0"/>
        <w:spacing w:line="360" w:lineRule="auto"/>
        <w:ind w:left="420"/>
        <w:rPr>
          <w:rFonts w:cs="宋体"/>
          <w:szCs w:val="24"/>
          <w:lang w:val="zh-CN"/>
        </w:rPr>
      </w:pPr>
      <w:r>
        <w:rPr>
          <w:rFonts w:hint="eastAsia" w:cs="宋体"/>
          <w:szCs w:val="24"/>
          <w:lang w:val="zh-CN"/>
        </w:rPr>
        <w:t>资格预审：详见“</w:t>
      </w:r>
      <w:r>
        <w:rPr>
          <w:rFonts w:hint="eastAsia" w:cs="宋体"/>
          <w:b/>
          <w:bCs/>
          <w:szCs w:val="24"/>
          <w:lang w:val="zh-CN"/>
        </w:rPr>
        <w:t>投标人须知前附表</w:t>
      </w:r>
      <w:r>
        <w:rPr>
          <w:rFonts w:hint="eastAsia" w:cs="宋体"/>
          <w:szCs w:val="24"/>
          <w:lang w:val="zh-CN"/>
        </w:rPr>
        <w:t>”。</w:t>
      </w:r>
    </w:p>
    <w:p>
      <w:pPr>
        <w:pStyle w:val="43"/>
        <w:numPr>
          <w:ilvl w:val="0"/>
          <w:numId w:val="9"/>
        </w:numPr>
        <w:spacing w:line="360" w:lineRule="auto"/>
        <w:ind w:left="284" w:hanging="284" w:firstLineChars="0"/>
        <w:rPr>
          <w:b/>
          <w:szCs w:val="24"/>
          <w:lang w:val="zh-CN"/>
        </w:rPr>
      </w:pPr>
      <w:r>
        <w:rPr>
          <w:rFonts w:hint="eastAsia"/>
          <w:b/>
          <w:szCs w:val="24"/>
          <w:lang w:val="zh-CN"/>
        </w:rPr>
        <w:t>语言文字</w:t>
      </w:r>
      <w:bookmarkEnd w:id="97"/>
      <w:bookmarkEnd w:id="98"/>
      <w:bookmarkEnd w:id="99"/>
      <w:bookmarkEnd w:id="100"/>
      <w:bookmarkEnd w:id="101"/>
      <w:bookmarkEnd w:id="102"/>
    </w:p>
    <w:p>
      <w:pPr>
        <w:wordWrap w:val="0"/>
        <w:adjustRightInd w:val="0"/>
        <w:snapToGrid w:val="0"/>
        <w:spacing w:line="360" w:lineRule="auto"/>
        <w:ind w:firstLine="480" w:firstLineChars="200"/>
        <w:rPr>
          <w:rFonts w:cs="宋体"/>
          <w:szCs w:val="24"/>
          <w:lang w:val="zh-CN"/>
        </w:rPr>
      </w:pPr>
      <w:r>
        <w:rPr>
          <w:rFonts w:hint="eastAsia" w:cs="宋体"/>
          <w:szCs w:val="24"/>
          <w:lang w:val="zh-CN"/>
        </w:rPr>
        <w:t>招标投标文件、与招标投标有关的所有来往函电、文书使用的语言文字均为简体中文。提交的相关证明文件、资料或文献可以用另一种语言，但相应内容应附有中文翻译本，在解释投标文件的相关内容时以中文翻译本为准。</w:t>
      </w:r>
    </w:p>
    <w:p>
      <w:pPr>
        <w:pStyle w:val="43"/>
        <w:numPr>
          <w:ilvl w:val="0"/>
          <w:numId w:val="9"/>
        </w:numPr>
        <w:spacing w:line="360" w:lineRule="auto"/>
        <w:ind w:left="284" w:hanging="284" w:firstLineChars="0"/>
        <w:rPr>
          <w:b/>
          <w:szCs w:val="24"/>
          <w:lang w:val="zh-CN"/>
        </w:rPr>
      </w:pPr>
      <w:bookmarkStart w:id="115" w:name="_Toc102116117"/>
      <w:bookmarkStart w:id="116" w:name="_Toc102056184"/>
      <w:bookmarkStart w:id="117" w:name="_Toc102114885"/>
      <w:bookmarkStart w:id="118" w:name="_Toc102119818"/>
      <w:bookmarkStart w:id="119" w:name="_Toc102115987"/>
      <w:bookmarkStart w:id="120" w:name="_Toc102057684"/>
      <w:r>
        <w:rPr>
          <w:rFonts w:hint="eastAsia"/>
          <w:b/>
          <w:szCs w:val="24"/>
          <w:lang w:val="zh-CN"/>
        </w:rPr>
        <w:t>计量单位</w:t>
      </w:r>
      <w:bookmarkEnd w:id="115"/>
      <w:bookmarkEnd w:id="116"/>
      <w:bookmarkEnd w:id="117"/>
      <w:bookmarkEnd w:id="118"/>
      <w:bookmarkEnd w:id="119"/>
      <w:bookmarkEnd w:id="120"/>
    </w:p>
    <w:p>
      <w:pPr>
        <w:wordWrap w:val="0"/>
        <w:adjustRightInd w:val="0"/>
        <w:snapToGrid w:val="0"/>
        <w:spacing w:line="360" w:lineRule="auto"/>
        <w:ind w:firstLine="480" w:firstLineChars="200"/>
        <w:rPr>
          <w:szCs w:val="24"/>
          <w:lang w:val="zh-CN"/>
        </w:rPr>
      </w:pPr>
      <w:r>
        <w:rPr>
          <w:rFonts w:hint="eastAsia"/>
          <w:szCs w:val="24"/>
          <w:lang w:val="zh-CN"/>
        </w:rPr>
        <w:t>招标投标文件中所使用的计量单位，应采用中华人民共和国法定计量单位。</w:t>
      </w:r>
    </w:p>
    <w:p>
      <w:pPr>
        <w:pStyle w:val="43"/>
        <w:numPr>
          <w:ilvl w:val="0"/>
          <w:numId w:val="9"/>
        </w:numPr>
        <w:spacing w:line="360" w:lineRule="auto"/>
        <w:ind w:left="284" w:hanging="284" w:firstLineChars="0"/>
        <w:rPr>
          <w:b/>
          <w:szCs w:val="24"/>
          <w:lang w:val="zh-CN"/>
        </w:rPr>
      </w:pPr>
      <w:bookmarkStart w:id="121" w:name="_Toc102057685"/>
      <w:bookmarkStart w:id="122" w:name="_Toc102116118"/>
      <w:bookmarkStart w:id="123" w:name="_Toc102119819"/>
      <w:bookmarkStart w:id="124" w:name="_Toc102114886"/>
      <w:bookmarkStart w:id="125" w:name="_Toc102056185"/>
      <w:bookmarkStart w:id="126" w:name="_Toc102115988"/>
      <w:r>
        <w:rPr>
          <w:rFonts w:hint="eastAsia"/>
          <w:b/>
          <w:szCs w:val="24"/>
          <w:lang w:val="zh-CN"/>
        </w:rPr>
        <w:t>保密要求</w:t>
      </w:r>
    </w:p>
    <w:p>
      <w:pPr>
        <w:wordWrap w:val="0"/>
        <w:adjustRightInd w:val="0"/>
        <w:snapToGrid w:val="0"/>
        <w:spacing w:line="360" w:lineRule="auto"/>
        <w:ind w:firstLine="480" w:firstLineChars="200"/>
        <w:rPr>
          <w:szCs w:val="24"/>
          <w:lang w:val="zh-CN"/>
        </w:rPr>
      </w:pPr>
      <w:r>
        <w:rPr>
          <w:rFonts w:hint="eastAsia"/>
          <w:szCs w:val="24"/>
          <w:lang w:val="zh-CN"/>
        </w:rPr>
        <w:t>参与政府采购活动的相关人员不得泄露参与政府采购过程中获悉的国家秘密、商业秘密以及可能影响公平、公正性的相关采购信息。</w:t>
      </w:r>
    </w:p>
    <w:p>
      <w:pPr>
        <w:pStyle w:val="43"/>
        <w:numPr>
          <w:ilvl w:val="0"/>
          <w:numId w:val="9"/>
        </w:numPr>
        <w:spacing w:line="360" w:lineRule="auto"/>
        <w:ind w:left="284" w:hanging="284" w:firstLineChars="0"/>
        <w:rPr>
          <w:b/>
          <w:szCs w:val="24"/>
          <w:lang w:val="zh-CN"/>
        </w:rPr>
      </w:pPr>
      <w:r>
        <w:rPr>
          <w:rFonts w:hint="eastAsia"/>
          <w:b/>
          <w:szCs w:val="24"/>
          <w:lang w:val="zh-CN"/>
        </w:rPr>
        <w:t>费用承担</w:t>
      </w:r>
      <w:bookmarkEnd w:id="121"/>
      <w:bookmarkEnd w:id="122"/>
      <w:bookmarkEnd w:id="123"/>
      <w:bookmarkEnd w:id="124"/>
      <w:bookmarkEnd w:id="125"/>
      <w:bookmarkEnd w:id="126"/>
    </w:p>
    <w:p>
      <w:pPr>
        <w:numPr>
          <w:ilvl w:val="0"/>
          <w:numId w:val="15"/>
        </w:numPr>
        <w:wordWrap w:val="0"/>
        <w:adjustRightInd w:val="0"/>
        <w:snapToGrid w:val="0"/>
        <w:spacing w:line="360" w:lineRule="auto"/>
        <w:ind w:left="420"/>
        <w:rPr>
          <w:rFonts w:cs="宋体"/>
          <w:szCs w:val="24"/>
          <w:lang w:val="zh-CN"/>
        </w:rPr>
      </w:pPr>
      <w:r>
        <w:rPr>
          <w:rFonts w:hint="eastAsia" w:cs="宋体"/>
          <w:szCs w:val="24"/>
          <w:lang w:val="zh-CN"/>
        </w:rPr>
        <w:t>投标费用：详见“</w:t>
      </w:r>
      <w:r>
        <w:rPr>
          <w:rFonts w:hint="eastAsia" w:cs="宋体"/>
          <w:b/>
          <w:bCs/>
          <w:szCs w:val="24"/>
          <w:lang w:val="zh-CN"/>
        </w:rPr>
        <w:t>投标人须知前附表</w:t>
      </w:r>
      <w:r>
        <w:rPr>
          <w:rFonts w:hint="eastAsia" w:cs="宋体"/>
          <w:szCs w:val="24"/>
          <w:lang w:val="zh-CN"/>
        </w:rPr>
        <w:t>”。</w:t>
      </w:r>
    </w:p>
    <w:p>
      <w:pPr>
        <w:numPr>
          <w:ilvl w:val="0"/>
          <w:numId w:val="15"/>
        </w:numPr>
        <w:wordWrap w:val="0"/>
        <w:adjustRightInd w:val="0"/>
        <w:snapToGrid w:val="0"/>
        <w:spacing w:line="360" w:lineRule="auto"/>
        <w:ind w:left="420"/>
        <w:rPr>
          <w:rFonts w:cs="宋体"/>
          <w:szCs w:val="24"/>
          <w:lang w:val="zh-CN"/>
        </w:rPr>
      </w:pPr>
      <w:r>
        <w:rPr>
          <w:rFonts w:hint="eastAsia" w:cs="宋体"/>
          <w:szCs w:val="24"/>
          <w:lang w:val="zh-CN"/>
        </w:rPr>
        <w:t>投标人应承担所有与准备和参加投标有关的费用。不论投标的结果如何，集中采购机构和采购人均无义务和责任承担这些费用。</w:t>
      </w:r>
    </w:p>
    <w:p>
      <w:pPr>
        <w:pStyle w:val="43"/>
        <w:numPr>
          <w:ilvl w:val="0"/>
          <w:numId w:val="9"/>
        </w:numPr>
        <w:spacing w:line="360" w:lineRule="auto"/>
        <w:ind w:left="284" w:hanging="284" w:firstLineChars="0"/>
        <w:rPr>
          <w:b/>
          <w:szCs w:val="24"/>
          <w:lang w:val="zh-CN"/>
        </w:rPr>
      </w:pPr>
      <w:r>
        <w:rPr>
          <w:rFonts w:hint="eastAsia"/>
          <w:b/>
          <w:szCs w:val="24"/>
          <w:lang w:val="zh-CN"/>
        </w:rPr>
        <w:t>采购信息</w:t>
      </w:r>
    </w:p>
    <w:p>
      <w:pPr>
        <w:numPr>
          <w:ilvl w:val="0"/>
          <w:numId w:val="16"/>
        </w:numPr>
        <w:tabs>
          <w:tab w:val="left" w:pos="567"/>
          <w:tab w:val="clear" w:pos="420"/>
        </w:tabs>
        <w:wordWrap w:val="0"/>
        <w:adjustRightInd w:val="0"/>
        <w:snapToGrid w:val="0"/>
        <w:spacing w:line="360" w:lineRule="auto"/>
        <w:rPr>
          <w:szCs w:val="24"/>
          <w:lang w:val="zh-CN"/>
        </w:rPr>
      </w:pPr>
      <w:r>
        <w:rPr>
          <w:rFonts w:hint="eastAsia"/>
          <w:szCs w:val="24"/>
          <w:lang w:val="zh-CN"/>
        </w:rPr>
        <w:t>政府采购活动中的公示、公告、澄清、更正等采购信息依法在中国湖北政府采购网上发布，同步在黄冈市公共资源交易中心网发布。</w:t>
      </w:r>
    </w:p>
    <w:p>
      <w:pPr>
        <w:numPr>
          <w:ilvl w:val="0"/>
          <w:numId w:val="16"/>
        </w:numPr>
        <w:tabs>
          <w:tab w:val="left" w:pos="567"/>
          <w:tab w:val="clear" w:pos="420"/>
        </w:tabs>
        <w:wordWrap w:val="0"/>
        <w:adjustRightInd w:val="0"/>
        <w:snapToGrid w:val="0"/>
        <w:spacing w:line="360" w:lineRule="auto"/>
        <w:rPr>
          <w:szCs w:val="24"/>
          <w:lang w:val="zh-CN"/>
        </w:rPr>
      </w:pPr>
      <w:r>
        <w:rPr>
          <w:rFonts w:hint="eastAsia"/>
          <w:szCs w:val="24"/>
          <w:lang w:val="zh-CN"/>
        </w:rPr>
        <w:t>采购信息获取：投标人应按</w:t>
      </w:r>
      <w:r>
        <w:rPr>
          <w:rFonts w:hint="eastAsia"/>
          <w:b/>
          <w:szCs w:val="24"/>
          <w:lang w:val="zh-CN"/>
        </w:rPr>
        <w:t>“投标人须知前附表”</w:t>
      </w:r>
      <w:r>
        <w:rPr>
          <w:rFonts w:hint="eastAsia"/>
          <w:szCs w:val="24"/>
          <w:lang w:val="zh-CN"/>
        </w:rPr>
        <w:t>规定渠道获取项目采购信息，采购人、集中采购机构不再另行通知，因投标人自身原因未及时获取项目采购信息的，导致的后果由投标人自行承担。</w:t>
      </w:r>
    </w:p>
    <w:p>
      <w:pPr>
        <w:pStyle w:val="43"/>
        <w:numPr>
          <w:ilvl w:val="0"/>
          <w:numId w:val="9"/>
        </w:numPr>
        <w:spacing w:line="360" w:lineRule="auto"/>
        <w:ind w:left="284" w:hanging="284" w:firstLineChars="0"/>
        <w:rPr>
          <w:b/>
          <w:szCs w:val="24"/>
          <w:lang w:val="zh-CN"/>
        </w:rPr>
      </w:pPr>
      <w:r>
        <w:rPr>
          <w:rFonts w:hint="eastAsia"/>
          <w:b/>
          <w:szCs w:val="24"/>
          <w:lang w:val="zh-CN"/>
        </w:rPr>
        <w:t>电子采购平台</w:t>
      </w:r>
    </w:p>
    <w:p>
      <w:pPr>
        <w:numPr>
          <w:ilvl w:val="0"/>
          <w:numId w:val="17"/>
        </w:numPr>
        <w:wordWrap w:val="0"/>
        <w:adjustRightInd w:val="0"/>
        <w:snapToGrid w:val="0"/>
        <w:spacing w:line="360" w:lineRule="auto"/>
        <w:ind w:left="420"/>
        <w:rPr>
          <w:rFonts w:cs="宋体"/>
          <w:szCs w:val="24"/>
          <w:lang w:val="zh-CN"/>
        </w:rPr>
      </w:pPr>
      <w:r>
        <w:rPr>
          <w:rFonts w:hint="eastAsia" w:cs="宋体"/>
          <w:szCs w:val="24"/>
          <w:lang w:val="zh-CN"/>
        </w:rPr>
        <w:t>电子采购平台客户端运行环境应满足以下要求，否则可能会出错，影响其投标：</w:t>
      </w:r>
    </w:p>
    <w:p>
      <w:pPr>
        <w:pStyle w:val="11"/>
        <w:tabs>
          <w:tab w:val="left" w:pos="1701"/>
        </w:tabs>
        <w:wordWrap w:val="0"/>
        <w:adjustRightInd w:val="0"/>
        <w:snapToGrid w:val="0"/>
        <w:spacing w:line="360" w:lineRule="auto"/>
        <w:ind w:firstLine="480" w:firstLineChars="200"/>
        <w:rPr>
          <w:szCs w:val="24"/>
        </w:rPr>
      </w:pPr>
      <w:r>
        <w:rPr>
          <w:rFonts w:hint="eastAsia"/>
          <w:szCs w:val="24"/>
        </w:rPr>
        <w:t>（1）操作系统：Windows 7及以上版本；</w:t>
      </w:r>
    </w:p>
    <w:p>
      <w:pPr>
        <w:pStyle w:val="11"/>
        <w:tabs>
          <w:tab w:val="left" w:pos="1701"/>
        </w:tabs>
        <w:wordWrap w:val="0"/>
        <w:adjustRightInd w:val="0"/>
        <w:snapToGrid w:val="0"/>
        <w:spacing w:line="360" w:lineRule="auto"/>
        <w:ind w:firstLine="480" w:firstLineChars="200"/>
        <w:rPr>
          <w:szCs w:val="24"/>
        </w:rPr>
      </w:pPr>
      <w:r>
        <w:rPr>
          <w:rFonts w:hint="eastAsia"/>
          <w:szCs w:val="24"/>
        </w:rPr>
        <w:t>（2）浏览器：360</w:t>
      </w:r>
      <w:r>
        <w:rPr>
          <w:rFonts w:hint="eastAsia"/>
          <w:szCs w:val="24"/>
          <w:lang w:val="zh-CN"/>
        </w:rPr>
        <w:t>浏览器</w:t>
      </w:r>
      <w:r>
        <w:rPr>
          <w:rFonts w:hint="eastAsia"/>
          <w:szCs w:val="24"/>
        </w:rPr>
        <w:t>、Internet Explorer 11、10；</w:t>
      </w:r>
    </w:p>
    <w:p>
      <w:pPr>
        <w:pStyle w:val="11"/>
        <w:tabs>
          <w:tab w:val="left" w:pos="1701"/>
        </w:tabs>
        <w:wordWrap w:val="0"/>
        <w:adjustRightInd w:val="0"/>
        <w:snapToGrid w:val="0"/>
        <w:spacing w:line="360" w:lineRule="auto"/>
        <w:ind w:firstLine="480" w:firstLineChars="200"/>
        <w:rPr>
          <w:szCs w:val="24"/>
        </w:rPr>
      </w:pPr>
      <w:r>
        <w:rPr>
          <w:rFonts w:hint="eastAsia"/>
          <w:szCs w:val="24"/>
        </w:rPr>
        <w:t>（3）办公软件：Microsoft Office 2007-2016完整版、WPS Office 2019个人版、WPS Office企业版；</w:t>
      </w:r>
    </w:p>
    <w:p>
      <w:pPr>
        <w:pStyle w:val="11"/>
        <w:tabs>
          <w:tab w:val="left" w:pos="1701"/>
        </w:tabs>
        <w:wordWrap w:val="0"/>
        <w:adjustRightInd w:val="0"/>
        <w:snapToGrid w:val="0"/>
        <w:spacing w:line="360" w:lineRule="auto"/>
        <w:ind w:firstLine="480" w:firstLineChars="200"/>
        <w:rPr>
          <w:szCs w:val="24"/>
        </w:rPr>
      </w:pPr>
      <w:r>
        <w:rPr>
          <w:rFonts w:hint="eastAsia"/>
          <w:szCs w:val="24"/>
        </w:rPr>
        <w:t>（4）PDF软件</w:t>
      </w:r>
      <w:r>
        <w:rPr>
          <w:rFonts w:hint="eastAsia"/>
          <w:szCs w:val="24"/>
          <w:lang w:val="zh-CN"/>
        </w:rPr>
        <w:t>推荐</w:t>
      </w:r>
      <w:r>
        <w:rPr>
          <w:rFonts w:hint="eastAsia"/>
          <w:szCs w:val="24"/>
        </w:rPr>
        <w:t>：平台自带PDF软件（软件路径：C:\Windows\winaip）；</w:t>
      </w:r>
    </w:p>
    <w:p>
      <w:pPr>
        <w:pStyle w:val="11"/>
        <w:tabs>
          <w:tab w:val="left" w:pos="1701"/>
        </w:tabs>
        <w:wordWrap w:val="0"/>
        <w:adjustRightInd w:val="0"/>
        <w:snapToGrid w:val="0"/>
        <w:spacing w:line="360" w:lineRule="auto"/>
        <w:ind w:firstLine="480" w:firstLineChars="200"/>
        <w:rPr>
          <w:szCs w:val="24"/>
        </w:rPr>
      </w:pPr>
      <w:r>
        <w:rPr>
          <w:rFonts w:hint="eastAsia"/>
          <w:szCs w:val="24"/>
        </w:rPr>
        <w:t>（5）电子采购平台所有插件应为最新版。</w:t>
      </w:r>
    </w:p>
    <w:p>
      <w:pPr>
        <w:numPr>
          <w:ilvl w:val="0"/>
          <w:numId w:val="17"/>
        </w:numPr>
        <w:wordWrap w:val="0"/>
        <w:adjustRightInd w:val="0"/>
        <w:snapToGrid w:val="0"/>
        <w:spacing w:line="360" w:lineRule="auto"/>
        <w:ind w:left="420"/>
        <w:rPr>
          <w:rFonts w:cs="宋体"/>
          <w:szCs w:val="24"/>
          <w:lang w:val="zh-CN"/>
        </w:rPr>
      </w:pPr>
      <w:r>
        <w:rPr>
          <w:rFonts w:hint="eastAsia" w:cs="宋体"/>
          <w:szCs w:val="24"/>
          <w:lang w:val="zh-CN"/>
        </w:rPr>
        <w:t>电子采购平台操作手册：电子采购平台的注册、CA数字证书办理、平台操作等事项详见电子采购平台《供应商操作手册》，其下载网址详见“</w:t>
      </w:r>
      <w:r>
        <w:rPr>
          <w:rFonts w:hint="eastAsia" w:cs="宋体"/>
          <w:b/>
          <w:bCs/>
          <w:szCs w:val="24"/>
          <w:lang w:val="zh-CN"/>
        </w:rPr>
        <w:t>投标人须知前附表</w:t>
      </w:r>
      <w:r>
        <w:rPr>
          <w:rFonts w:hint="eastAsia" w:cs="宋体"/>
          <w:szCs w:val="24"/>
          <w:lang w:val="zh-CN"/>
        </w:rPr>
        <w:t>”。</w:t>
      </w:r>
    </w:p>
    <w:p>
      <w:pPr>
        <w:numPr>
          <w:ilvl w:val="0"/>
          <w:numId w:val="17"/>
        </w:numPr>
        <w:wordWrap w:val="0"/>
        <w:adjustRightInd w:val="0"/>
        <w:snapToGrid w:val="0"/>
        <w:spacing w:line="360" w:lineRule="auto"/>
        <w:ind w:left="420"/>
        <w:rPr>
          <w:rFonts w:cs="宋体"/>
          <w:szCs w:val="24"/>
          <w:lang w:val="zh-CN"/>
        </w:rPr>
      </w:pPr>
      <w:r>
        <w:rPr>
          <w:rFonts w:hint="eastAsia" w:cs="宋体"/>
          <w:szCs w:val="24"/>
          <w:lang w:val="zh-CN"/>
        </w:rPr>
        <w:t>电子采购平台咨询：投标人应充分考虑到网上电子投标可能会发生的各种问题和风险，特别是投标文件签署、提交等问题，无特殊情况，应按“</w:t>
      </w:r>
      <w:r>
        <w:rPr>
          <w:rFonts w:hint="eastAsia" w:cs="宋体"/>
          <w:b/>
          <w:bCs/>
          <w:szCs w:val="24"/>
          <w:lang w:val="zh-CN"/>
        </w:rPr>
        <w:t>投标人须知前附表</w:t>
      </w:r>
      <w:r>
        <w:rPr>
          <w:rFonts w:hint="eastAsia" w:cs="宋体"/>
          <w:szCs w:val="24"/>
          <w:lang w:val="zh-CN"/>
        </w:rPr>
        <w:t>”的规定咨询集中采购机构或电子采购平台。任何问题和风险使投标人投标内容不一致或利益受损或投标失败的，导致的后果由投标人自行承担。</w:t>
      </w:r>
    </w:p>
    <w:p>
      <w:pPr>
        <w:numPr>
          <w:ilvl w:val="0"/>
          <w:numId w:val="17"/>
        </w:numPr>
        <w:wordWrap w:val="0"/>
        <w:adjustRightInd w:val="0"/>
        <w:snapToGrid w:val="0"/>
        <w:spacing w:line="360" w:lineRule="auto"/>
        <w:ind w:left="420"/>
        <w:rPr>
          <w:rFonts w:cs="宋体"/>
          <w:szCs w:val="24"/>
          <w:lang w:val="zh-CN"/>
        </w:rPr>
      </w:pPr>
      <w:r>
        <w:rPr>
          <w:rFonts w:hint="eastAsia" w:cs="宋体"/>
          <w:szCs w:val="24"/>
          <w:lang w:val="zh-CN"/>
        </w:rPr>
        <w:t>电子采购平台联系方式详见“</w:t>
      </w:r>
      <w:r>
        <w:rPr>
          <w:rFonts w:hint="eastAsia" w:cs="宋体"/>
          <w:b/>
          <w:bCs/>
          <w:szCs w:val="24"/>
          <w:lang w:val="zh-CN"/>
        </w:rPr>
        <w:t>投标人须知前附表</w:t>
      </w:r>
      <w:r>
        <w:rPr>
          <w:rFonts w:hint="eastAsia" w:cs="宋体"/>
          <w:szCs w:val="24"/>
          <w:lang w:val="zh-CN"/>
        </w:rPr>
        <w:t>”。</w:t>
      </w:r>
    </w:p>
    <w:p>
      <w:pPr>
        <w:pStyle w:val="3"/>
        <w:numPr>
          <w:ilvl w:val="0"/>
          <w:numId w:val="8"/>
        </w:numPr>
        <w:adjustRightInd w:val="0"/>
        <w:snapToGrid w:val="0"/>
        <w:spacing w:before="218" w:beforeLines="70" w:after="0" w:line="360" w:lineRule="auto"/>
        <w:ind w:left="658" w:hanging="658"/>
        <w:jc w:val="center"/>
        <w:rPr>
          <w:rFonts w:ascii="宋体" w:hAnsi="宋体" w:eastAsia="宋体" w:cs="Times New Roman"/>
          <w:bCs w:val="0"/>
          <w:sz w:val="28"/>
          <w:szCs w:val="28"/>
          <w:lang w:val="zh-CN"/>
        </w:rPr>
      </w:pPr>
      <w:bookmarkStart w:id="127" w:name="_Toc102114889"/>
      <w:bookmarkStart w:id="128" w:name="_Toc102057687"/>
      <w:bookmarkStart w:id="129" w:name="_Toc102056187"/>
      <w:bookmarkStart w:id="130" w:name="_Toc102115991"/>
      <w:bookmarkStart w:id="131" w:name="_Toc102119822"/>
      <w:bookmarkStart w:id="132" w:name="_Toc102116121"/>
      <w:bookmarkStart w:id="133" w:name="_Toc117244351"/>
      <w:bookmarkStart w:id="134" w:name="_Toc117244466"/>
      <w:bookmarkStart w:id="135" w:name="_Toc19637"/>
      <w:bookmarkStart w:id="136" w:name="_Toc22266"/>
      <w:bookmarkStart w:id="137" w:name="_Toc511889418"/>
      <w:bookmarkStart w:id="138" w:name="_Toc511894496"/>
      <w:r>
        <w:rPr>
          <w:rFonts w:hint="eastAsia" w:ascii="宋体" w:hAnsi="宋体" w:eastAsia="宋体" w:cs="Times New Roman"/>
          <w:bCs w:val="0"/>
          <w:sz w:val="28"/>
          <w:szCs w:val="28"/>
          <w:lang w:val="zh-CN"/>
        </w:rPr>
        <w:t>招</w:t>
      </w:r>
      <w:bookmarkEnd w:id="127"/>
      <w:bookmarkEnd w:id="128"/>
      <w:bookmarkEnd w:id="129"/>
      <w:bookmarkEnd w:id="130"/>
      <w:bookmarkEnd w:id="131"/>
      <w:bookmarkEnd w:id="132"/>
      <w:r>
        <w:rPr>
          <w:rFonts w:hint="eastAsia" w:ascii="宋体" w:hAnsi="宋体" w:eastAsia="宋体" w:cs="Times New Roman"/>
          <w:bCs w:val="0"/>
          <w:sz w:val="28"/>
          <w:szCs w:val="28"/>
          <w:lang w:val="zh-CN"/>
        </w:rPr>
        <w:t>标文件</w:t>
      </w:r>
      <w:bookmarkEnd w:id="133"/>
      <w:bookmarkEnd w:id="134"/>
      <w:bookmarkEnd w:id="135"/>
      <w:bookmarkEnd w:id="136"/>
    </w:p>
    <w:p>
      <w:pPr>
        <w:pStyle w:val="43"/>
        <w:numPr>
          <w:ilvl w:val="0"/>
          <w:numId w:val="9"/>
        </w:numPr>
        <w:spacing w:line="360" w:lineRule="auto"/>
        <w:ind w:left="284" w:hanging="284" w:firstLineChars="0"/>
        <w:rPr>
          <w:b/>
          <w:szCs w:val="24"/>
          <w:lang w:val="zh-CN"/>
        </w:rPr>
      </w:pPr>
      <w:bookmarkStart w:id="139" w:name="_Toc102057689"/>
      <w:bookmarkStart w:id="140" w:name="_Toc102116123"/>
      <w:bookmarkStart w:id="141" w:name="_Toc102056189"/>
      <w:bookmarkStart w:id="142" w:name="_Toc102119824"/>
      <w:bookmarkStart w:id="143" w:name="_Toc102114891"/>
      <w:bookmarkStart w:id="144" w:name="_Toc102115993"/>
      <w:r>
        <w:rPr>
          <w:rFonts w:hint="eastAsia"/>
          <w:b/>
          <w:szCs w:val="24"/>
          <w:lang w:val="zh-CN"/>
        </w:rPr>
        <w:t>招标文件</w:t>
      </w:r>
      <w:bookmarkEnd w:id="139"/>
      <w:bookmarkEnd w:id="140"/>
      <w:bookmarkEnd w:id="141"/>
      <w:bookmarkEnd w:id="142"/>
      <w:bookmarkEnd w:id="143"/>
      <w:bookmarkEnd w:id="144"/>
      <w:r>
        <w:rPr>
          <w:rFonts w:hint="eastAsia"/>
          <w:b/>
          <w:szCs w:val="24"/>
          <w:lang w:val="zh-CN"/>
        </w:rPr>
        <w:t>组成</w:t>
      </w:r>
    </w:p>
    <w:p>
      <w:pPr>
        <w:numPr>
          <w:ilvl w:val="0"/>
          <w:numId w:val="18"/>
        </w:numPr>
        <w:wordWrap w:val="0"/>
        <w:adjustRightInd w:val="0"/>
        <w:snapToGrid w:val="0"/>
        <w:spacing w:line="360" w:lineRule="auto"/>
        <w:ind w:left="420"/>
        <w:rPr>
          <w:rFonts w:cs="宋体"/>
          <w:szCs w:val="24"/>
          <w:lang w:val="zh-CN"/>
        </w:rPr>
      </w:pPr>
      <w:r>
        <w:rPr>
          <w:rFonts w:hint="eastAsia" w:cs="宋体"/>
          <w:szCs w:val="24"/>
          <w:lang w:val="zh-CN"/>
        </w:rPr>
        <w:t>招标文件由招标文件（Word格式）和招标数据文件（Excel格式）两部分共同构成。（采用电子版文件格式提供）</w:t>
      </w:r>
    </w:p>
    <w:p>
      <w:pPr>
        <w:numPr>
          <w:ilvl w:val="0"/>
          <w:numId w:val="18"/>
        </w:numPr>
        <w:wordWrap w:val="0"/>
        <w:adjustRightInd w:val="0"/>
        <w:snapToGrid w:val="0"/>
        <w:spacing w:line="360" w:lineRule="auto"/>
        <w:ind w:left="420"/>
        <w:rPr>
          <w:rFonts w:cs="宋体"/>
          <w:szCs w:val="24"/>
          <w:lang w:val="zh-CN"/>
        </w:rPr>
      </w:pPr>
      <w:r>
        <w:rPr>
          <w:rFonts w:hint="eastAsia" w:cs="宋体"/>
          <w:szCs w:val="24"/>
          <w:lang w:val="zh-CN"/>
        </w:rPr>
        <w:t>招标文件（Word格式）包括以下内容：</w:t>
      </w:r>
    </w:p>
    <w:p>
      <w:pPr>
        <w:tabs>
          <w:tab w:val="left" w:pos="709"/>
        </w:tabs>
        <w:wordWrap w:val="0"/>
        <w:adjustRightInd w:val="0"/>
        <w:snapToGrid w:val="0"/>
        <w:spacing w:line="360" w:lineRule="auto"/>
        <w:ind w:left="476" w:firstLine="120" w:firstLineChars="50"/>
        <w:rPr>
          <w:rFonts w:cs="宋体"/>
          <w:lang w:val="zh-CN"/>
        </w:rPr>
      </w:pPr>
      <w:r>
        <w:rPr>
          <w:rFonts w:hint="eastAsia" w:cs="宋体"/>
          <w:lang w:val="zh-CN"/>
        </w:rPr>
        <w:t>第一章 投标邀请</w:t>
      </w:r>
    </w:p>
    <w:p>
      <w:pPr>
        <w:tabs>
          <w:tab w:val="left" w:pos="709"/>
        </w:tabs>
        <w:wordWrap w:val="0"/>
        <w:adjustRightInd w:val="0"/>
        <w:snapToGrid w:val="0"/>
        <w:spacing w:line="360" w:lineRule="auto"/>
        <w:ind w:left="476" w:firstLine="120" w:firstLineChars="50"/>
        <w:rPr>
          <w:rFonts w:cs="宋体"/>
          <w:lang w:val="zh-CN"/>
        </w:rPr>
      </w:pPr>
      <w:r>
        <w:rPr>
          <w:rFonts w:hint="eastAsia" w:cs="宋体"/>
          <w:lang w:val="zh-CN"/>
        </w:rPr>
        <w:t>第二章 投标人须知</w:t>
      </w:r>
    </w:p>
    <w:p>
      <w:pPr>
        <w:tabs>
          <w:tab w:val="left" w:pos="709"/>
        </w:tabs>
        <w:wordWrap w:val="0"/>
        <w:adjustRightInd w:val="0"/>
        <w:snapToGrid w:val="0"/>
        <w:spacing w:line="360" w:lineRule="auto"/>
        <w:ind w:left="476" w:firstLine="120" w:firstLineChars="50"/>
        <w:rPr>
          <w:rFonts w:cs="宋体"/>
          <w:lang w:val="zh-CN"/>
        </w:rPr>
      </w:pPr>
      <w:r>
        <w:rPr>
          <w:rFonts w:hint="eastAsia" w:cs="宋体"/>
          <w:lang w:val="zh-CN"/>
        </w:rPr>
        <w:t>第三章 采购需求</w:t>
      </w:r>
    </w:p>
    <w:p>
      <w:pPr>
        <w:tabs>
          <w:tab w:val="left" w:pos="709"/>
        </w:tabs>
        <w:wordWrap w:val="0"/>
        <w:adjustRightInd w:val="0"/>
        <w:snapToGrid w:val="0"/>
        <w:spacing w:line="360" w:lineRule="auto"/>
        <w:ind w:left="476" w:firstLine="120" w:firstLineChars="50"/>
        <w:rPr>
          <w:rFonts w:cs="宋体"/>
          <w:lang w:val="zh-CN"/>
        </w:rPr>
      </w:pPr>
      <w:r>
        <w:rPr>
          <w:rFonts w:hint="eastAsia" w:cs="宋体"/>
          <w:lang w:val="zh-CN"/>
        </w:rPr>
        <w:t>第四章 资格审查</w:t>
      </w:r>
    </w:p>
    <w:p>
      <w:pPr>
        <w:tabs>
          <w:tab w:val="left" w:pos="709"/>
        </w:tabs>
        <w:wordWrap w:val="0"/>
        <w:adjustRightInd w:val="0"/>
        <w:snapToGrid w:val="0"/>
        <w:spacing w:line="360" w:lineRule="auto"/>
        <w:ind w:left="476" w:firstLine="120" w:firstLineChars="50"/>
        <w:rPr>
          <w:rFonts w:cs="宋体"/>
          <w:lang w:val="zh-CN"/>
        </w:rPr>
      </w:pPr>
      <w:r>
        <w:rPr>
          <w:rFonts w:hint="eastAsia" w:cs="宋体"/>
          <w:lang w:val="zh-CN"/>
        </w:rPr>
        <w:t>第五章 评标办法</w:t>
      </w:r>
    </w:p>
    <w:p>
      <w:pPr>
        <w:tabs>
          <w:tab w:val="left" w:pos="709"/>
        </w:tabs>
        <w:wordWrap w:val="0"/>
        <w:adjustRightInd w:val="0"/>
        <w:snapToGrid w:val="0"/>
        <w:spacing w:line="360" w:lineRule="auto"/>
        <w:ind w:left="476" w:firstLine="120" w:firstLineChars="50"/>
        <w:rPr>
          <w:rFonts w:cs="宋体"/>
          <w:lang w:val="zh-CN"/>
        </w:rPr>
      </w:pPr>
      <w:r>
        <w:rPr>
          <w:rFonts w:hint="eastAsia" w:cs="宋体"/>
          <w:lang w:val="zh-CN"/>
        </w:rPr>
        <w:t>第六章 合同文本格式（参考）</w:t>
      </w:r>
    </w:p>
    <w:p>
      <w:pPr>
        <w:tabs>
          <w:tab w:val="left" w:pos="709"/>
        </w:tabs>
        <w:wordWrap w:val="0"/>
        <w:adjustRightInd w:val="0"/>
        <w:snapToGrid w:val="0"/>
        <w:spacing w:line="360" w:lineRule="auto"/>
        <w:ind w:left="476" w:firstLine="120" w:firstLineChars="50"/>
        <w:rPr>
          <w:rFonts w:cs="宋体"/>
          <w:lang w:val="zh-CN"/>
        </w:rPr>
      </w:pPr>
      <w:r>
        <w:rPr>
          <w:rFonts w:hint="eastAsia" w:cs="宋体"/>
          <w:lang w:val="zh-CN"/>
        </w:rPr>
        <w:t>第七章 投标文件格式（参考）</w:t>
      </w:r>
    </w:p>
    <w:p>
      <w:pPr>
        <w:numPr>
          <w:ilvl w:val="0"/>
          <w:numId w:val="18"/>
        </w:numPr>
        <w:wordWrap w:val="0"/>
        <w:adjustRightInd w:val="0"/>
        <w:snapToGrid w:val="0"/>
        <w:spacing w:line="360" w:lineRule="auto"/>
        <w:ind w:left="420"/>
        <w:rPr>
          <w:rFonts w:cs="宋体"/>
          <w:szCs w:val="24"/>
          <w:lang w:val="zh-CN"/>
        </w:rPr>
      </w:pPr>
      <w:r>
        <w:rPr>
          <w:rFonts w:hint="eastAsia" w:cs="宋体"/>
          <w:szCs w:val="24"/>
          <w:lang w:val="zh-CN"/>
        </w:rPr>
        <w:t>招标数据文件（Excel格式）包括以下内容：</w:t>
      </w:r>
    </w:p>
    <w:p>
      <w:pPr>
        <w:tabs>
          <w:tab w:val="left" w:pos="709"/>
        </w:tabs>
        <w:wordWrap w:val="0"/>
        <w:adjustRightInd w:val="0"/>
        <w:snapToGrid w:val="0"/>
        <w:spacing w:line="360" w:lineRule="auto"/>
        <w:ind w:left="476" w:firstLine="120" w:firstLineChars="50"/>
        <w:rPr>
          <w:rFonts w:cs="宋体"/>
          <w:lang w:val="zh-CN"/>
        </w:rPr>
      </w:pPr>
      <w:r>
        <w:rPr>
          <w:rFonts w:hint="eastAsia" w:cs="宋体"/>
          <w:lang w:val="zh-CN"/>
        </w:rPr>
        <w:t>第一部分</w:t>
      </w:r>
      <w:r>
        <w:rPr>
          <w:rFonts w:cs="宋体"/>
          <w:lang w:val="zh-CN"/>
        </w:rPr>
        <w:t xml:space="preserve"> </w:t>
      </w:r>
      <w:r>
        <w:rPr>
          <w:rFonts w:hint="eastAsia" w:cs="宋体"/>
          <w:lang w:val="zh-CN"/>
        </w:rPr>
        <w:t>封面</w:t>
      </w:r>
    </w:p>
    <w:p>
      <w:pPr>
        <w:tabs>
          <w:tab w:val="left" w:pos="709"/>
        </w:tabs>
        <w:wordWrap w:val="0"/>
        <w:adjustRightInd w:val="0"/>
        <w:snapToGrid w:val="0"/>
        <w:spacing w:line="360" w:lineRule="auto"/>
        <w:ind w:left="476" w:firstLine="120" w:firstLineChars="50"/>
        <w:rPr>
          <w:rFonts w:cs="宋体"/>
          <w:lang w:val="zh-CN"/>
        </w:rPr>
      </w:pPr>
      <w:r>
        <w:rPr>
          <w:rFonts w:hint="eastAsia" w:cs="宋体"/>
          <w:lang w:val="zh-CN"/>
        </w:rPr>
        <w:t>第二部分</w:t>
      </w:r>
      <w:r>
        <w:rPr>
          <w:rFonts w:cs="宋体"/>
          <w:lang w:val="zh-CN"/>
        </w:rPr>
        <w:t xml:space="preserve"> </w:t>
      </w:r>
      <w:r>
        <w:rPr>
          <w:rFonts w:hint="eastAsia" w:cs="宋体"/>
          <w:lang w:val="zh-CN"/>
        </w:rPr>
        <w:t>投标（报价）一览表（含明细）</w:t>
      </w:r>
    </w:p>
    <w:p>
      <w:pPr>
        <w:tabs>
          <w:tab w:val="left" w:pos="709"/>
        </w:tabs>
        <w:wordWrap w:val="0"/>
        <w:adjustRightInd w:val="0"/>
        <w:snapToGrid w:val="0"/>
        <w:spacing w:line="360" w:lineRule="auto"/>
        <w:ind w:left="476" w:firstLine="120" w:firstLineChars="50"/>
        <w:rPr>
          <w:rFonts w:cs="宋体"/>
          <w:lang w:val="zh-CN"/>
        </w:rPr>
      </w:pPr>
      <w:r>
        <w:rPr>
          <w:rFonts w:hint="eastAsia" w:cs="宋体"/>
          <w:lang w:val="zh-CN"/>
        </w:rPr>
        <w:t>第三部分</w:t>
      </w:r>
      <w:r>
        <w:rPr>
          <w:rFonts w:cs="宋体"/>
          <w:lang w:val="zh-CN"/>
        </w:rPr>
        <w:t xml:space="preserve"> </w:t>
      </w:r>
      <w:r>
        <w:rPr>
          <w:rFonts w:hint="eastAsia" w:cs="宋体"/>
          <w:lang w:val="zh-CN"/>
        </w:rPr>
        <w:t>评审对照表</w:t>
      </w:r>
    </w:p>
    <w:p>
      <w:pPr>
        <w:tabs>
          <w:tab w:val="left" w:pos="709"/>
        </w:tabs>
        <w:wordWrap w:val="0"/>
        <w:adjustRightInd w:val="0"/>
        <w:snapToGrid w:val="0"/>
        <w:spacing w:line="360" w:lineRule="auto"/>
        <w:ind w:left="476" w:firstLine="120" w:firstLineChars="50"/>
        <w:rPr>
          <w:szCs w:val="24"/>
          <w:lang w:val="zh-CN"/>
        </w:rPr>
      </w:pPr>
      <w:r>
        <w:rPr>
          <w:rFonts w:hint="eastAsia" w:cs="宋体"/>
          <w:lang w:val="zh-CN"/>
        </w:rPr>
        <w:t>第四部分</w:t>
      </w:r>
      <w:r>
        <w:rPr>
          <w:rFonts w:cs="宋体"/>
          <w:lang w:val="zh-CN"/>
        </w:rPr>
        <w:t xml:space="preserve"> </w:t>
      </w:r>
      <w:r>
        <w:rPr>
          <w:rFonts w:hint="eastAsia" w:cs="宋体"/>
          <w:lang w:val="zh-CN"/>
        </w:rPr>
        <w:t>评分对照表</w:t>
      </w:r>
      <w:bookmarkStart w:id="145" w:name="_Toc102057690"/>
      <w:bookmarkStart w:id="146" w:name="_Toc102119825"/>
      <w:bookmarkStart w:id="147" w:name="_Toc102115994"/>
      <w:bookmarkStart w:id="148" w:name="_Toc102056190"/>
      <w:bookmarkStart w:id="149" w:name="_Toc102114892"/>
      <w:bookmarkStart w:id="150" w:name="_Toc102116124"/>
    </w:p>
    <w:p>
      <w:pPr>
        <w:pStyle w:val="43"/>
        <w:numPr>
          <w:ilvl w:val="0"/>
          <w:numId w:val="9"/>
        </w:numPr>
        <w:spacing w:line="360" w:lineRule="auto"/>
        <w:ind w:left="284" w:hanging="284" w:firstLineChars="0"/>
        <w:rPr>
          <w:b/>
          <w:szCs w:val="24"/>
          <w:lang w:val="zh-CN"/>
        </w:rPr>
      </w:pPr>
      <w:r>
        <w:rPr>
          <w:rFonts w:hint="eastAsia"/>
          <w:b/>
          <w:szCs w:val="24"/>
          <w:lang w:val="zh-CN"/>
        </w:rPr>
        <w:t>实物样品</w:t>
      </w:r>
    </w:p>
    <w:p>
      <w:pPr>
        <w:numPr>
          <w:ilvl w:val="0"/>
          <w:numId w:val="19"/>
        </w:numPr>
        <w:wordWrap w:val="0"/>
        <w:adjustRightInd w:val="0"/>
        <w:snapToGrid w:val="0"/>
        <w:spacing w:line="360" w:lineRule="auto"/>
        <w:ind w:left="420"/>
        <w:rPr>
          <w:rFonts w:cs="宋体"/>
          <w:szCs w:val="24"/>
          <w:lang w:val="zh-CN"/>
        </w:rPr>
      </w:pPr>
      <w:r>
        <w:rPr>
          <w:rFonts w:hint="eastAsia" w:cs="宋体"/>
          <w:szCs w:val="24"/>
          <w:lang w:val="zh-CN"/>
        </w:rPr>
        <w:t>是否提供样品详见“</w:t>
      </w:r>
      <w:r>
        <w:rPr>
          <w:rFonts w:hint="eastAsia" w:cs="宋体"/>
          <w:b/>
          <w:bCs/>
          <w:szCs w:val="24"/>
          <w:lang w:val="zh-CN"/>
        </w:rPr>
        <w:t>投标人须知前附表</w:t>
      </w:r>
      <w:r>
        <w:rPr>
          <w:rFonts w:hint="eastAsia" w:cs="宋体"/>
          <w:szCs w:val="24"/>
          <w:lang w:val="zh-CN"/>
        </w:rPr>
        <w:t>”的规定。</w:t>
      </w:r>
    </w:p>
    <w:p>
      <w:pPr>
        <w:numPr>
          <w:ilvl w:val="0"/>
          <w:numId w:val="19"/>
        </w:numPr>
        <w:wordWrap w:val="0"/>
        <w:adjustRightInd w:val="0"/>
        <w:snapToGrid w:val="0"/>
        <w:spacing w:line="360" w:lineRule="auto"/>
        <w:ind w:left="420"/>
        <w:rPr>
          <w:rFonts w:cs="宋体"/>
          <w:szCs w:val="24"/>
          <w:lang w:val="zh-CN"/>
        </w:rPr>
      </w:pPr>
      <w:r>
        <w:rPr>
          <w:rFonts w:hint="eastAsia" w:cs="宋体"/>
          <w:szCs w:val="24"/>
          <w:lang w:val="zh-CN"/>
        </w:rPr>
        <w:t>要求提供样品的，样品的具体要求及评审详见“第三章 采购需求”和“第五章 评标办法”。</w:t>
      </w:r>
    </w:p>
    <w:p>
      <w:pPr>
        <w:numPr>
          <w:ilvl w:val="0"/>
          <w:numId w:val="19"/>
        </w:numPr>
        <w:wordWrap w:val="0"/>
        <w:adjustRightInd w:val="0"/>
        <w:snapToGrid w:val="0"/>
        <w:spacing w:line="360" w:lineRule="auto"/>
        <w:ind w:left="420"/>
        <w:rPr>
          <w:rFonts w:cs="宋体"/>
          <w:szCs w:val="24"/>
          <w:lang w:val="zh-CN"/>
        </w:rPr>
      </w:pPr>
      <w:r>
        <w:rPr>
          <w:rFonts w:hint="eastAsia" w:cs="宋体"/>
          <w:szCs w:val="24"/>
          <w:lang w:val="zh-CN"/>
        </w:rPr>
        <w:t>样品退还：未中标的投标人应于中标结果公告发布之日起10日内自行联系采购人取回投标样品；对于中标人提供的样品，采购人将按规定进行保管、封存，并作为履约验收的参考（招标文件另有规定的从其规定）。投标样品制作、提交及退还所产生的一切费用由投标人自行承担。</w:t>
      </w:r>
    </w:p>
    <w:p>
      <w:pPr>
        <w:pStyle w:val="43"/>
        <w:numPr>
          <w:ilvl w:val="0"/>
          <w:numId w:val="9"/>
        </w:numPr>
        <w:spacing w:line="360" w:lineRule="auto"/>
        <w:ind w:left="284" w:hanging="284" w:firstLineChars="0"/>
        <w:rPr>
          <w:b/>
          <w:szCs w:val="24"/>
          <w:lang w:val="zh-CN"/>
        </w:rPr>
      </w:pPr>
      <w:r>
        <w:rPr>
          <w:rFonts w:hint="eastAsia"/>
          <w:b/>
          <w:szCs w:val="24"/>
          <w:lang w:val="zh-CN"/>
        </w:rPr>
        <w:t>项目演示</w:t>
      </w:r>
    </w:p>
    <w:p>
      <w:pPr>
        <w:numPr>
          <w:ilvl w:val="0"/>
          <w:numId w:val="20"/>
        </w:numPr>
        <w:wordWrap w:val="0"/>
        <w:adjustRightInd w:val="0"/>
        <w:snapToGrid w:val="0"/>
        <w:spacing w:line="360" w:lineRule="auto"/>
        <w:ind w:left="420"/>
        <w:rPr>
          <w:rFonts w:cs="宋体"/>
          <w:szCs w:val="24"/>
          <w:lang w:val="zh-CN"/>
        </w:rPr>
      </w:pPr>
      <w:r>
        <w:rPr>
          <w:rFonts w:hint="eastAsia" w:cs="宋体"/>
          <w:szCs w:val="24"/>
          <w:lang w:val="zh-CN"/>
        </w:rPr>
        <w:t>是否进行项目演示及演示时间详见“</w:t>
      </w:r>
      <w:r>
        <w:rPr>
          <w:rFonts w:hint="eastAsia" w:cs="宋体"/>
          <w:b/>
          <w:bCs/>
          <w:szCs w:val="24"/>
          <w:lang w:val="zh-CN"/>
        </w:rPr>
        <w:t>投标人须知前附表</w:t>
      </w:r>
      <w:r>
        <w:rPr>
          <w:rFonts w:hint="eastAsia" w:cs="宋体"/>
          <w:szCs w:val="24"/>
          <w:lang w:val="zh-CN"/>
        </w:rPr>
        <w:t>”的规定。</w:t>
      </w:r>
    </w:p>
    <w:p>
      <w:pPr>
        <w:numPr>
          <w:ilvl w:val="0"/>
          <w:numId w:val="20"/>
        </w:numPr>
        <w:wordWrap w:val="0"/>
        <w:adjustRightInd w:val="0"/>
        <w:snapToGrid w:val="0"/>
        <w:spacing w:line="360" w:lineRule="auto"/>
        <w:ind w:left="420"/>
        <w:rPr>
          <w:rFonts w:cs="宋体"/>
          <w:szCs w:val="24"/>
          <w:lang w:val="zh-CN"/>
        </w:rPr>
      </w:pPr>
      <w:r>
        <w:rPr>
          <w:rFonts w:hint="eastAsia" w:cs="宋体"/>
          <w:szCs w:val="24"/>
          <w:lang w:val="zh-CN"/>
        </w:rPr>
        <w:t>进行远程线上演示的，投标人应提前自行准备好演示的软硬配置环境和网络环境，做好演示的各项准备工作。因投标人自身原因无法演示或者演示效果不理想的，导致的后果由投标人自行承担。</w:t>
      </w:r>
    </w:p>
    <w:p>
      <w:pPr>
        <w:numPr>
          <w:ilvl w:val="0"/>
          <w:numId w:val="20"/>
        </w:numPr>
        <w:wordWrap w:val="0"/>
        <w:adjustRightInd w:val="0"/>
        <w:snapToGrid w:val="0"/>
        <w:spacing w:line="360" w:lineRule="auto"/>
        <w:ind w:left="420"/>
        <w:rPr>
          <w:rFonts w:cs="宋体"/>
          <w:szCs w:val="24"/>
          <w:lang w:val="zh-CN"/>
        </w:rPr>
      </w:pPr>
      <w:r>
        <w:rPr>
          <w:rFonts w:hint="eastAsia" w:cs="宋体"/>
          <w:szCs w:val="24"/>
          <w:lang w:val="zh-CN"/>
        </w:rPr>
        <w:t>进行现场演示的，演示人员不得超过</w:t>
      </w:r>
      <w:r>
        <w:rPr>
          <w:rFonts w:hint="eastAsia" w:cs="宋体"/>
          <w:b/>
          <w:bCs/>
          <w:szCs w:val="24"/>
          <w:lang w:val="zh-CN"/>
        </w:rPr>
        <w:t>3人</w:t>
      </w:r>
      <w:r>
        <w:rPr>
          <w:rFonts w:hint="eastAsia" w:cs="宋体"/>
          <w:szCs w:val="24"/>
          <w:lang w:val="zh-CN"/>
        </w:rPr>
        <w:t>，演示现场只提供HDMI接口电视一台，其它设备和网络环境自备。</w:t>
      </w:r>
    </w:p>
    <w:p>
      <w:pPr>
        <w:numPr>
          <w:ilvl w:val="0"/>
          <w:numId w:val="20"/>
        </w:numPr>
        <w:wordWrap w:val="0"/>
        <w:adjustRightInd w:val="0"/>
        <w:snapToGrid w:val="0"/>
        <w:spacing w:line="360" w:lineRule="auto"/>
        <w:ind w:left="420"/>
        <w:rPr>
          <w:rFonts w:cs="宋体"/>
          <w:szCs w:val="24"/>
          <w:lang w:val="zh-CN"/>
        </w:rPr>
      </w:pPr>
      <w:r>
        <w:rPr>
          <w:rFonts w:hint="eastAsia" w:cs="宋体"/>
          <w:szCs w:val="24"/>
          <w:lang w:val="zh-CN"/>
        </w:rPr>
        <w:t>项目演示顺序按投标文件解密时间先后次序（或随即抽取）依次演示，演示的评审详见“第三章 采购需求”和“第五章 评标办法”。</w:t>
      </w:r>
    </w:p>
    <w:p>
      <w:pPr>
        <w:pStyle w:val="43"/>
        <w:numPr>
          <w:ilvl w:val="0"/>
          <w:numId w:val="9"/>
        </w:numPr>
        <w:spacing w:line="360" w:lineRule="auto"/>
        <w:ind w:left="284" w:hanging="284" w:firstLineChars="0"/>
        <w:rPr>
          <w:b/>
          <w:szCs w:val="24"/>
          <w:lang w:val="zh-CN"/>
        </w:rPr>
      </w:pPr>
      <w:bookmarkStart w:id="151" w:name="_Toc102119833"/>
      <w:bookmarkStart w:id="152" w:name="_Toc102116132"/>
      <w:bookmarkStart w:id="153" w:name="_Toc102057698"/>
      <w:bookmarkStart w:id="154" w:name="_Toc102114900"/>
      <w:bookmarkStart w:id="155" w:name="_Toc102116002"/>
      <w:bookmarkStart w:id="156" w:name="_Toc102056198"/>
      <w:r>
        <w:rPr>
          <w:rFonts w:hint="eastAsia"/>
          <w:b/>
          <w:szCs w:val="24"/>
          <w:lang w:val="zh-CN"/>
        </w:rPr>
        <w:t>合同分包</w:t>
      </w:r>
      <w:bookmarkEnd w:id="151"/>
      <w:bookmarkEnd w:id="152"/>
      <w:bookmarkEnd w:id="153"/>
      <w:bookmarkEnd w:id="154"/>
      <w:bookmarkEnd w:id="155"/>
      <w:bookmarkEnd w:id="156"/>
    </w:p>
    <w:p>
      <w:pPr>
        <w:numPr>
          <w:ilvl w:val="0"/>
          <w:numId w:val="21"/>
        </w:numPr>
        <w:wordWrap w:val="0"/>
        <w:adjustRightInd w:val="0"/>
        <w:snapToGrid w:val="0"/>
        <w:spacing w:line="360" w:lineRule="auto"/>
        <w:ind w:left="420"/>
        <w:rPr>
          <w:rFonts w:cs="宋体"/>
          <w:szCs w:val="24"/>
          <w:lang w:val="zh-CN"/>
        </w:rPr>
      </w:pPr>
      <w:r>
        <w:rPr>
          <w:rFonts w:hint="eastAsia" w:cs="宋体"/>
          <w:szCs w:val="24"/>
          <w:lang w:val="zh-CN"/>
        </w:rPr>
        <w:t>允许或要求将项目非主体、非关键性工作中标后合同分包的，详见“第一章 投标邀请”，分包承担主体不得再次分包。</w:t>
      </w:r>
    </w:p>
    <w:p>
      <w:pPr>
        <w:numPr>
          <w:ilvl w:val="0"/>
          <w:numId w:val="21"/>
        </w:numPr>
        <w:wordWrap w:val="0"/>
        <w:adjustRightInd w:val="0"/>
        <w:snapToGrid w:val="0"/>
        <w:spacing w:line="360" w:lineRule="auto"/>
        <w:ind w:left="420"/>
        <w:rPr>
          <w:rFonts w:cs="宋体"/>
          <w:szCs w:val="24"/>
          <w:lang w:val="zh-CN"/>
        </w:rPr>
      </w:pPr>
      <w:r>
        <w:rPr>
          <w:rFonts w:hint="eastAsia" w:cs="宋体"/>
          <w:szCs w:val="24"/>
          <w:lang w:val="zh-CN"/>
        </w:rPr>
        <w:t>拟中标后合同分包的，应提供分包意向协议书。</w:t>
      </w:r>
    </w:p>
    <w:p>
      <w:pPr>
        <w:numPr>
          <w:ilvl w:val="0"/>
          <w:numId w:val="21"/>
        </w:numPr>
        <w:wordWrap w:val="0"/>
        <w:adjustRightInd w:val="0"/>
        <w:snapToGrid w:val="0"/>
        <w:spacing w:line="360" w:lineRule="auto"/>
        <w:ind w:left="420"/>
        <w:rPr>
          <w:rFonts w:cs="宋体"/>
          <w:szCs w:val="24"/>
          <w:lang w:val="zh-CN"/>
        </w:rPr>
      </w:pPr>
      <w:r>
        <w:rPr>
          <w:rFonts w:hint="eastAsia" w:cs="宋体"/>
          <w:szCs w:val="24"/>
          <w:lang w:val="zh-CN"/>
        </w:rPr>
        <w:t>享受中小企业扶持政策获得政府采购合同的，小微企业不得将合同分包给大中型企业，中型企业不得将合同分包给大型企业。</w:t>
      </w:r>
    </w:p>
    <w:p>
      <w:pPr>
        <w:numPr>
          <w:ilvl w:val="0"/>
          <w:numId w:val="21"/>
        </w:numPr>
        <w:wordWrap w:val="0"/>
        <w:adjustRightInd w:val="0"/>
        <w:snapToGrid w:val="0"/>
        <w:spacing w:line="360" w:lineRule="auto"/>
        <w:ind w:left="420"/>
        <w:rPr>
          <w:rFonts w:cs="宋体"/>
          <w:szCs w:val="24"/>
          <w:lang w:val="zh-CN"/>
        </w:rPr>
      </w:pPr>
      <w:r>
        <w:rPr>
          <w:rFonts w:hint="eastAsia" w:cs="宋体"/>
          <w:szCs w:val="24"/>
          <w:lang w:val="zh-CN"/>
        </w:rPr>
        <w:t>招标文件</w:t>
      </w:r>
      <w:r>
        <w:rPr>
          <w:rFonts w:hint="eastAsia" w:cs="宋体"/>
          <w:b/>
          <w:bCs/>
          <w:szCs w:val="24"/>
          <w:lang w:val="zh-CN"/>
        </w:rPr>
        <w:t>未载明</w:t>
      </w:r>
      <w:r>
        <w:rPr>
          <w:rFonts w:hint="eastAsia" w:cs="宋体"/>
          <w:szCs w:val="24"/>
          <w:lang w:val="zh-CN"/>
        </w:rPr>
        <w:t>合同分包的，不得进行合同分包，否则应承担相应的法律责任。</w:t>
      </w:r>
    </w:p>
    <w:p>
      <w:pPr>
        <w:numPr>
          <w:ilvl w:val="0"/>
          <w:numId w:val="21"/>
        </w:numPr>
        <w:wordWrap w:val="0"/>
        <w:adjustRightInd w:val="0"/>
        <w:snapToGrid w:val="0"/>
        <w:spacing w:line="360" w:lineRule="auto"/>
        <w:ind w:left="420"/>
        <w:rPr>
          <w:rFonts w:cs="宋体"/>
          <w:szCs w:val="24"/>
          <w:lang w:val="zh-CN"/>
        </w:rPr>
      </w:pPr>
      <w:r>
        <w:rPr>
          <w:rFonts w:hint="eastAsia" w:cs="宋体"/>
          <w:szCs w:val="24"/>
          <w:lang w:val="zh-CN"/>
        </w:rPr>
        <w:t>政府采购项目严禁转包行为，否则应承担相应的法律责任。</w:t>
      </w:r>
    </w:p>
    <w:p>
      <w:pPr>
        <w:pStyle w:val="43"/>
        <w:numPr>
          <w:ilvl w:val="0"/>
          <w:numId w:val="9"/>
        </w:numPr>
        <w:spacing w:line="360" w:lineRule="auto"/>
        <w:ind w:left="284" w:hanging="284" w:firstLineChars="0"/>
        <w:rPr>
          <w:b/>
          <w:szCs w:val="24"/>
          <w:lang w:val="zh-CN"/>
        </w:rPr>
      </w:pPr>
      <w:r>
        <w:rPr>
          <w:rFonts w:hint="eastAsia"/>
          <w:b/>
          <w:szCs w:val="24"/>
          <w:lang w:val="zh-CN"/>
        </w:rPr>
        <w:t>招标文件的澄清或修改</w:t>
      </w:r>
      <w:bookmarkEnd w:id="145"/>
      <w:bookmarkEnd w:id="146"/>
      <w:bookmarkEnd w:id="147"/>
      <w:bookmarkEnd w:id="148"/>
      <w:bookmarkEnd w:id="149"/>
      <w:bookmarkEnd w:id="150"/>
    </w:p>
    <w:p>
      <w:pPr>
        <w:numPr>
          <w:ilvl w:val="0"/>
          <w:numId w:val="22"/>
        </w:numPr>
        <w:wordWrap w:val="0"/>
        <w:adjustRightInd w:val="0"/>
        <w:snapToGrid w:val="0"/>
        <w:spacing w:line="360" w:lineRule="auto"/>
        <w:ind w:left="420"/>
        <w:rPr>
          <w:rFonts w:cs="宋体"/>
          <w:szCs w:val="24"/>
          <w:lang w:val="zh-CN"/>
        </w:rPr>
      </w:pPr>
      <w:r>
        <w:rPr>
          <w:rFonts w:hint="eastAsia" w:cs="宋体"/>
          <w:szCs w:val="24"/>
          <w:lang w:val="zh-CN"/>
        </w:rPr>
        <w:t>澄清或修改：集中采购机构或采购人可以对已发出的招标文件进行必要的澄清或者修改，澄清或者修改内容将在原公告发布媒体上发布更正公告。澄清或者修改的内容是招标文件的组成部分，潜在投标人应按“</w:t>
      </w:r>
      <w:r>
        <w:rPr>
          <w:rFonts w:hint="eastAsia" w:cs="宋体"/>
          <w:b/>
          <w:bCs/>
          <w:szCs w:val="24"/>
          <w:lang w:val="zh-CN"/>
        </w:rPr>
        <w:t>投标人须知前附表</w:t>
      </w:r>
      <w:r>
        <w:rPr>
          <w:rFonts w:hint="eastAsia" w:cs="宋体"/>
          <w:szCs w:val="24"/>
          <w:lang w:val="zh-CN"/>
        </w:rPr>
        <w:t>”的要求及时关注更正公告的内容。</w:t>
      </w:r>
    </w:p>
    <w:p>
      <w:pPr>
        <w:numPr>
          <w:ilvl w:val="0"/>
          <w:numId w:val="22"/>
        </w:numPr>
        <w:wordWrap w:val="0"/>
        <w:adjustRightInd w:val="0"/>
        <w:snapToGrid w:val="0"/>
        <w:spacing w:line="360" w:lineRule="auto"/>
        <w:ind w:left="420"/>
        <w:rPr>
          <w:rFonts w:cs="宋体"/>
          <w:szCs w:val="24"/>
          <w:lang w:val="zh-CN"/>
        </w:rPr>
      </w:pPr>
      <w:r>
        <w:rPr>
          <w:rFonts w:hint="eastAsia" w:cs="宋体"/>
          <w:szCs w:val="24"/>
          <w:lang w:val="zh-CN"/>
        </w:rPr>
        <w:t>澄清或者修改的内容可能影响投标文件编制且距投标截止时间不足15日的，应当顺延提交投标文件的截止时间。</w:t>
      </w:r>
    </w:p>
    <w:p>
      <w:pPr>
        <w:pStyle w:val="43"/>
        <w:numPr>
          <w:ilvl w:val="0"/>
          <w:numId w:val="9"/>
        </w:numPr>
        <w:spacing w:line="360" w:lineRule="auto"/>
        <w:ind w:left="284" w:hanging="284" w:firstLineChars="0"/>
        <w:rPr>
          <w:b/>
          <w:szCs w:val="24"/>
          <w:lang w:val="zh-CN"/>
        </w:rPr>
      </w:pPr>
      <w:bookmarkStart w:id="157" w:name="_Toc102115995"/>
      <w:bookmarkStart w:id="158" w:name="_Toc102056191"/>
      <w:bookmarkStart w:id="159" w:name="_Toc102116125"/>
      <w:bookmarkStart w:id="160" w:name="_Toc102119826"/>
      <w:bookmarkStart w:id="161" w:name="_Toc102057691"/>
      <w:bookmarkStart w:id="162" w:name="_Toc102114893"/>
      <w:r>
        <w:rPr>
          <w:rFonts w:hint="eastAsia"/>
          <w:b/>
          <w:szCs w:val="24"/>
          <w:lang w:val="zh-CN"/>
        </w:rPr>
        <w:t>现场考察或开标前答疑</w:t>
      </w:r>
      <w:bookmarkEnd w:id="157"/>
      <w:bookmarkEnd w:id="158"/>
      <w:bookmarkEnd w:id="159"/>
      <w:bookmarkEnd w:id="160"/>
      <w:bookmarkEnd w:id="161"/>
      <w:bookmarkEnd w:id="162"/>
    </w:p>
    <w:p>
      <w:pPr>
        <w:pStyle w:val="43"/>
        <w:numPr>
          <w:ilvl w:val="0"/>
          <w:numId w:val="23"/>
        </w:numPr>
        <w:wordWrap w:val="0"/>
        <w:adjustRightInd w:val="0"/>
        <w:snapToGrid w:val="0"/>
        <w:spacing w:line="360" w:lineRule="auto"/>
        <w:ind w:left="420" w:firstLineChars="0"/>
        <w:rPr>
          <w:rFonts w:cs="宋体"/>
          <w:szCs w:val="24"/>
          <w:lang w:val="zh-CN"/>
        </w:rPr>
      </w:pPr>
      <w:r>
        <w:rPr>
          <w:rFonts w:hint="eastAsia" w:cs="宋体"/>
          <w:szCs w:val="24"/>
          <w:lang w:val="zh-CN"/>
        </w:rPr>
        <w:t>现场考察或开标前答疑：详见“</w:t>
      </w:r>
      <w:r>
        <w:rPr>
          <w:rFonts w:hint="eastAsia" w:cs="宋体"/>
          <w:b/>
          <w:bCs/>
          <w:szCs w:val="24"/>
          <w:lang w:val="zh-CN"/>
        </w:rPr>
        <w:t>投标人须知前附表</w:t>
      </w:r>
      <w:r>
        <w:rPr>
          <w:rFonts w:hint="eastAsia" w:cs="宋体"/>
          <w:szCs w:val="24"/>
          <w:lang w:val="zh-CN"/>
        </w:rPr>
        <w:t>”规定。组织现场考察或召开开标前答疑会的，潜在投标人应按要求及时参加。</w:t>
      </w:r>
    </w:p>
    <w:p>
      <w:pPr>
        <w:pStyle w:val="43"/>
        <w:numPr>
          <w:ilvl w:val="0"/>
          <w:numId w:val="23"/>
        </w:numPr>
        <w:wordWrap w:val="0"/>
        <w:adjustRightInd w:val="0"/>
        <w:snapToGrid w:val="0"/>
        <w:spacing w:line="360" w:lineRule="auto"/>
        <w:ind w:left="420" w:firstLineChars="0"/>
        <w:rPr>
          <w:rFonts w:cs="宋体"/>
          <w:szCs w:val="24"/>
          <w:lang w:val="zh-CN"/>
        </w:rPr>
      </w:pPr>
      <w:r>
        <w:rPr>
          <w:rFonts w:hint="eastAsia" w:cs="宋体"/>
          <w:szCs w:val="24"/>
          <w:lang w:val="zh-CN"/>
        </w:rPr>
        <w:t>现场考察获取的有关编制投标文件和签署合同所涉及现场的数据和资料，是采购人现有的能被潜在投标人利用的客观资料，采购人对潜在投标人依此作出的任何推论、理解和结论均不负责任。</w:t>
      </w:r>
    </w:p>
    <w:p>
      <w:pPr>
        <w:pStyle w:val="43"/>
        <w:numPr>
          <w:ilvl w:val="0"/>
          <w:numId w:val="23"/>
        </w:numPr>
        <w:wordWrap w:val="0"/>
        <w:adjustRightInd w:val="0"/>
        <w:snapToGrid w:val="0"/>
        <w:spacing w:line="360" w:lineRule="auto"/>
        <w:ind w:left="420" w:firstLineChars="0"/>
        <w:rPr>
          <w:rFonts w:cs="宋体"/>
          <w:szCs w:val="24"/>
          <w:lang w:val="zh-CN"/>
        </w:rPr>
      </w:pPr>
      <w:r>
        <w:rPr>
          <w:rFonts w:hint="eastAsia" w:cs="宋体"/>
          <w:szCs w:val="24"/>
          <w:lang w:val="zh-CN"/>
        </w:rPr>
        <w:t>开标前答疑会涉及招标文件内容有澄清、修改的，以发布的更正公告内容为准。</w:t>
      </w:r>
    </w:p>
    <w:p>
      <w:pPr>
        <w:pStyle w:val="43"/>
        <w:numPr>
          <w:ilvl w:val="0"/>
          <w:numId w:val="23"/>
        </w:numPr>
        <w:wordWrap w:val="0"/>
        <w:adjustRightInd w:val="0"/>
        <w:snapToGrid w:val="0"/>
        <w:spacing w:line="360" w:lineRule="auto"/>
        <w:ind w:left="420" w:firstLineChars="0"/>
        <w:rPr>
          <w:rFonts w:cs="宋体"/>
          <w:szCs w:val="24"/>
          <w:lang w:val="zh-CN"/>
        </w:rPr>
      </w:pPr>
      <w:r>
        <w:rPr>
          <w:rFonts w:hint="eastAsia" w:cs="宋体"/>
          <w:szCs w:val="24"/>
          <w:lang w:val="zh-CN"/>
        </w:rPr>
        <w:t>潜在投标人参加现场考察或开标前答疑会的，不得因此使采购人承担有关责任和蒙受损失。潜在投标人应自行承担参加现场考察或开标前答疑会的全部费用、责任和风险。</w:t>
      </w:r>
    </w:p>
    <w:p>
      <w:pPr>
        <w:pStyle w:val="3"/>
        <w:numPr>
          <w:ilvl w:val="0"/>
          <w:numId w:val="8"/>
        </w:numPr>
        <w:adjustRightInd w:val="0"/>
        <w:snapToGrid w:val="0"/>
        <w:spacing w:before="218" w:beforeLines="70" w:after="0" w:line="360" w:lineRule="auto"/>
        <w:ind w:left="658" w:hanging="658"/>
        <w:jc w:val="center"/>
        <w:rPr>
          <w:rFonts w:ascii="宋体" w:hAnsi="宋体" w:eastAsia="宋体" w:cs="Times New Roman"/>
          <w:bCs w:val="0"/>
          <w:sz w:val="28"/>
          <w:szCs w:val="28"/>
          <w:lang w:val="zh-CN"/>
        </w:rPr>
      </w:pPr>
      <w:bookmarkStart w:id="163" w:name="_Toc102114894"/>
      <w:bookmarkStart w:id="164" w:name="_Toc102115996"/>
      <w:bookmarkStart w:id="165" w:name="_Toc102119827"/>
      <w:bookmarkStart w:id="166" w:name="_Toc102057692"/>
      <w:bookmarkStart w:id="167" w:name="_Toc102056192"/>
      <w:bookmarkStart w:id="168" w:name="_Toc102116126"/>
      <w:bookmarkStart w:id="169" w:name="_Toc117244352"/>
      <w:bookmarkStart w:id="170" w:name="_Toc6368"/>
      <w:bookmarkStart w:id="171" w:name="_Toc117244467"/>
      <w:bookmarkStart w:id="172" w:name="_Toc13064"/>
      <w:r>
        <w:rPr>
          <w:rFonts w:hint="eastAsia" w:ascii="宋体" w:hAnsi="宋体" w:eastAsia="宋体" w:cs="Times New Roman"/>
          <w:bCs w:val="0"/>
          <w:sz w:val="28"/>
          <w:szCs w:val="28"/>
          <w:lang w:val="zh-CN"/>
        </w:rPr>
        <w:t>投</w:t>
      </w:r>
      <w:bookmarkEnd w:id="163"/>
      <w:bookmarkEnd w:id="164"/>
      <w:bookmarkEnd w:id="165"/>
      <w:bookmarkEnd w:id="166"/>
      <w:bookmarkEnd w:id="167"/>
      <w:bookmarkEnd w:id="168"/>
      <w:r>
        <w:rPr>
          <w:rFonts w:hint="eastAsia" w:ascii="宋体" w:hAnsi="宋体" w:eastAsia="宋体" w:cs="Times New Roman"/>
          <w:bCs w:val="0"/>
          <w:sz w:val="28"/>
          <w:szCs w:val="28"/>
          <w:lang w:val="zh-CN"/>
        </w:rPr>
        <w:t>标文件</w:t>
      </w:r>
      <w:bookmarkEnd w:id="169"/>
      <w:bookmarkEnd w:id="170"/>
      <w:bookmarkEnd w:id="171"/>
      <w:bookmarkEnd w:id="172"/>
    </w:p>
    <w:p>
      <w:pPr>
        <w:pStyle w:val="43"/>
        <w:numPr>
          <w:ilvl w:val="0"/>
          <w:numId w:val="9"/>
        </w:numPr>
        <w:spacing w:line="360" w:lineRule="auto"/>
        <w:ind w:left="284" w:hanging="284" w:firstLineChars="0"/>
        <w:rPr>
          <w:b/>
          <w:szCs w:val="24"/>
          <w:lang w:val="zh-CN"/>
        </w:rPr>
      </w:pPr>
      <w:bookmarkStart w:id="173" w:name="_Toc102057693"/>
      <w:bookmarkStart w:id="174" w:name="_Toc102116127"/>
      <w:bookmarkStart w:id="175" w:name="_Toc102119828"/>
      <w:bookmarkStart w:id="176" w:name="_Toc102056193"/>
      <w:bookmarkStart w:id="177" w:name="_Toc102114895"/>
      <w:bookmarkStart w:id="178" w:name="_Toc102115997"/>
      <w:r>
        <w:rPr>
          <w:rFonts w:hint="eastAsia"/>
          <w:b/>
          <w:szCs w:val="24"/>
          <w:lang w:val="zh-CN"/>
        </w:rPr>
        <w:t>投标文件</w:t>
      </w:r>
      <w:bookmarkEnd w:id="173"/>
      <w:bookmarkEnd w:id="174"/>
      <w:bookmarkEnd w:id="175"/>
      <w:bookmarkEnd w:id="176"/>
      <w:bookmarkEnd w:id="177"/>
      <w:bookmarkEnd w:id="178"/>
      <w:r>
        <w:rPr>
          <w:rFonts w:hint="eastAsia"/>
          <w:b/>
          <w:szCs w:val="24"/>
          <w:lang w:val="zh-CN"/>
        </w:rPr>
        <w:t>组成</w:t>
      </w:r>
    </w:p>
    <w:p>
      <w:pPr>
        <w:numPr>
          <w:ilvl w:val="0"/>
          <w:numId w:val="24"/>
        </w:numPr>
        <w:wordWrap w:val="0"/>
        <w:adjustRightInd w:val="0"/>
        <w:snapToGrid w:val="0"/>
        <w:spacing w:line="360" w:lineRule="auto"/>
        <w:ind w:left="420"/>
        <w:rPr>
          <w:rFonts w:cs="宋体"/>
          <w:szCs w:val="24"/>
          <w:lang w:val="zh-CN"/>
        </w:rPr>
      </w:pPr>
      <w:bookmarkStart w:id="179" w:name="_Toc102114896"/>
      <w:bookmarkStart w:id="180" w:name="_Toc102057694"/>
      <w:bookmarkStart w:id="181" w:name="_Toc102056194"/>
      <w:bookmarkStart w:id="182" w:name="_Toc102119829"/>
      <w:bookmarkStart w:id="183" w:name="_Toc102116128"/>
      <w:bookmarkStart w:id="184" w:name="_Toc102115998"/>
      <w:r>
        <w:rPr>
          <w:rFonts w:hint="eastAsia" w:cs="宋体"/>
          <w:szCs w:val="24"/>
          <w:lang w:val="zh-CN"/>
        </w:rPr>
        <w:t>投标文件由投标文件（PDF格式）和投标数据文件（PDF格式）二部分共同构成。</w:t>
      </w:r>
    </w:p>
    <w:p>
      <w:pPr>
        <w:numPr>
          <w:ilvl w:val="0"/>
          <w:numId w:val="24"/>
        </w:numPr>
        <w:wordWrap w:val="0"/>
        <w:adjustRightInd w:val="0"/>
        <w:snapToGrid w:val="0"/>
        <w:spacing w:line="360" w:lineRule="auto"/>
        <w:ind w:left="420"/>
        <w:rPr>
          <w:rFonts w:cs="宋体"/>
          <w:szCs w:val="24"/>
          <w:lang w:val="zh-CN"/>
        </w:rPr>
      </w:pPr>
      <w:r>
        <w:rPr>
          <w:rFonts w:hint="eastAsia" w:cs="宋体"/>
          <w:szCs w:val="24"/>
          <w:lang w:val="zh-CN"/>
        </w:rPr>
        <w:t>投标文件（PDF格式）可参考“第七章 投标文件格式（参考）”。</w:t>
      </w:r>
    </w:p>
    <w:p>
      <w:pPr>
        <w:numPr>
          <w:ilvl w:val="0"/>
          <w:numId w:val="24"/>
        </w:numPr>
        <w:wordWrap w:val="0"/>
        <w:adjustRightInd w:val="0"/>
        <w:snapToGrid w:val="0"/>
        <w:spacing w:line="360" w:lineRule="auto"/>
        <w:ind w:left="420"/>
        <w:rPr>
          <w:rFonts w:cs="宋体"/>
          <w:szCs w:val="24"/>
          <w:lang w:val="zh-CN"/>
        </w:rPr>
      </w:pPr>
      <w:r>
        <w:rPr>
          <w:rFonts w:hint="eastAsia" w:cs="宋体"/>
          <w:szCs w:val="24"/>
          <w:lang w:val="zh-CN"/>
        </w:rPr>
        <w:t>投标数据文件（PDF格式）包括以下内容：</w:t>
      </w:r>
    </w:p>
    <w:p>
      <w:pPr>
        <w:wordWrap w:val="0"/>
        <w:adjustRightInd w:val="0"/>
        <w:snapToGrid w:val="0"/>
        <w:spacing w:line="360" w:lineRule="auto"/>
        <w:ind w:firstLine="600" w:firstLineChars="250"/>
        <w:rPr>
          <w:rFonts w:cs="宋体"/>
          <w:szCs w:val="24"/>
          <w:lang w:val="zh-CN"/>
        </w:rPr>
      </w:pPr>
      <w:r>
        <w:rPr>
          <w:rFonts w:hint="eastAsia" w:cs="宋体"/>
          <w:szCs w:val="24"/>
          <w:lang w:val="zh-CN"/>
        </w:rPr>
        <w:t>第一部分 封面</w:t>
      </w:r>
    </w:p>
    <w:p>
      <w:pPr>
        <w:wordWrap w:val="0"/>
        <w:adjustRightInd w:val="0"/>
        <w:snapToGrid w:val="0"/>
        <w:spacing w:line="360" w:lineRule="auto"/>
        <w:ind w:firstLine="600" w:firstLineChars="250"/>
        <w:rPr>
          <w:rFonts w:cs="宋体"/>
          <w:szCs w:val="24"/>
          <w:lang w:val="zh-CN"/>
        </w:rPr>
      </w:pPr>
      <w:r>
        <w:rPr>
          <w:rFonts w:hint="eastAsia" w:cs="宋体"/>
          <w:szCs w:val="24"/>
          <w:lang w:val="zh-CN"/>
        </w:rPr>
        <w:t>第二部分 投标（报价）一览表（含明细）</w:t>
      </w:r>
    </w:p>
    <w:p>
      <w:pPr>
        <w:wordWrap w:val="0"/>
        <w:adjustRightInd w:val="0"/>
        <w:snapToGrid w:val="0"/>
        <w:spacing w:line="360" w:lineRule="auto"/>
        <w:ind w:firstLine="600" w:firstLineChars="250"/>
        <w:rPr>
          <w:rFonts w:cs="宋体"/>
          <w:szCs w:val="24"/>
          <w:lang w:val="zh-CN"/>
        </w:rPr>
      </w:pPr>
      <w:r>
        <w:rPr>
          <w:rFonts w:hint="eastAsia" w:cs="宋体"/>
          <w:szCs w:val="24"/>
          <w:lang w:val="zh-CN"/>
        </w:rPr>
        <w:t>第三部分 评审对照表</w:t>
      </w:r>
    </w:p>
    <w:p>
      <w:pPr>
        <w:wordWrap w:val="0"/>
        <w:adjustRightInd w:val="0"/>
        <w:snapToGrid w:val="0"/>
        <w:spacing w:line="360" w:lineRule="auto"/>
        <w:ind w:firstLine="600" w:firstLineChars="250"/>
        <w:rPr>
          <w:rFonts w:cs="宋体"/>
          <w:szCs w:val="24"/>
          <w:lang w:val="zh-CN"/>
        </w:rPr>
      </w:pPr>
      <w:r>
        <w:rPr>
          <w:rFonts w:hint="eastAsia" w:cs="宋体"/>
          <w:szCs w:val="24"/>
          <w:lang w:val="zh-CN"/>
        </w:rPr>
        <w:t>第四部分 评分对照表</w:t>
      </w:r>
    </w:p>
    <w:p>
      <w:pPr>
        <w:pStyle w:val="43"/>
        <w:numPr>
          <w:ilvl w:val="0"/>
          <w:numId w:val="9"/>
        </w:numPr>
        <w:spacing w:line="360" w:lineRule="auto"/>
        <w:ind w:left="284" w:hanging="284" w:firstLineChars="0"/>
        <w:rPr>
          <w:b/>
          <w:szCs w:val="24"/>
          <w:lang w:val="zh-CN"/>
        </w:rPr>
      </w:pPr>
      <w:r>
        <w:rPr>
          <w:rFonts w:hint="eastAsia"/>
          <w:b/>
          <w:szCs w:val="24"/>
          <w:lang w:val="zh-CN"/>
        </w:rPr>
        <w:t>投标文件编制</w:t>
      </w:r>
      <w:bookmarkEnd w:id="179"/>
      <w:bookmarkEnd w:id="180"/>
      <w:bookmarkEnd w:id="181"/>
      <w:bookmarkEnd w:id="182"/>
      <w:bookmarkEnd w:id="183"/>
      <w:bookmarkEnd w:id="184"/>
    </w:p>
    <w:p>
      <w:pPr>
        <w:numPr>
          <w:ilvl w:val="0"/>
          <w:numId w:val="25"/>
        </w:numPr>
        <w:wordWrap w:val="0"/>
        <w:adjustRightInd w:val="0"/>
        <w:snapToGrid w:val="0"/>
        <w:spacing w:line="360" w:lineRule="auto"/>
        <w:ind w:left="616" w:hanging="616"/>
        <w:rPr>
          <w:rFonts w:cs="宋体"/>
          <w:szCs w:val="24"/>
          <w:lang w:val="zh-CN"/>
        </w:rPr>
      </w:pPr>
      <w:r>
        <w:rPr>
          <w:rFonts w:hint="eastAsia" w:cs="宋体"/>
          <w:szCs w:val="24"/>
          <w:lang w:val="zh-CN"/>
        </w:rPr>
        <w:t>招标项目划分采购包的，投标人应就所投包段分别编制投标文件。</w:t>
      </w:r>
    </w:p>
    <w:p>
      <w:pPr>
        <w:numPr>
          <w:ilvl w:val="0"/>
          <w:numId w:val="25"/>
        </w:numPr>
        <w:wordWrap w:val="0"/>
        <w:adjustRightInd w:val="0"/>
        <w:snapToGrid w:val="0"/>
        <w:spacing w:line="360" w:lineRule="auto"/>
        <w:ind w:left="616" w:hanging="616"/>
        <w:rPr>
          <w:rFonts w:cs="宋体"/>
          <w:szCs w:val="24"/>
          <w:lang w:val="zh-CN"/>
        </w:rPr>
      </w:pPr>
      <w:r>
        <w:rPr>
          <w:rFonts w:hint="eastAsia" w:cs="宋体"/>
          <w:szCs w:val="24"/>
          <w:lang w:val="zh-CN"/>
        </w:rPr>
        <w:t>投标文件（</w:t>
      </w:r>
      <w:r>
        <w:rPr>
          <w:rFonts w:cs="宋体"/>
          <w:szCs w:val="24"/>
          <w:lang w:val="zh-CN"/>
        </w:rPr>
        <w:t>PDF格式）</w:t>
      </w:r>
      <w:r>
        <w:rPr>
          <w:rFonts w:hint="eastAsia" w:cs="宋体"/>
          <w:szCs w:val="24"/>
          <w:lang w:val="zh-CN"/>
        </w:rPr>
        <w:t>可参考“第七章 投标文件格式（参考）”要求</w:t>
      </w:r>
      <w:r>
        <w:rPr>
          <w:rFonts w:cs="宋体"/>
          <w:szCs w:val="24"/>
          <w:lang w:val="zh-CN"/>
        </w:rPr>
        <w:t>，</w:t>
      </w:r>
      <w:r>
        <w:rPr>
          <w:rFonts w:hint="eastAsia" w:cs="宋体"/>
          <w:szCs w:val="24"/>
          <w:lang w:val="zh-CN"/>
        </w:rPr>
        <w:t>先</w:t>
      </w:r>
      <w:r>
        <w:rPr>
          <w:rFonts w:cs="宋体"/>
          <w:szCs w:val="24"/>
          <w:lang w:val="zh-CN"/>
        </w:rPr>
        <w:t>编写成Word格式文件，再通过电子采购平台转换成PDF格式。</w:t>
      </w:r>
      <w:r>
        <w:rPr>
          <w:rFonts w:hint="eastAsia" w:cs="宋体"/>
          <w:szCs w:val="24"/>
          <w:lang w:val="zh-CN"/>
        </w:rPr>
        <w:t>具体要求如下：</w:t>
      </w:r>
    </w:p>
    <w:p>
      <w:pPr>
        <w:pStyle w:val="11"/>
        <w:tabs>
          <w:tab w:val="left" w:pos="1701"/>
        </w:tabs>
        <w:wordWrap w:val="0"/>
        <w:adjustRightInd w:val="0"/>
        <w:snapToGrid w:val="0"/>
        <w:spacing w:line="360" w:lineRule="auto"/>
        <w:ind w:firstLine="480" w:firstLineChars="200"/>
        <w:rPr>
          <w:lang w:val="zh-CN"/>
        </w:rPr>
      </w:pPr>
      <w:r>
        <w:rPr>
          <w:rFonts w:hint="eastAsia"/>
          <w:lang w:val="zh-CN"/>
        </w:rPr>
        <w:t>（1）投标文件页面纸张大小使用A4规格，所提供的资料应为清晰影印件；</w:t>
      </w:r>
    </w:p>
    <w:p>
      <w:pPr>
        <w:pStyle w:val="11"/>
        <w:tabs>
          <w:tab w:val="left" w:pos="1701"/>
        </w:tabs>
        <w:wordWrap w:val="0"/>
        <w:adjustRightInd w:val="0"/>
        <w:snapToGrid w:val="0"/>
        <w:spacing w:line="360" w:lineRule="auto"/>
        <w:ind w:firstLine="480" w:firstLineChars="200"/>
        <w:rPr>
          <w:lang w:val="zh-CN"/>
        </w:rPr>
      </w:pPr>
      <w:r>
        <w:rPr>
          <w:rFonts w:hint="eastAsia"/>
          <w:lang w:val="zh-CN"/>
        </w:rPr>
        <w:t>（2）投标文件应编写详细目录，目录能链接到投标文件对应章节内容，且具有文档结构图；</w:t>
      </w:r>
    </w:p>
    <w:p>
      <w:pPr>
        <w:pStyle w:val="11"/>
        <w:tabs>
          <w:tab w:val="left" w:pos="1701"/>
        </w:tabs>
        <w:wordWrap w:val="0"/>
        <w:adjustRightInd w:val="0"/>
        <w:snapToGrid w:val="0"/>
        <w:spacing w:line="360" w:lineRule="auto"/>
        <w:ind w:firstLine="480" w:firstLineChars="200"/>
        <w:rPr>
          <w:lang w:val="zh-CN"/>
        </w:rPr>
      </w:pPr>
      <w:r>
        <w:rPr>
          <w:rFonts w:hint="eastAsia"/>
          <w:lang w:val="zh-CN"/>
        </w:rPr>
        <w:t>（3）投标文件页码必须连续，内容详尽、易于理解和审查；</w:t>
      </w:r>
    </w:p>
    <w:p>
      <w:pPr>
        <w:pStyle w:val="11"/>
        <w:tabs>
          <w:tab w:val="left" w:pos="1701"/>
        </w:tabs>
        <w:wordWrap w:val="0"/>
        <w:adjustRightInd w:val="0"/>
        <w:snapToGrid w:val="0"/>
        <w:spacing w:line="360" w:lineRule="auto"/>
        <w:ind w:firstLine="480" w:firstLineChars="200"/>
        <w:rPr>
          <w:lang w:val="zh-CN"/>
        </w:rPr>
      </w:pPr>
      <w:r>
        <w:rPr>
          <w:rFonts w:hint="eastAsia"/>
          <w:lang w:val="zh-CN"/>
        </w:rPr>
        <w:t>（4）</w:t>
      </w:r>
      <w:r>
        <w:rPr>
          <w:rFonts w:hint="eastAsia"/>
          <w:szCs w:val="24"/>
          <w:lang w:val="zh-CN"/>
        </w:rPr>
        <w:t>投标文件转换成PDF格式后也应满足上述要求，若未按上述要求编制投标文件的，导致的不利后果由投标人自行承担。</w:t>
      </w:r>
    </w:p>
    <w:p>
      <w:pPr>
        <w:numPr>
          <w:ilvl w:val="0"/>
          <w:numId w:val="25"/>
        </w:numPr>
        <w:wordWrap w:val="0"/>
        <w:adjustRightInd w:val="0"/>
        <w:snapToGrid w:val="0"/>
        <w:spacing w:line="360" w:lineRule="auto"/>
        <w:ind w:left="616" w:hanging="616"/>
        <w:rPr>
          <w:rFonts w:cs="宋体"/>
          <w:szCs w:val="24"/>
          <w:lang w:val="zh-CN"/>
        </w:rPr>
      </w:pPr>
      <w:r>
        <w:rPr>
          <w:rFonts w:hint="eastAsia" w:cs="宋体"/>
          <w:szCs w:val="24"/>
          <w:lang w:val="zh-CN"/>
        </w:rPr>
        <w:t>投标数据文件（</w:t>
      </w:r>
      <w:r>
        <w:rPr>
          <w:rFonts w:cs="宋体"/>
          <w:szCs w:val="24"/>
          <w:lang w:val="zh-CN"/>
        </w:rPr>
        <w:t>PDF格式）</w:t>
      </w:r>
      <w:r>
        <w:rPr>
          <w:rFonts w:hint="eastAsia" w:cs="宋体"/>
          <w:szCs w:val="24"/>
          <w:lang w:val="zh-CN"/>
        </w:rPr>
        <w:t>应先按招标数据文件（Excel格式）的格式、内容及填写要求进行</w:t>
      </w:r>
      <w:r>
        <w:rPr>
          <w:rFonts w:hint="eastAsia" w:cs="宋体"/>
          <w:szCs w:val="24"/>
        </w:rPr>
        <w:t>编写</w:t>
      </w:r>
      <w:r>
        <w:rPr>
          <w:rFonts w:hint="eastAsia" w:cs="宋体"/>
          <w:szCs w:val="24"/>
          <w:lang w:val="zh-CN"/>
        </w:rPr>
        <w:t>，</w:t>
      </w:r>
      <w:r>
        <w:rPr>
          <w:rFonts w:hint="eastAsia" w:cs="宋体"/>
          <w:szCs w:val="24"/>
        </w:rPr>
        <w:t>并确保已充分覆盖了招标文件《</w:t>
      </w:r>
      <w:r>
        <w:rPr>
          <w:rFonts w:hint="eastAsia" w:cs="宋体"/>
          <w:szCs w:val="24"/>
          <w:lang w:val="zh-CN"/>
        </w:rPr>
        <w:t>开标一览表（含明细）</w:t>
      </w:r>
      <w:r>
        <w:rPr>
          <w:rFonts w:hint="eastAsia" w:cs="宋体"/>
          <w:szCs w:val="24"/>
        </w:rPr>
        <w:t>》</w:t>
      </w:r>
      <w:r>
        <w:rPr>
          <w:rFonts w:hint="eastAsia" w:cs="宋体"/>
          <w:szCs w:val="24"/>
          <w:lang w:val="zh-CN"/>
        </w:rPr>
        <w:t>、</w:t>
      </w:r>
      <w:r>
        <w:rPr>
          <w:rFonts w:hint="eastAsia" w:cs="宋体"/>
          <w:szCs w:val="24"/>
        </w:rPr>
        <w:t>《评审对照表》、《评分对照表》的内容，再通过电子采购平台转换成PDF格式</w:t>
      </w:r>
      <w:r>
        <w:rPr>
          <w:rFonts w:hint="eastAsia" w:cs="宋体"/>
          <w:szCs w:val="24"/>
          <w:lang w:val="zh-CN"/>
        </w:rPr>
        <w:t>。</w:t>
      </w:r>
    </w:p>
    <w:p>
      <w:pPr>
        <w:numPr>
          <w:ilvl w:val="0"/>
          <w:numId w:val="25"/>
        </w:numPr>
        <w:wordWrap w:val="0"/>
        <w:adjustRightInd w:val="0"/>
        <w:snapToGrid w:val="0"/>
        <w:spacing w:line="360" w:lineRule="auto"/>
        <w:ind w:left="616" w:hanging="616"/>
        <w:rPr>
          <w:rFonts w:cs="宋体"/>
          <w:szCs w:val="24"/>
        </w:rPr>
      </w:pPr>
      <w:r>
        <w:rPr>
          <w:rFonts w:hint="eastAsia" w:cs="宋体"/>
          <w:szCs w:val="24"/>
          <w:lang w:val="zh-CN"/>
        </w:rPr>
        <w:t>为了</w:t>
      </w:r>
      <w:r>
        <w:rPr>
          <w:rFonts w:hint="eastAsia" w:cs="宋体"/>
          <w:szCs w:val="24"/>
        </w:rPr>
        <w:t>保证采购平台电子化处理效率，投标人在保证扫描件清晰可辨认（若无法辨认影响评审的，导致</w:t>
      </w:r>
      <w:r>
        <w:rPr>
          <w:rFonts w:cs="宋体"/>
          <w:szCs w:val="24"/>
        </w:rPr>
        <w:t>的后果</w:t>
      </w:r>
      <w:r>
        <w:rPr>
          <w:rFonts w:hint="eastAsia" w:cs="宋体"/>
          <w:szCs w:val="24"/>
        </w:rPr>
        <w:t>由投标人自行承担）的情况下，应尽量降低扫描分辨率，输出为JPG文件格式（以文字为主的文件扫描，建议最高200DPI；以图片为主且颜色丰富的文件，建议最高300DPI）。同时应尽可能降低投标文件的大小，小容量投标文件提交上传更快捷、差错发生几率少。</w:t>
      </w:r>
    </w:p>
    <w:p>
      <w:pPr>
        <w:pStyle w:val="43"/>
        <w:numPr>
          <w:ilvl w:val="0"/>
          <w:numId w:val="25"/>
        </w:numPr>
        <w:wordWrap w:val="0"/>
        <w:adjustRightInd w:val="0"/>
        <w:snapToGrid w:val="0"/>
        <w:spacing w:line="360" w:lineRule="auto"/>
        <w:ind w:left="616" w:hanging="616" w:firstLineChars="0"/>
        <w:rPr>
          <w:rFonts w:cs="宋体"/>
          <w:szCs w:val="24"/>
        </w:rPr>
      </w:pPr>
      <w:r>
        <w:rPr>
          <w:rFonts w:hint="eastAsia" w:cs="宋体"/>
          <w:szCs w:val="24"/>
        </w:rPr>
        <w:t>投标人应对投标文件全部内容的真实性负责，若有虚假，将依法承担相应责任。</w:t>
      </w:r>
    </w:p>
    <w:p>
      <w:pPr>
        <w:pStyle w:val="43"/>
        <w:numPr>
          <w:ilvl w:val="0"/>
          <w:numId w:val="9"/>
        </w:numPr>
        <w:spacing w:line="360" w:lineRule="auto"/>
        <w:ind w:left="284" w:hanging="284" w:firstLineChars="0"/>
        <w:rPr>
          <w:b/>
          <w:szCs w:val="24"/>
          <w:lang w:val="zh-CN"/>
        </w:rPr>
      </w:pPr>
      <w:bookmarkStart w:id="185" w:name="_Toc102114897"/>
      <w:bookmarkStart w:id="186" w:name="_Toc102056195"/>
      <w:bookmarkStart w:id="187" w:name="_Toc102057695"/>
      <w:bookmarkStart w:id="188" w:name="_Toc102116129"/>
      <w:bookmarkStart w:id="189" w:name="_Toc102119830"/>
      <w:bookmarkStart w:id="190" w:name="_Toc102115999"/>
      <w:r>
        <w:rPr>
          <w:rFonts w:hint="eastAsia"/>
          <w:b/>
          <w:szCs w:val="24"/>
          <w:lang w:val="zh-CN"/>
        </w:rPr>
        <w:t>投标文件的数量</w:t>
      </w:r>
    </w:p>
    <w:p>
      <w:pPr>
        <w:wordWrap w:val="0"/>
        <w:adjustRightInd w:val="0"/>
        <w:snapToGrid w:val="0"/>
        <w:spacing w:line="360" w:lineRule="auto"/>
        <w:ind w:firstLine="480" w:firstLineChars="200"/>
        <w:rPr>
          <w:lang w:val="zh-CN"/>
        </w:rPr>
      </w:pPr>
      <w:r>
        <w:rPr>
          <w:rFonts w:hint="eastAsia" w:cs="宋体"/>
          <w:szCs w:val="24"/>
          <w:lang w:val="zh-CN"/>
        </w:rPr>
        <w:t>应按</w:t>
      </w:r>
      <w:r>
        <w:rPr>
          <w:rFonts w:hint="eastAsia" w:cs="宋体"/>
          <w:b/>
          <w:szCs w:val="24"/>
          <w:lang w:val="zh-CN"/>
        </w:rPr>
        <w:t>“投标人须知前附表”</w:t>
      </w:r>
      <w:r>
        <w:rPr>
          <w:rFonts w:hint="eastAsia" w:cs="宋体"/>
          <w:szCs w:val="24"/>
          <w:lang w:val="zh-CN"/>
        </w:rPr>
        <w:t>中规定的份数编制投标文件。</w:t>
      </w:r>
    </w:p>
    <w:p>
      <w:pPr>
        <w:pStyle w:val="43"/>
        <w:numPr>
          <w:ilvl w:val="0"/>
          <w:numId w:val="9"/>
        </w:numPr>
        <w:spacing w:line="360" w:lineRule="auto"/>
        <w:ind w:left="284" w:hanging="284" w:firstLineChars="0"/>
        <w:rPr>
          <w:b/>
          <w:szCs w:val="24"/>
          <w:lang w:val="zh-CN"/>
        </w:rPr>
      </w:pPr>
      <w:r>
        <w:rPr>
          <w:rFonts w:hint="eastAsia"/>
          <w:b/>
          <w:szCs w:val="24"/>
          <w:lang w:val="zh-CN"/>
        </w:rPr>
        <w:t>投标报价</w:t>
      </w:r>
      <w:bookmarkEnd w:id="185"/>
      <w:bookmarkEnd w:id="186"/>
      <w:bookmarkEnd w:id="187"/>
      <w:bookmarkEnd w:id="188"/>
      <w:bookmarkEnd w:id="189"/>
      <w:bookmarkEnd w:id="190"/>
    </w:p>
    <w:p>
      <w:pPr>
        <w:pStyle w:val="43"/>
        <w:numPr>
          <w:ilvl w:val="0"/>
          <w:numId w:val="26"/>
        </w:numPr>
        <w:wordWrap w:val="0"/>
        <w:adjustRightInd w:val="0"/>
        <w:snapToGrid w:val="0"/>
        <w:spacing w:line="360" w:lineRule="auto"/>
        <w:ind w:left="420" w:firstLineChars="0"/>
        <w:rPr>
          <w:rFonts w:cs="宋体"/>
          <w:szCs w:val="24"/>
          <w:lang w:val="zh-CN"/>
        </w:rPr>
      </w:pPr>
      <w:r>
        <w:rPr>
          <w:rFonts w:hint="eastAsia" w:cs="宋体"/>
          <w:szCs w:val="24"/>
          <w:lang w:val="zh-CN"/>
        </w:rPr>
        <w:t>应按照“第三章 采购需求”规定的货物（或服务）内容、责任范围以及合同条款进行报价。投标人的报价应包括完成本项目全部内容可能发生的全部费用（含税费、保险等），并在合同执行过程中是固定不变的，不得以任何理由予以变更。</w:t>
      </w:r>
    </w:p>
    <w:p>
      <w:pPr>
        <w:pStyle w:val="43"/>
        <w:numPr>
          <w:ilvl w:val="0"/>
          <w:numId w:val="26"/>
        </w:numPr>
        <w:wordWrap w:val="0"/>
        <w:adjustRightInd w:val="0"/>
        <w:snapToGrid w:val="0"/>
        <w:spacing w:line="360" w:lineRule="auto"/>
        <w:ind w:left="420" w:firstLineChars="0"/>
        <w:rPr>
          <w:rFonts w:cs="宋体"/>
          <w:szCs w:val="24"/>
          <w:lang w:val="zh-CN"/>
        </w:rPr>
      </w:pPr>
      <w:r>
        <w:rPr>
          <w:rFonts w:hint="eastAsia" w:cs="宋体"/>
          <w:szCs w:val="24"/>
          <w:lang w:val="zh-CN"/>
        </w:rPr>
        <w:t>应对项目招标范围内的全部内容进行报价，不得缺、漏项或只投其中部分内容，否则按照</w:t>
      </w:r>
      <w:r>
        <w:rPr>
          <w:rFonts w:hint="eastAsia" w:cs="宋体"/>
          <w:b/>
          <w:bCs/>
          <w:szCs w:val="24"/>
          <w:lang w:val="zh-CN"/>
        </w:rPr>
        <w:t>无效投标处理</w:t>
      </w:r>
      <w:r>
        <w:rPr>
          <w:rFonts w:hint="eastAsia" w:cs="宋体"/>
          <w:szCs w:val="24"/>
          <w:lang w:val="zh-CN"/>
        </w:rPr>
        <w:t>。</w:t>
      </w:r>
    </w:p>
    <w:p>
      <w:pPr>
        <w:pStyle w:val="43"/>
        <w:numPr>
          <w:ilvl w:val="0"/>
          <w:numId w:val="26"/>
        </w:numPr>
        <w:wordWrap w:val="0"/>
        <w:adjustRightInd w:val="0"/>
        <w:snapToGrid w:val="0"/>
        <w:spacing w:line="360" w:lineRule="auto"/>
        <w:ind w:left="420" w:firstLineChars="0"/>
        <w:rPr>
          <w:rFonts w:cs="宋体"/>
          <w:szCs w:val="24"/>
          <w:lang w:val="zh-CN"/>
        </w:rPr>
      </w:pPr>
      <w:r>
        <w:rPr>
          <w:rFonts w:hint="eastAsia" w:cs="宋体"/>
          <w:szCs w:val="24"/>
          <w:lang w:val="zh-CN"/>
        </w:rPr>
        <w:t>投标报价不得超过采购预算和最高限价，否则按照</w:t>
      </w:r>
      <w:r>
        <w:rPr>
          <w:rFonts w:hint="eastAsia" w:cs="宋体"/>
          <w:b/>
          <w:bCs/>
          <w:szCs w:val="24"/>
          <w:lang w:val="zh-CN"/>
        </w:rPr>
        <w:t>无效投标处理</w:t>
      </w:r>
      <w:r>
        <w:rPr>
          <w:rFonts w:hint="eastAsia" w:cs="宋体"/>
          <w:szCs w:val="24"/>
          <w:lang w:val="zh-CN"/>
        </w:rPr>
        <w:t>。</w:t>
      </w:r>
    </w:p>
    <w:p>
      <w:pPr>
        <w:pStyle w:val="43"/>
        <w:numPr>
          <w:ilvl w:val="0"/>
          <w:numId w:val="9"/>
        </w:numPr>
        <w:spacing w:line="360" w:lineRule="auto"/>
        <w:ind w:left="284" w:hanging="284" w:firstLineChars="0"/>
        <w:rPr>
          <w:b/>
          <w:szCs w:val="24"/>
          <w:lang w:val="zh-CN"/>
        </w:rPr>
      </w:pPr>
      <w:bookmarkStart w:id="191" w:name="_Toc102056199"/>
      <w:bookmarkStart w:id="192" w:name="_Toc102119834"/>
      <w:bookmarkStart w:id="193" w:name="_Toc102057699"/>
      <w:bookmarkStart w:id="194" w:name="_Toc102114901"/>
      <w:bookmarkStart w:id="195" w:name="_Toc102116133"/>
      <w:bookmarkStart w:id="196" w:name="_Toc102116003"/>
      <w:r>
        <w:rPr>
          <w:rFonts w:hint="eastAsia"/>
          <w:b/>
          <w:szCs w:val="24"/>
          <w:lang w:val="zh-CN"/>
        </w:rPr>
        <w:t>备选方案</w:t>
      </w:r>
      <w:bookmarkEnd w:id="191"/>
      <w:bookmarkEnd w:id="192"/>
      <w:bookmarkEnd w:id="193"/>
      <w:bookmarkEnd w:id="194"/>
      <w:bookmarkEnd w:id="195"/>
      <w:bookmarkEnd w:id="196"/>
    </w:p>
    <w:p>
      <w:pPr>
        <w:wordWrap w:val="0"/>
        <w:adjustRightInd w:val="0"/>
        <w:snapToGrid w:val="0"/>
        <w:spacing w:line="360" w:lineRule="auto"/>
        <w:ind w:firstLine="480" w:firstLineChars="200"/>
        <w:rPr>
          <w:rFonts w:cs="宋体"/>
          <w:szCs w:val="24"/>
          <w:lang w:val="zh-CN"/>
        </w:rPr>
      </w:pPr>
      <w:r>
        <w:rPr>
          <w:rFonts w:hint="eastAsia" w:cs="宋体"/>
          <w:szCs w:val="24"/>
          <w:lang w:val="zh-CN"/>
        </w:rPr>
        <w:t>详见</w:t>
      </w:r>
      <w:r>
        <w:rPr>
          <w:rFonts w:hint="eastAsia"/>
          <w:b/>
          <w:szCs w:val="24"/>
          <w:lang w:val="zh-CN"/>
        </w:rPr>
        <w:t>“投标人须知前附表”</w:t>
      </w:r>
      <w:r>
        <w:rPr>
          <w:rFonts w:hint="eastAsia" w:cs="宋体"/>
          <w:szCs w:val="24"/>
          <w:lang w:val="zh-CN"/>
        </w:rPr>
        <w:t>的规定。未按要求提供的，按照</w:t>
      </w:r>
      <w:r>
        <w:rPr>
          <w:rFonts w:hint="eastAsia" w:cs="宋体"/>
          <w:b/>
          <w:szCs w:val="24"/>
          <w:lang w:val="zh-CN"/>
        </w:rPr>
        <w:t>无效投标处理</w:t>
      </w:r>
      <w:r>
        <w:rPr>
          <w:rFonts w:hint="eastAsia" w:cs="宋体"/>
          <w:szCs w:val="24"/>
          <w:lang w:val="zh-CN"/>
        </w:rPr>
        <w:t>。</w:t>
      </w:r>
    </w:p>
    <w:p>
      <w:pPr>
        <w:pStyle w:val="43"/>
        <w:numPr>
          <w:ilvl w:val="0"/>
          <w:numId w:val="9"/>
        </w:numPr>
        <w:spacing w:line="360" w:lineRule="auto"/>
        <w:ind w:left="284" w:hanging="284" w:firstLineChars="0"/>
        <w:rPr>
          <w:b/>
          <w:szCs w:val="24"/>
          <w:lang w:val="zh-CN"/>
        </w:rPr>
      </w:pPr>
      <w:bookmarkStart w:id="197" w:name="_Toc102116135"/>
      <w:bookmarkStart w:id="198" w:name="_Toc102057701"/>
      <w:bookmarkStart w:id="199" w:name="_Toc102119836"/>
      <w:bookmarkStart w:id="200" w:name="_Toc102114903"/>
      <w:bookmarkStart w:id="201" w:name="_Toc102116005"/>
      <w:bookmarkStart w:id="202" w:name="_Toc102056201"/>
      <w:r>
        <w:rPr>
          <w:rFonts w:hint="eastAsia"/>
          <w:b/>
          <w:szCs w:val="24"/>
          <w:lang w:val="zh-CN"/>
        </w:rPr>
        <w:t>投标有效期</w:t>
      </w:r>
      <w:bookmarkEnd w:id="197"/>
      <w:bookmarkEnd w:id="198"/>
      <w:bookmarkEnd w:id="199"/>
      <w:bookmarkEnd w:id="200"/>
      <w:bookmarkEnd w:id="201"/>
      <w:bookmarkEnd w:id="202"/>
    </w:p>
    <w:p>
      <w:pPr>
        <w:pStyle w:val="43"/>
        <w:numPr>
          <w:ilvl w:val="0"/>
          <w:numId w:val="27"/>
        </w:numPr>
        <w:wordWrap w:val="0"/>
        <w:adjustRightInd w:val="0"/>
        <w:snapToGrid w:val="0"/>
        <w:spacing w:line="360" w:lineRule="auto"/>
        <w:ind w:left="420" w:firstLineChars="0"/>
        <w:rPr>
          <w:rFonts w:cs="宋体"/>
          <w:szCs w:val="24"/>
          <w:lang w:val="zh-CN"/>
        </w:rPr>
      </w:pPr>
      <w:r>
        <w:rPr>
          <w:rFonts w:hint="eastAsia" w:cs="宋体"/>
          <w:szCs w:val="24"/>
          <w:lang w:val="zh-CN"/>
        </w:rPr>
        <w:t>投标有效期：详见“</w:t>
      </w:r>
      <w:r>
        <w:rPr>
          <w:rFonts w:hint="eastAsia" w:cs="宋体"/>
          <w:b/>
          <w:bCs/>
          <w:szCs w:val="24"/>
          <w:lang w:val="zh-CN"/>
        </w:rPr>
        <w:t>投标人须知前附表</w:t>
      </w:r>
      <w:r>
        <w:rPr>
          <w:rFonts w:hint="eastAsia" w:cs="宋体"/>
          <w:szCs w:val="24"/>
          <w:lang w:val="zh-CN"/>
        </w:rPr>
        <w:t>”的规定。投标有效期不足的，按照</w:t>
      </w:r>
      <w:r>
        <w:rPr>
          <w:rFonts w:hint="eastAsia" w:cs="宋体"/>
          <w:b/>
          <w:bCs/>
          <w:szCs w:val="24"/>
          <w:lang w:val="zh-CN"/>
        </w:rPr>
        <w:t>无效投标处理</w:t>
      </w:r>
      <w:r>
        <w:rPr>
          <w:rFonts w:hint="eastAsia" w:cs="宋体"/>
          <w:szCs w:val="24"/>
          <w:lang w:val="zh-CN"/>
        </w:rPr>
        <w:t>。</w:t>
      </w:r>
    </w:p>
    <w:p>
      <w:pPr>
        <w:pStyle w:val="43"/>
        <w:numPr>
          <w:ilvl w:val="0"/>
          <w:numId w:val="27"/>
        </w:numPr>
        <w:wordWrap w:val="0"/>
        <w:adjustRightInd w:val="0"/>
        <w:snapToGrid w:val="0"/>
        <w:spacing w:line="360" w:lineRule="auto"/>
        <w:ind w:left="420" w:firstLineChars="0"/>
        <w:rPr>
          <w:rFonts w:cs="宋体"/>
          <w:szCs w:val="24"/>
          <w:lang w:val="zh-CN"/>
        </w:rPr>
      </w:pPr>
      <w:r>
        <w:rPr>
          <w:rFonts w:hint="eastAsia" w:cs="宋体"/>
          <w:szCs w:val="24"/>
          <w:lang w:val="zh-CN"/>
        </w:rPr>
        <w:t>特殊情况下，在投标有效期截止前，集中采购机构或采购人可以要求投标人延长投标有效期。投标人可同意或拒绝这种要求，同意延长投标有效期的，延长期限协调确定但不得修改其它投标内容；拒绝延长投标有效期的，其投标文件在有效期满后将失效。</w:t>
      </w:r>
    </w:p>
    <w:p>
      <w:pPr>
        <w:pStyle w:val="43"/>
        <w:numPr>
          <w:ilvl w:val="0"/>
          <w:numId w:val="9"/>
        </w:numPr>
        <w:spacing w:line="360" w:lineRule="auto"/>
        <w:ind w:left="284" w:hanging="284" w:firstLineChars="0"/>
        <w:rPr>
          <w:b/>
          <w:szCs w:val="24"/>
          <w:lang w:val="zh-CN"/>
        </w:rPr>
      </w:pPr>
      <w:bookmarkStart w:id="203" w:name="_Toc102116006"/>
      <w:bookmarkStart w:id="204" w:name="_Toc102119837"/>
      <w:bookmarkStart w:id="205" w:name="_Toc102116136"/>
      <w:bookmarkStart w:id="206" w:name="_Toc102056202"/>
      <w:bookmarkStart w:id="207" w:name="_Toc102057702"/>
      <w:bookmarkStart w:id="208" w:name="_Toc102114904"/>
      <w:r>
        <w:rPr>
          <w:rFonts w:hint="eastAsia"/>
          <w:b/>
          <w:szCs w:val="24"/>
          <w:lang w:val="zh-CN"/>
        </w:rPr>
        <w:t>投标文件签署</w:t>
      </w:r>
      <w:bookmarkEnd w:id="203"/>
      <w:bookmarkEnd w:id="204"/>
      <w:bookmarkEnd w:id="205"/>
      <w:bookmarkEnd w:id="206"/>
      <w:bookmarkEnd w:id="207"/>
      <w:bookmarkEnd w:id="208"/>
    </w:p>
    <w:p>
      <w:pPr>
        <w:pStyle w:val="43"/>
        <w:numPr>
          <w:ilvl w:val="0"/>
          <w:numId w:val="28"/>
        </w:numPr>
        <w:wordWrap w:val="0"/>
        <w:adjustRightInd w:val="0"/>
        <w:snapToGrid w:val="0"/>
        <w:spacing w:line="360" w:lineRule="auto"/>
        <w:ind w:left="420" w:firstLineChars="0"/>
        <w:rPr>
          <w:rFonts w:cs="宋体"/>
          <w:szCs w:val="24"/>
          <w:lang w:val="zh-CN"/>
        </w:rPr>
      </w:pPr>
      <w:r>
        <w:rPr>
          <w:rFonts w:hint="eastAsia" w:cs="宋体"/>
          <w:szCs w:val="24"/>
          <w:lang w:val="zh-CN"/>
        </w:rPr>
        <w:t>投标人应按要求对投标文件（含投标文件&lt;PDF格式&gt;和投标数据文件&lt;PDF格式&gt;）需要加盖公章的部位加盖公章（电子公章），需要法定代表人签字或签章的部位应由法定代表人签字（签章）或加盖法定代表人电子人名章；电子章与相应的实物章、签字具有同等法律效力。</w:t>
      </w:r>
    </w:p>
    <w:p>
      <w:pPr>
        <w:pStyle w:val="43"/>
        <w:numPr>
          <w:ilvl w:val="0"/>
          <w:numId w:val="28"/>
        </w:numPr>
        <w:wordWrap w:val="0"/>
        <w:adjustRightInd w:val="0"/>
        <w:snapToGrid w:val="0"/>
        <w:spacing w:line="360" w:lineRule="auto"/>
        <w:ind w:left="420" w:firstLineChars="0"/>
        <w:rPr>
          <w:rFonts w:cs="宋体"/>
          <w:szCs w:val="24"/>
          <w:lang w:val="zh-CN"/>
        </w:rPr>
      </w:pPr>
      <w:r>
        <w:rPr>
          <w:rFonts w:hint="eastAsia" w:cs="宋体"/>
          <w:szCs w:val="24"/>
          <w:lang w:val="zh-CN"/>
        </w:rPr>
        <w:tab/>
      </w:r>
      <w:r>
        <w:rPr>
          <w:rFonts w:hint="eastAsia" w:cs="宋体"/>
          <w:szCs w:val="24"/>
          <w:lang w:val="zh-CN"/>
        </w:rPr>
        <w:t>投标文件（PDF格式）签章：投标人应用带电子签章功能的CA数字证书登陆电子采购平台，使用文件签章菜单的“标书签章”功能将编制好的Word格式投标文件（若有签名和盖章的资料，应先将其扫描件编入Word格式文件中）转换为PDF格式加盖电子印章。</w:t>
      </w:r>
    </w:p>
    <w:p>
      <w:pPr>
        <w:pStyle w:val="43"/>
        <w:numPr>
          <w:ilvl w:val="0"/>
          <w:numId w:val="28"/>
        </w:numPr>
        <w:wordWrap w:val="0"/>
        <w:adjustRightInd w:val="0"/>
        <w:snapToGrid w:val="0"/>
        <w:spacing w:line="360" w:lineRule="auto"/>
        <w:ind w:left="420" w:firstLineChars="0"/>
        <w:rPr>
          <w:rFonts w:cs="宋体"/>
          <w:szCs w:val="24"/>
          <w:lang w:val="zh-CN"/>
        </w:rPr>
      </w:pPr>
      <w:r>
        <w:rPr>
          <w:rFonts w:hint="eastAsia" w:cs="宋体"/>
          <w:szCs w:val="24"/>
          <w:lang w:val="zh-CN"/>
        </w:rPr>
        <w:t>投标数据文件（PDF格式）签章：应通过电子采购平台的文件签章菜单的“数据签章”功能将填写完毕的投标数据文件（Excel格式）转换为PDF格式加盖电子印章。</w:t>
      </w:r>
    </w:p>
    <w:p>
      <w:pPr>
        <w:pStyle w:val="43"/>
        <w:numPr>
          <w:ilvl w:val="0"/>
          <w:numId w:val="28"/>
        </w:numPr>
        <w:wordWrap w:val="0"/>
        <w:adjustRightInd w:val="0"/>
        <w:snapToGrid w:val="0"/>
        <w:spacing w:line="360" w:lineRule="auto"/>
        <w:ind w:left="420" w:firstLineChars="0"/>
        <w:rPr>
          <w:rFonts w:cs="宋体"/>
          <w:szCs w:val="24"/>
          <w:lang w:val="zh-CN"/>
        </w:rPr>
      </w:pPr>
      <w:r>
        <w:rPr>
          <w:rFonts w:hint="eastAsia" w:cs="宋体"/>
          <w:szCs w:val="24"/>
          <w:lang w:val="zh-CN"/>
        </w:rPr>
        <w:t>以联合体形式投标的，联合体成员都应在投标文件上加盖公章或电子公章。</w:t>
      </w:r>
    </w:p>
    <w:p>
      <w:pPr>
        <w:pStyle w:val="43"/>
        <w:numPr>
          <w:ilvl w:val="0"/>
          <w:numId w:val="28"/>
        </w:numPr>
        <w:wordWrap w:val="0"/>
        <w:adjustRightInd w:val="0"/>
        <w:snapToGrid w:val="0"/>
        <w:spacing w:line="360" w:lineRule="auto"/>
        <w:ind w:left="420" w:firstLineChars="0"/>
        <w:rPr>
          <w:rFonts w:cs="宋体"/>
          <w:szCs w:val="24"/>
          <w:lang w:val="zh-CN"/>
        </w:rPr>
      </w:pPr>
      <w:r>
        <w:rPr>
          <w:rFonts w:hint="eastAsia" w:cs="宋体"/>
          <w:szCs w:val="24"/>
          <w:lang w:val="zh-CN"/>
        </w:rPr>
        <w:t>未按招标文件要求盖章或签字（签章）的，按照</w:t>
      </w:r>
      <w:r>
        <w:rPr>
          <w:rFonts w:hint="eastAsia" w:cs="宋体"/>
          <w:b/>
          <w:bCs/>
          <w:szCs w:val="24"/>
          <w:lang w:val="zh-CN"/>
        </w:rPr>
        <w:t>无效投标处理</w:t>
      </w:r>
      <w:r>
        <w:rPr>
          <w:rFonts w:hint="eastAsia" w:cs="宋体"/>
          <w:szCs w:val="24"/>
          <w:lang w:val="zh-CN"/>
        </w:rPr>
        <w:t>。</w:t>
      </w:r>
    </w:p>
    <w:p>
      <w:pPr>
        <w:pStyle w:val="43"/>
        <w:numPr>
          <w:ilvl w:val="0"/>
          <w:numId w:val="9"/>
        </w:numPr>
        <w:spacing w:line="360" w:lineRule="auto"/>
        <w:ind w:left="284" w:hanging="284" w:firstLineChars="0"/>
        <w:rPr>
          <w:b/>
          <w:szCs w:val="24"/>
          <w:lang w:val="zh-CN"/>
        </w:rPr>
      </w:pPr>
      <w:bookmarkStart w:id="209" w:name="_Toc102119838"/>
      <w:bookmarkStart w:id="210" w:name="_Toc102057703"/>
      <w:bookmarkStart w:id="211" w:name="_Toc102116137"/>
      <w:bookmarkStart w:id="212" w:name="_Toc102114905"/>
      <w:bookmarkStart w:id="213" w:name="_Toc102056203"/>
      <w:bookmarkStart w:id="214" w:name="_Toc102116007"/>
      <w:r>
        <w:rPr>
          <w:rFonts w:hint="eastAsia"/>
          <w:b/>
          <w:szCs w:val="24"/>
          <w:lang w:val="zh-CN"/>
        </w:rPr>
        <w:t>投标文件加密与提交</w:t>
      </w:r>
      <w:bookmarkEnd w:id="209"/>
      <w:bookmarkEnd w:id="210"/>
      <w:bookmarkEnd w:id="211"/>
      <w:bookmarkEnd w:id="212"/>
      <w:bookmarkEnd w:id="213"/>
      <w:bookmarkEnd w:id="214"/>
    </w:p>
    <w:p>
      <w:pPr>
        <w:pStyle w:val="43"/>
        <w:numPr>
          <w:ilvl w:val="0"/>
          <w:numId w:val="29"/>
        </w:numPr>
        <w:wordWrap w:val="0"/>
        <w:adjustRightInd w:val="0"/>
        <w:snapToGrid w:val="0"/>
        <w:spacing w:line="360" w:lineRule="auto"/>
        <w:ind w:left="420" w:firstLineChars="0"/>
        <w:rPr>
          <w:rFonts w:cs="宋体"/>
          <w:szCs w:val="24"/>
          <w:lang w:val="zh-CN"/>
        </w:rPr>
      </w:pPr>
      <w:r>
        <w:rPr>
          <w:rFonts w:hint="eastAsia" w:cs="宋体"/>
          <w:szCs w:val="24"/>
          <w:lang w:val="zh-CN"/>
        </w:rPr>
        <w:t>投标人应按“第一章 投标邀请”中规定的时间前在电子采购平台上提交投标文件，并按电子采购平台提示，设置投标文件加密密码。投标人应牢记投标文件加密密码并严格保密，该密码将用于解密其投标文件。因忘记密码无法解密投标文件的，导致的后果由投标人自行承担。</w:t>
      </w:r>
    </w:p>
    <w:p>
      <w:pPr>
        <w:pStyle w:val="43"/>
        <w:numPr>
          <w:ilvl w:val="0"/>
          <w:numId w:val="29"/>
        </w:numPr>
        <w:wordWrap w:val="0"/>
        <w:adjustRightInd w:val="0"/>
        <w:snapToGrid w:val="0"/>
        <w:spacing w:line="360" w:lineRule="auto"/>
        <w:ind w:left="420" w:firstLineChars="0"/>
        <w:rPr>
          <w:rFonts w:cs="宋体"/>
          <w:szCs w:val="24"/>
          <w:lang w:val="zh-CN"/>
        </w:rPr>
      </w:pPr>
      <w:r>
        <w:rPr>
          <w:rFonts w:hint="eastAsia" w:cs="宋体"/>
          <w:szCs w:val="24"/>
          <w:lang w:val="zh-CN"/>
        </w:rPr>
        <w:t>投标人应充分评估集中同时投标带来的网络影响，尽量避开投标高峰时间，错峰进行电子投标。电子采购平台收到投标文件后，将向投标人出具电子签收回执。</w:t>
      </w:r>
    </w:p>
    <w:p>
      <w:pPr>
        <w:pStyle w:val="43"/>
        <w:numPr>
          <w:ilvl w:val="0"/>
          <w:numId w:val="29"/>
        </w:numPr>
        <w:wordWrap w:val="0"/>
        <w:adjustRightInd w:val="0"/>
        <w:snapToGrid w:val="0"/>
        <w:spacing w:line="360" w:lineRule="auto"/>
        <w:ind w:left="420" w:firstLineChars="0"/>
        <w:rPr>
          <w:rFonts w:cs="宋体"/>
          <w:szCs w:val="24"/>
          <w:lang w:val="zh-CN"/>
        </w:rPr>
      </w:pPr>
      <w:r>
        <w:rPr>
          <w:rFonts w:hint="eastAsia" w:cs="宋体"/>
          <w:szCs w:val="24"/>
          <w:lang w:val="zh-CN"/>
        </w:rPr>
        <w:t>投标文件提交时间以电子采购平台显示为准，系统以收到投标人发出的提交指令时间作为其投标时间。超过提交投标文件截止时间的投标文件，</w:t>
      </w:r>
      <w:r>
        <w:rPr>
          <w:rFonts w:hint="eastAsia" w:cs="宋体"/>
          <w:b/>
          <w:bCs/>
          <w:szCs w:val="24"/>
          <w:lang w:val="zh-CN"/>
        </w:rPr>
        <w:t>集中采购机构将拒收</w:t>
      </w:r>
      <w:r>
        <w:rPr>
          <w:rFonts w:hint="eastAsia" w:cs="宋体"/>
          <w:szCs w:val="24"/>
          <w:lang w:val="zh-CN"/>
        </w:rPr>
        <w:t>。</w:t>
      </w:r>
    </w:p>
    <w:p>
      <w:pPr>
        <w:pStyle w:val="43"/>
        <w:numPr>
          <w:ilvl w:val="0"/>
          <w:numId w:val="29"/>
        </w:numPr>
        <w:wordWrap w:val="0"/>
        <w:adjustRightInd w:val="0"/>
        <w:snapToGrid w:val="0"/>
        <w:spacing w:line="360" w:lineRule="auto"/>
        <w:ind w:left="420" w:firstLineChars="0"/>
        <w:rPr>
          <w:rFonts w:cs="宋体"/>
          <w:szCs w:val="24"/>
          <w:lang w:val="zh-CN"/>
        </w:rPr>
      </w:pPr>
      <w:r>
        <w:rPr>
          <w:rFonts w:hint="eastAsia" w:cs="宋体"/>
          <w:szCs w:val="24"/>
          <w:lang w:val="zh-CN"/>
        </w:rPr>
        <w:t>投标人应将电子采购平台上盖章且未加密的投标文件下载妥善保存，以便启动应急开标程序时使用。</w:t>
      </w:r>
    </w:p>
    <w:p>
      <w:pPr>
        <w:pStyle w:val="43"/>
        <w:numPr>
          <w:ilvl w:val="0"/>
          <w:numId w:val="9"/>
        </w:numPr>
        <w:spacing w:line="360" w:lineRule="auto"/>
        <w:ind w:left="284" w:hanging="284" w:firstLineChars="0"/>
        <w:rPr>
          <w:b/>
          <w:szCs w:val="24"/>
          <w:lang w:val="zh-CN"/>
        </w:rPr>
      </w:pPr>
      <w:bookmarkStart w:id="215" w:name="_Toc102056204"/>
      <w:bookmarkStart w:id="216" w:name="_Toc102119839"/>
      <w:bookmarkStart w:id="217" w:name="_Toc102116008"/>
      <w:bookmarkStart w:id="218" w:name="_Toc102114906"/>
      <w:bookmarkStart w:id="219" w:name="_Toc102116138"/>
      <w:bookmarkStart w:id="220" w:name="_Toc102057704"/>
      <w:r>
        <w:rPr>
          <w:rFonts w:hint="eastAsia"/>
          <w:b/>
          <w:szCs w:val="24"/>
          <w:lang w:val="zh-CN"/>
        </w:rPr>
        <w:t>投标文件的修改和撤回</w:t>
      </w:r>
      <w:bookmarkEnd w:id="215"/>
      <w:bookmarkEnd w:id="216"/>
      <w:bookmarkEnd w:id="217"/>
      <w:bookmarkEnd w:id="218"/>
      <w:bookmarkEnd w:id="219"/>
      <w:bookmarkEnd w:id="220"/>
    </w:p>
    <w:p>
      <w:pPr>
        <w:pStyle w:val="43"/>
        <w:numPr>
          <w:ilvl w:val="0"/>
          <w:numId w:val="30"/>
        </w:numPr>
        <w:wordWrap w:val="0"/>
        <w:adjustRightInd w:val="0"/>
        <w:snapToGrid w:val="0"/>
        <w:spacing w:line="360" w:lineRule="auto"/>
        <w:ind w:left="420" w:firstLineChars="0"/>
        <w:rPr>
          <w:rFonts w:cs="宋体"/>
          <w:szCs w:val="24"/>
          <w:lang w:val="zh-CN"/>
        </w:rPr>
      </w:pPr>
      <w:r>
        <w:rPr>
          <w:rFonts w:hint="eastAsia" w:cs="宋体"/>
          <w:szCs w:val="24"/>
          <w:lang w:val="zh-CN"/>
        </w:rPr>
        <w:t>投标人在投标截止时间前，可以对所提交的投标文件进行补充、修改或者撤回。补充、修改的内容应当按照招标文件要求签署、盖章后，作为投标文件的组成部分。</w:t>
      </w:r>
    </w:p>
    <w:p>
      <w:pPr>
        <w:pStyle w:val="43"/>
        <w:numPr>
          <w:ilvl w:val="0"/>
          <w:numId w:val="30"/>
        </w:numPr>
        <w:wordWrap w:val="0"/>
        <w:adjustRightInd w:val="0"/>
        <w:snapToGrid w:val="0"/>
        <w:spacing w:line="360" w:lineRule="auto"/>
        <w:ind w:left="420" w:firstLineChars="0"/>
        <w:rPr>
          <w:rFonts w:cs="宋体"/>
          <w:szCs w:val="24"/>
          <w:lang w:val="zh-CN"/>
        </w:rPr>
      </w:pPr>
      <w:r>
        <w:rPr>
          <w:rFonts w:hint="eastAsia" w:cs="宋体"/>
          <w:szCs w:val="24"/>
          <w:lang w:val="zh-CN"/>
        </w:rPr>
        <w:t>投标截止后，投标有效期内投标人不得撤销其投标文件。</w:t>
      </w:r>
    </w:p>
    <w:p>
      <w:pPr>
        <w:pStyle w:val="43"/>
        <w:numPr>
          <w:ilvl w:val="0"/>
          <w:numId w:val="9"/>
        </w:numPr>
        <w:spacing w:line="360" w:lineRule="auto"/>
        <w:ind w:left="284" w:hanging="284" w:firstLineChars="0"/>
        <w:rPr>
          <w:b/>
          <w:szCs w:val="24"/>
          <w:lang w:val="zh-CN"/>
        </w:rPr>
      </w:pPr>
      <w:bookmarkStart w:id="221" w:name="_Toc102114907"/>
      <w:bookmarkStart w:id="222" w:name="_Toc102116139"/>
      <w:bookmarkStart w:id="223" w:name="_Toc102119840"/>
      <w:bookmarkStart w:id="224" w:name="_Toc102056205"/>
      <w:bookmarkStart w:id="225" w:name="_Toc102116009"/>
      <w:bookmarkStart w:id="226" w:name="_Toc102057705"/>
      <w:r>
        <w:rPr>
          <w:rFonts w:hint="eastAsia"/>
          <w:b/>
          <w:szCs w:val="24"/>
          <w:lang w:val="zh-CN"/>
        </w:rPr>
        <w:t>投标无效情形</w:t>
      </w:r>
      <w:bookmarkEnd w:id="221"/>
      <w:bookmarkEnd w:id="222"/>
      <w:bookmarkEnd w:id="223"/>
      <w:bookmarkEnd w:id="224"/>
      <w:bookmarkEnd w:id="225"/>
      <w:bookmarkEnd w:id="226"/>
    </w:p>
    <w:p>
      <w:pPr>
        <w:pStyle w:val="43"/>
        <w:numPr>
          <w:ilvl w:val="0"/>
          <w:numId w:val="31"/>
        </w:numPr>
        <w:wordWrap w:val="0"/>
        <w:adjustRightInd w:val="0"/>
        <w:snapToGrid w:val="0"/>
        <w:spacing w:line="360" w:lineRule="auto"/>
        <w:ind w:left="420" w:firstLineChars="0"/>
        <w:rPr>
          <w:rFonts w:cs="宋体"/>
          <w:szCs w:val="24"/>
          <w:lang w:val="zh-CN"/>
        </w:rPr>
      </w:pPr>
      <w:r>
        <w:rPr>
          <w:rFonts w:hint="eastAsia" w:cs="宋体"/>
          <w:szCs w:val="24"/>
          <w:lang w:val="zh-CN"/>
        </w:rPr>
        <w:t>有下列情形之一的，视为投标人串通投标，其投标无效：</w:t>
      </w:r>
    </w:p>
    <w:p>
      <w:pPr>
        <w:tabs>
          <w:tab w:val="left" w:pos="993"/>
        </w:tabs>
        <w:wordWrap w:val="0"/>
        <w:adjustRightInd w:val="0"/>
        <w:snapToGrid w:val="0"/>
        <w:spacing w:line="360" w:lineRule="auto"/>
        <w:ind w:firstLine="480" w:firstLineChars="200"/>
        <w:rPr>
          <w:rFonts w:cs="宋体"/>
          <w:szCs w:val="24"/>
          <w:lang w:val="zh-CN"/>
        </w:rPr>
      </w:pPr>
      <w:r>
        <w:rPr>
          <w:rFonts w:hint="eastAsia" w:cs="宋体"/>
          <w:szCs w:val="24"/>
          <w:lang w:val="zh-CN"/>
        </w:rPr>
        <w:t>（1）不同投标人的投标文件由同一单位或者个人编制；</w:t>
      </w:r>
    </w:p>
    <w:p>
      <w:pPr>
        <w:tabs>
          <w:tab w:val="left" w:pos="993"/>
        </w:tabs>
        <w:wordWrap w:val="0"/>
        <w:adjustRightInd w:val="0"/>
        <w:snapToGrid w:val="0"/>
        <w:spacing w:line="360" w:lineRule="auto"/>
        <w:ind w:firstLine="480" w:firstLineChars="200"/>
        <w:rPr>
          <w:rFonts w:cs="宋体"/>
          <w:szCs w:val="24"/>
          <w:lang w:val="zh-CN"/>
        </w:rPr>
      </w:pPr>
      <w:r>
        <w:rPr>
          <w:rFonts w:hint="eastAsia" w:cs="宋体"/>
          <w:szCs w:val="24"/>
          <w:lang w:val="zh-CN"/>
        </w:rPr>
        <w:t>（2）不同投标人委托同一单位或者个人办理投标事宜；</w:t>
      </w:r>
    </w:p>
    <w:p>
      <w:pPr>
        <w:tabs>
          <w:tab w:val="left" w:pos="993"/>
        </w:tabs>
        <w:wordWrap w:val="0"/>
        <w:adjustRightInd w:val="0"/>
        <w:snapToGrid w:val="0"/>
        <w:spacing w:line="360" w:lineRule="auto"/>
        <w:ind w:firstLine="480" w:firstLineChars="200"/>
        <w:rPr>
          <w:rFonts w:cs="宋体"/>
          <w:szCs w:val="24"/>
          <w:lang w:val="zh-CN"/>
        </w:rPr>
      </w:pPr>
      <w:r>
        <w:rPr>
          <w:rFonts w:hint="eastAsia" w:cs="宋体"/>
          <w:szCs w:val="24"/>
          <w:lang w:val="zh-CN"/>
        </w:rPr>
        <w:t>（3）不同投标人的投标文件载明的项目管理成员或者联系人员为同一人；</w:t>
      </w:r>
    </w:p>
    <w:p>
      <w:pPr>
        <w:tabs>
          <w:tab w:val="left" w:pos="993"/>
        </w:tabs>
        <w:wordWrap w:val="0"/>
        <w:adjustRightInd w:val="0"/>
        <w:snapToGrid w:val="0"/>
        <w:spacing w:line="360" w:lineRule="auto"/>
        <w:ind w:firstLine="480" w:firstLineChars="200"/>
        <w:rPr>
          <w:rFonts w:cs="宋体"/>
          <w:szCs w:val="24"/>
          <w:lang w:val="zh-CN"/>
        </w:rPr>
      </w:pPr>
      <w:r>
        <w:rPr>
          <w:rFonts w:hint="eastAsia" w:cs="宋体"/>
          <w:szCs w:val="24"/>
          <w:lang w:val="zh-CN"/>
        </w:rPr>
        <w:t>（4）不同投标人的投标文件异常一致或者投标报价呈规律性差异；</w:t>
      </w:r>
    </w:p>
    <w:p>
      <w:pPr>
        <w:tabs>
          <w:tab w:val="left" w:pos="993"/>
        </w:tabs>
        <w:wordWrap w:val="0"/>
        <w:adjustRightInd w:val="0"/>
        <w:snapToGrid w:val="0"/>
        <w:spacing w:line="360" w:lineRule="auto"/>
        <w:ind w:firstLine="480" w:firstLineChars="200"/>
        <w:rPr>
          <w:rFonts w:cs="宋体"/>
          <w:szCs w:val="24"/>
          <w:lang w:val="zh-CN"/>
        </w:rPr>
      </w:pPr>
      <w:r>
        <w:rPr>
          <w:rFonts w:hint="eastAsia" w:cs="宋体"/>
          <w:szCs w:val="24"/>
          <w:lang w:val="zh-CN"/>
        </w:rPr>
        <w:t>（5）不同投标人的投标文件相互混装；</w:t>
      </w:r>
    </w:p>
    <w:p>
      <w:pPr>
        <w:tabs>
          <w:tab w:val="left" w:pos="993"/>
        </w:tabs>
        <w:wordWrap w:val="0"/>
        <w:adjustRightInd w:val="0"/>
        <w:snapToGrid w:val="0"/>
        <w:spacing w:line="360" w:lineRule="auto"/>
        <w:ind w:firstLine="480" w:firstLineChars="200"/>
        <w:rPr>
          <w:rFonts w:cs="宋体"/>
          <w:szCs w:val="24"/>
          <w:lang w:val="zh-CN"/>
        </w:rPr>
      </w:pPr>
      <w:r>
        <w:rPr>
          <w:rFonts w:hint="eastAsia" w:cs="宋体"/>
          <w:szCs w:val="24"/>
          <w:lang w:val="zh-CN"/>
        </w:rPr>
        <w:t>（6）不同投标人使用同一电脑（机器特征值一致：如MAC地址等）或使用同一电子密钥，编制或上传电子投标文件。</w:t>
      </w:r>
    </w:p>
    <w:p>
      <w:pPr>
        <w:pStyle w:val="43"/>
        <w:numPr>
          <w:ilvl w:val="0"/>
          <w:numId w:val="31"/>
        </w:numPr>
        <w:wordWrap w:val="0"/>
        <w:adjustRightInd w:val="0"/>
        <w:snapToGrid w:val="0"/>
        <w:spacing w:line="360" w:lineRule="auto"/>
        <w:ind w:left="420" w:firstLineChars="0"/>
        <w:rPr>
          <w:rFonts w:cs="宋体"/>
          <w:szCs w:val="24"/>
          <w:lang w:val="zh-CN"/>
        </w:rPr>
      </w:pPr>
      <w:r>
        <w:rPr>
          <w:rFonts w:hint="eastAsia" w:cs="宋体"/>
          <w:szCs w:val="24"/>
          <w:lang w:val="zh-CN"/>
        </w:rPr>
        <w:t>符合“第四章 资格审查”和“第五章 评标办法”中规定的投标无效情形的。</w:t>
      </w:r>
    </w:p>
    <w:bookmarkEnd w:id="137"/>
    <w:bookmarkEnd w:id="138"/>
    <w:p>
      <w:pPr>
        <w:pStyle w:val="3"/>
        <w:numPr>
          <w:ilvl w:val="0"/>
          <w:numId w:val="8"/>
        </w:numPr>
        <w:adjustRightInd w:val="0"/>
        <w:snapToGrid w:val="0"/>
        <w:spacing w:before="218" w:beforeLines="70" w:after="0" w:line="360" w:lineRule="auto"/>
        <w:ind w:left="658" w:hanging="658"/>
        <w:jc w:val="center"/>
        <w:rPr>
          <w:rFonts w:ascii="宋体" w:hAnsi="宋体" w:eastAsia="宋体" w:cs="Times New Roman"/>
          <w:bCs w:val="0"/>
          <w:sz w:val="28"/>
          <w:szCs w:val="28"/>
          <w:lang w:val="zh-CN"/>
        </w:rPr>
      </w:pPr>
      <w:bookmarkStart w:id="227" w:name="_Toc102116011"/>
      <w:bookmarkStart w:id="228" w:name="_Toc102057707"/>
      <w:bookmarkStart w:id="229" w:name="_Toc102116141"/>
      <w:bookmarkStart w:id="230" w:name="_Toc511889420"/>
      <w:bookmarkStart w:id="231" w:name="_Toc102119842"/>
      <w:bookmarkStart w:id="232" w:name="_Toc511894498"/>
      <w:bookmarkStart w:id="233" w:name="_Toc102056207"/>
      <w:bookmarkStart w:id="234" w:name="_Toc102114909"/>
      <w:bookmarkStart w:id="235" w:name="_Toc117244353"/>
      <w:bookmarkStart w:id="236" w:name="_Toc4848"/>
      <w:bookmarkStart w:id="237" w:name="_Toc117244468"/>
      <w:bookmarkStart w:id="238" w:name="_Toc5698"/>
      <w:r>
        <w:rPr>
          <w:rFonts w:hint="eastAsia" w:ascii="宋体" w:hAnsi="宋体" w:eastAsia="宋体" w:cs="Times New Roman"/>
          <w:bCs w:val="0"/>
          <w:sz w:val="28"/>
          <w:szCs w:val="28"/>
          <w:lang w:val="zh-CN"/>
        </w:rPr>
        <w:t>开标</w:t>
      </w:r>
      <w:bookmarkEnd w:id="227"/>
      <w:bookmarkEnd w:id="228"/>
      <w:bookmarkEnd w:id="229"/>
      <w:bookmarkEnd w:id="230"/>
      <w:bookmarkEnd w:id="231"/>
      <w:bookmarkEnd w:id="232"/>
      <w:bookmarkEnd w:id="233"/>
      <w:bookmarkEnd w:id="234"/>
      <w:r>
        <w:rPr>
          <w:rFonts w:hint="eastAsia" w:ascii="宋体" w:hAnsi="宋体" w:eastAsia="宋体" w:cs="Times New Roman"/>
          <w:bCs w:val="0"/>
          <w:sz w:val="28"/>
          <w:szCs w:val="28"/>
          <w:lang w:val="zh-CN"/>
        </w:rPr>
        <w:t>与评标</w:t>
      </w:r>
      <w:bookmarkEnd w:id="235"/>
      <w:bookmarkEnd w:id="236"/>
      <w:bookmarkEnd w:id="237"/>
      <w:bookmarkEnd w:id="238"/>
    </w:p>
    <w:p>
      <w:pPr>
        <w:pStyle w:val="43"/>
        <w:numPr>
          <w:ilvl w:val="0"/>
          <w:numId w:val="9"/>
        </w:numPr>
        <w:spacing w:line="360" w:lineRule="auto"/>
        <w:ind w:left="284" w:hanging="284" w:firstLineChars="0"/>
        <w:rPr>
          <w:b/>
          <w:szCs w:val="24"/>
          <w:lang w:val="zh-CN"/>
        </w:rPr>
      </w:pPr>
      <w:bookmarkStart w:id="239" w:name="_Toc102119843"/>
      <w:bookmarkStart w:id="240" w:name="_Toc102116012"/>
      <w:bookmarkStart w:id="241" w:name="_Toc102114910"/>
      <w:bookmarkStart w:id="242" w:name="_Toc102056208"/>
      <w:bookmarkStart w:id="243" w:name="_Toc102057708"/>
      <w:bookmarkStart w:id="244" w:name="_Toc102116142"/>
      <w:r>
        <w:rPr>
          <w:rFonts w:hint="eastAsia"/>
          <w:b/>
          <w:szCs w:val="24"/>
          <w:lang w:val="zh-CN"/>
        </w:rPr>
        <w:t>开标</w:t>
      </w:r>
      <w:bookmarkEnd w:id="239"/>
      <w:bookmarkEnd w:id="240"/>
      <w:bookmarkEnd w:id="241"/>
      <w:bookmarkEnd w:id="242"/>
      <w:bookmarkEnd w:id="243"/>
      <w:bookmarkEnd w:id="244"/>
      <w:r>
        <w:rPr>
          <w:rFonts w:hint="eastAsia"/>
          <w:b/>
          <w:szCs w:val="24"/>
          <w:lang w:val="zh-CN"/>
        </w:rPr>
        <w:t>程序</w:t>
      </w:r>
    </w:p>
    <w:p>
      <w:pPr>
        <w:pStyle w:val="43"/>
        <w:numPr>
          <w:ilvl w:val="0"/>
          <w:numId w:val="32"/>
        </w:numPr>
        <w:wordWrap w:val="0"/>
        <w:adjustRightInd w:val="0"/>
        <w:snapToGrid w:val="0"/>
        <w:spacing w:line="360" w:lineRule="auto"/>
        <w:ind w:left="420" w:firstLineChars="0"/>
        <w:rPr>
          <w:rFonts w:cs="宋体"/>
          <w:szCs w:val="24"/>
          <w:lang w:val="zh-CN"/>
        </w:rPr>
      </w:pPr>
      <w:bookmarkStart w:id="245" w:name="_Toc152042336"/>
      <w:bookmarkStart w:id="246" w:name="_Toc144974528"/>
      <w:bookmarkStart w:id="247" w:name="_Toc152045560"/>
      <w:bookmarkStart w:id="248" w:name="_Toc179632578"/>
      <w:bookmarkStart w:id="249" w:name="_Toc107387533"/>
      <w:r>
        <w:rPr>
          <w:rFonts w:hint="eastAsia" w:cs="宋体"/>
          <w:szCs w:val="24"/>
          <w:lang w:val="zh-CN"/>
        </w:rPr>
        <w:t>开标时间和地点</w:t>
      </w:r>
      <w:bookmarkEnd w:id="245"/>
      <w:bookmarkEnd w:id="246"/>
      <w:bookmarkEnd w:id="247"/>
      <w:bookmarkEnd w:id="248"/>
      <w:bookmarkEnd w:id="249"/>
    </w:p>
    <w:p>
      <w:pPr>
        <w:tabs>
          <w:tab w:val="left" w:pos="993"/>
        </w:tabs>
        <w:wordWrap w:val="0"/>
        <w:adjustRightInd w:val="0"/>
        <w:snapToGrid w:val="0"/>
        <w:spacing w:line="360" w:lineRule="auto"/>
        <w:ind w:firstLine="480" w:firstLineChars="200"/>
        <w:rPr>
          <w:szCs w:val="24"/>
        </w:rPr>
      </w:pPr>
      <w:r>
        <w:rPr>
          <w:rFonts w:hint="eastAsia"/>
          <w:szCs w:val="24"/>
        </w:rPr>
        <w:t>（1）提交投标文件截止时间前，投标人应</w:t>
      </w:r>
      <w:r>
        <w:rPr>
          <w:szCs w:val="24"/>
        </w:rPr>
        <w:t>使用</w:t>
      </w:r>
      <w:r>
        <w:rPr>
          <w:rFonts w:hint="eastAsia"/>
          <w:b/>
          <w:bCs/>
          <w:szCs w:val="24"/>
        </w:rPr>
        <w:t>加密其投标文件的CA数字证书</w:t>
      </w:r>
      <w:r>
        <w:rPr>
          <w:rFonts w:hint="eastAsia"/>
          <w:szCs w:val="24"/>
        </w:rPr>
        <w:t>登录电子采购平台，进入“开标大厅”选择所投项目</w:t>
      </w:r>
      <w:r>
        <w:rPr>
          <w:szCs w:val="24"/>
        </w:rPr>
        <w:t>（或</w:t>
      </w:r>
      <w:r>
        <w:rPr>
          <w:rFonts w:hint="eastAsia"/>
          <w:szCs w:val="24"/>
        </w:rPr>
        <w:t>包段）做好开标准备工作、投标文件解密准备工作；</w:t>
      </w:r>
    </w:p>
    <w:p>
      <w:pPr>
        <w:tabs>
          <w:tab w:val="left" w:pos="993"/>
        </w:tabs>
        <w:wordWrap w:val="0"/>
        <w:adjustRightInd w:val="0"/>
        <w:snapToGrid w:val="0"/>
        <w:spacing w:line="360" w:lineRule="auto"/>
        <w:ind w:firstLine="480" w:firstLineChars="200"/>
        <w:rPr>
          <w:strike/>
          <w:szCs w:val="24"/>
          <w:u w:val="single"/>
        </w:rPr>
      </w:pPr>
      <w:r>
        <w:rPr>
          <w:rFonts w:hint="eastAsia"/>
          <w:szCs w:val="24"/>
        </w:rPr>
        <w:t>（</w:t>
      </w:r>
      <w:r>
        <w:rPr>
          <w:szCs w:val="24"/>
        </w:rPr>
        <w:t>2</w:t>
      </w:r>
      <w:r>
        <w:rPr>
          <w:rFonts w:hint="eastAsia"/>
          <w:szCs w:val="24"/>
        </w:rPr>
        <w:t>）</w:t>
      </w:r>
      <w:r>
        <w:rPr>
          <w:rFonts w:hint="eastAsia"/>
          <w:szCs w:val="24"/>
          <w:lang w:val="zh-CN"/>
        </w:rPr>
        <w:t>在“第一章 投标邀请”约定的投标截止时间、开标时间及地点，集中采购</w:t>
      </w:r>
      <w:r>
        <w:rPr>
          <w:rFonts w:hint="eastAsia" w:cs="宋体"/>
          <w:szCs w:val="24"/>
          <w:lang w:val="zh-CN"/>
        </w:rPr>
        <w:t>机构通过互联网</w:t>
      </w:r>
      <w:r>
        <w:rPr>
          <w:rFonts w:hint="eastAsia"/>
          <w:szCs w:val="24"/>
          <w:lang w:val="zh-CN"/>
        </w:rPr>
        <w:t>在电子采购平台“开标大厅”公开组织开标工作；</w:t>
      </w:r>
    </w:p>
    <w:p>
      <w:pPr>
        <w:tabs>
          <w:tab w:val="left" w:pos="993"/>
        </w:tabs>
        <w:wordWrap w:val="0"/>
        <w:adjustRightInd w:val="0"/>
        <w:snapToGrid w:val="0"/>
        <w:spacing w:line="360" w:lineRule="auto"/>
        <w:ind w:firstLine="480" w:firstLineChars="200"/>
        <w:rPr>
          <w:szCs w:val="24"/>
        </w:rPr>
      </w:pPr>
      <w:r>
        <w:rPr>
          <w:rFonts w:hint="eastAsia"/>
          <w:szCs w:val="24"/>
          <w:lang w:val="zh-CN"/>
        </w:rPr>
        <w:t>（3）投标人</w:t>
      </w:r>
      <w:r>
        <w:rPr>
          <w:rFonts w:hint="eastAsia"/>
          <w:szCs w:val="24"/>
        </w:rPr>
        <w:t>应当在能够保证设施设备可靠、互联网畅通的地点，使用</w:t>
      </w:r>
      <w:r>
        <w:rPr>
          <w:rFonts w:hint="eastAsia"/>
          <w:b/>
          <w:bCs/>
          <w:szCs w:val="24"/>
        </w:rPr>
        <w:t>加密其投标文件的CA数字证书</w:t>
      </w:r>
      <w:r>
        <w:rPr>
          <w:rFonts w:hint="eastAsia"/>
          <w:szCs w:val="24"/>
        </w:rPr>
        <w:t>登录电子采购平台，按时进入项目“开标大厅”，并实时关注工作</w:t>
      </w:r>
      <w:r>
        <w:rPr>
          <w:szCs w:val="24"/>
        </w:rPr>
        <w:t>人员</w:t>
      </w:r>
      <w:r>
        <w:rPr>
          <w:rFonts w:hint="eastAsia"/>
          <w:szCs w:val="24"/>
        </w:rPr>
        <w:t>直播</w:t>
      </w:r>
      <w:r>
        <w:rPr>
          <w:szCs w:val="24"/>
        </w:rPr>
        <w:t>情况和</w:t>
      </w:r>
      <w:r>
        <w:rPr>
          <w:rFonts w:hint="eastAsia"/>
          <w:szCs w:val="24"/>
        </w:rPr>
        <w:t>操作要求。</w:t>
      </w:r>
    </w:p>
    <w:p>
      <w:pPr>
        <w:pStyle w:val="43"/>
        <w:numPr>
          <w:ilvl w:val="0"/>
          <w:numId w:val="32"/>
        </w:numPr>
        <w:wordWrap w:val="0"/>
        <w:adjustRightInd w:val="0"/>
        <w:snapToGrid w:val="0"/>
        <w:spacing w:line="360" w:lineRule="auto"/>
        <w:ind w:left="420" w:firstLineChars="0"/>
        <w:rPr>
          <w:rFonts w:cs="宋体"/>
          <w:szCs w:val="24"/>
          <w:lang w:val="zh-CN"/>
        </w:rPr>
      </w:pPr>
      <w:r>
        <w:rPr>
          <w:rFonts w:hint="eastAsia" w:cs="宋体"/>
          <w:szCs w:val="24"/>
          <w:lang w:val="zh-CN"/>
        </w:rPr>
        <w:t>投标文件解密：提交投标文件截止时间到后，工作人员启动开始解密指令，投标人应按“</w:t>
      </w:r>
      <w:r>
        <w:rPr>
          <w:rFonts w:hint="eastAsia" w:cs="宋体"/>
          <w:b/>
          <w:bCs/>
          <w:szCs w:val="24"/>
          <w:lang w:val="zh-CN"/>
        </w:rPr>
        <w:t>投标人须知前附表</w:t>
      </w:r>
      <w:r>
        <w:rPr>
          <w:rFonts w:hint="eastAsia" w:cs="宋体"/>
          <w:szCs w:val="24"/>
          <w:lang w:val="zh-CN"/>
        </w:rPr>
        <w:t>”规定及时进行投标文件解密。</w:t>
      </w:r>
    </w:p>
    <w:p>
      <w:pPr>
        <w:pStyle w:val="43"/>
        <w:numPr>
          <w:ilvl w:val="0"/>
          <w:numId w:val="32"/>
        </w:numPr>
        <w:wordWrap w:val="0"/>
        <w:adjustRightInd w:val="0"/>
        <w:snapToGrid w:val="0"/>
        <w:spacing w:line="360" w:lineRule="auto"/>
        <w:ind w:left="420" w:firstLineChars="0"/>
        <w:rPr>
          <w:rFonts w:cs="宋体"/>
          <w:szCs w:val="24"/>
          <w:lang w:val="zh-CN"/>
        </w:rPr>
      </w:pPr>
      <w:r>
        <w:rPr>
          <w:rFonts w:hint="eastAsia" w:cs="宋体"/>
          <w:szCs w:val="24"/>
          <w:lang w:val="zh-CN"/>
        </w:rPr>
        <w:t>在“投标人须知前附表28.2”规定的时间内，投标人非因电子采购平台原因造成投标文件未解密的，</w:t>
      </w:r>
      <w:r>
        <w:rPr>
          <w:rFonts w:hint="eastAsia" w:cs="宋体"/>
          <w:b/>
          <w:bCs/>
          <w:szCs w:val="24"/>
          <w:lang w:val="zh-CN"/>
        </w:rPr>
        <w:t>视为撤回投标文件</w:t>
      </w:r>
      <w:r>
        <w:rPr>
          <w:rFonts w:hint="eastAsia" w:cs="宋体"/>
          <w:szCs w:val="24"/>
          <w:lang w:val="zh-CN"/>
        </w:rPr>
        <w:t>。停止解密后，在部分投标文件未解密的情况下，已解密的投标文件不足3家的，不得开标，项目应按规定作废标处理。</w:t>
      </w:r>
    </w:p>
    <w:p>
      <w:pPr>
        <w:pStyle w:val="43"/>
        <w:numPr>
          <w:ilvl w:val="0"/>
          <w:numId w:val="32"/>
        </w:numPr>
        <w:wordWrap w:val="0"/>
        <w:adjustRightInd w:val="0"/>
        <w:snapToGrid w:val="0"/>
        <w:spacing w:line="360" w:lineRule="auto"/>
        <w:ind w:left="420" w:firstLineChars="0"/>
        <w:rPr>
          <w:rFonts w:cs="宋体"/>
          <w:szCs w:val="24"/>
          <w:lang w:val="zh-CN"/>
        </w:rPr>
      </w:pPr>
      <w:r>
        <w:rPr>
          <w:rFonts w:hint="eastAsia" w:cs="宋体"/>
          <w:szCs w:val="24"/>
          <w:lang w:val="zh-CN"/>
        </w:rPr>
        <w:t>工作人员在电子采购平台上组织开标、唱标，形成开标一览表。投标人应及时关注开标过程，认真核实开标结果并在开标一览表上进行电子签署确认（用CA数字证书中的电子印章进行签署）。未在规定时间内（一般10分钟内）对开标一览表签署确认的，将视同其认可开标结果。</w:t>
      </w:r>
    </w:p>
    <w:p>
      <w:pPr>
        <w:pStyle w:val="43"/>
        <w:numPr>
          <w:ilvl w:val="0"/>
          <w:numId w:val="32"/>
        </w:numPr>
        <w:wordWrap w:val="0"/>
        <w:adjustRightInd w:val="0"/>
        <w:snapToGrid w:val="0"/>
        <w:spacing w:line="360" w:lineRule="auto"/>
        <w:ind w:left="420" w:firstLineChars="0"/>
        <w:rPr>
          <w:rFonts w:cs="宋体"/>
          <w:szCs w:val="24"/>
          <w:lang w:val="zh-CN"/>
        </w:rPr>
      </w:pPr>
      <w:bookmarkStart w:id="250" w:name="_Toc102056209"/>
      <w:bookmarkStart w:id="251" w:name="_Toc102116143"/>
      <w:bookmarkStart w:id="252" w:name="_Toc102119844"/>
      <w:bookmarkStart w:id="253" w:name="_Toc102057709"/>
      <w:bookmarkStart w:id="254" w:name="_Toc102116013"/>
      <w:bookmarkStart w:id="255" w:name="_Toc102114911"/>
      <w:r>
        <w:rPr>
          <w:rFonts w:hint="eastAsia" w:cs="宋体"/>
          <w:szCs w:val="24"/>
          <w:lang w:val="zh-CN"/>
        </w:rPr>
        <w:t>投标人或其授权代表对开标过程和开标记录有疑义，以及认为采购人、集中采购机构相关工作人员有需要回避的情形的，应当在开标过程中提出；工作人员当场对疑义作出答复。疑义与答复应通过“开标大厅”互动窗口中在线进行。</w:t>
      </w:r>
    </w:p>
    <w:p>
      <w:pPr>
        <w:pStyle w:val="43"/>
        <w:numPr>
          <w:ilvl w:val="0"/>
          <w:numId w:val="32"/>
        </w:numPr>
        <w:wordWrap w:val="0"/>
        <w:adjustRightInd w:val="0"/>
        <w:snapToGrid w:val="0"/>
        <w:spacing w:line="360" w:lineRule="auto"/>
        <w:ind w:left="420" w:firstLineChars="0"/>
        <w:rPr>
          <w:rFonts w:cs="宋体"/>
          <w:szCs w:val="24"/>
          <w:lang w:val="zh-CN"/>
        </w:rPr>
      </w:pPr>
      <w:bookmarkStart w:id="256" w:name="_Toc107387536"/>
      <w:r>
        <w:rPr>
          <w:rFonts w:hint="eastAsia" w:cs="宋体"/>
          <w:szCs w:val="24"/>
          <w:lang w:val="zh-CN"/>
        </w:rPr>
        <w:t>特殊情况的处置</w:t>
      </w:r>
      <w:bookmarkEnd w:id="256"/>
    </w:p>
    <w:p>
      <w:pPr>
        <w:tabs>
          <w:tab w:val="left" w:pos="993"/>
        </w:tabs>
        <w:wordWrap w:val="0"/>
        <w:adjustRightInd w:val="0"/>
        <w:snapToGrid w:val="0"/>
        <w:spacing w:line="360" w:lineRule="auto"/>
        <w:ind w:firstLine="480" w:firstLineChars="200"/>
        <w:rPr>
          <w:szCs w:val="24"/>
        </w:rPr>
      </w:pPr>
      <w:r>
        <w:rPr>
          <w:rFonts w:hint="eastAsia"/>
          <w:szCs w:val="24"/>
        </w:rPr>
        <w:t>（</w:t>
      </w:r>
      <w:r>
        <w:rPr>
          <w:szCs w:val="24"/>
        </w:rPr>
        <w:t>1</w:t>
      </w:r>
      <w:r>
        <w:rPr>
          <w:rFonts w:hint="eastAsia"/>
          <w:szCs w:val="24"/>
        </w:rPr>
        <w:t>）</w:t>
      </w:r>
      <w:r>
        <w:rPr>
          <w:szCs w:val="24"/>
        </w:rPr>
        <w:t>因</w:t>
      </w:r>
      <w:r>
        <w:rPr>
          <w:rFonts w:hint="eastAsia"/>
          <w:szCs w:val="24"/>
        </w:rPr>
        <w:t>电子采购平台</w:t>
      </w:r>
      <w:r>
        <w:rPr>
          <w:szCs w:val="24"/>
        </w:rPr>
        <w:t>系统</w:t>
      </w:r>
      <w:r>
        <w:rPr>
          <w:rFonts w:hint="eastAsia"/>
          <w:szCs w:val="24"/>
        </w:rPr>
        <w:t>故障</w:t>
      </w:r>
      <w:r>
        <w:rPr>
          <w:szCs w:val="24"/>
        </w:rPr>
        <w:t>导致</w:t>
      </w:r>
      <w:r>
        <w:rPr>
          <w:rFonts w:hint="eastAsia"/>
          <w:szCs w:val="24"/>
        </w:rPr>
        <w:t>无法正常开标的，采购人将</w:t>
      </w:r>
      <w:r>
        <w:rPr>
          <w:szCs w:val="24"/>
        </w:rPr>
        <w:t>暂停开标</w:t>
      </w:r>
      <w:r>
        <w:rPr>
          <w:rFonts w:hint="eastAsia"/>
          <w:szCs w:val="24"/>
        </w:rPr>
        <w:t>，待系统恢复</w:t>
      </w:r>
      <w:r>
        <w:rPr>
          <w:szCs w:val="24"/>
        </w:rPr>
        <w:t>正常</w:t>
      </w:r>
      <w:r>
        <w:rPr>
          <w:rFonts w:hint="eastAsia"/>
          <w:szCs w:val="24"/>
        </w:rPr>
        <w:t>后继续开标，也可按照本章“29</w:t>
      </w:r>
      <w:r>
        <w:rPr>
          <w:szCs w:val="24"/>
        </w:rPr>
        <w:t>.应急开标程序</w:t>
      </w:r>
      <w:r>
        <w:rPr>
          <w:rFonts w:hint="eastAsia"/>
          <w:szCs w:val="24"/>
        </w:rPr>
        <w:t>”规定启动</w:t>
      </w:r>
      <w:r>
        <w:rPr>
          <w:szCs w:val="24"/>
        </w:rPr>
        <w:t>应急开标程序</w:t>
      </w:r>
      <w:r>
        <w:rPr>
          <w:rFonts w:hint="eastAsia"/>
          <w:szCs w:val="24"/>
        </w:rPr>
        <w:t>；</w:t>
      </w:r>
    </w:p>
    <w:p>
      <w:pPr>
        <w:tabs>
          <w:tab w:val="left" w:pos="993"/>
        </w:tabs>
        <w:wordWrap w:val="0"/>
        <w:adjustRightInd w:val="0"/>
        <w:snapToGrid w:val="0"/>
        <w:spacing w:line="360" w:lineRule="auto"/>
        <w:ind w:firstLine="480" w:firstLineChars="200"/>
      </w:pPr>
      <w:r>
        <w:rPr>
          <w:rFonts w:hint="eastAsia"/>
          <w:szCs w:val="24"/>
        </w:rPr>
        <w:t>（</w:t>
      </w:r>
      <w:r>
        <w:rPr>
          <w:szCs w:val="24"/>
        </w:rPr>
        <w:t>2</w:t>
      </w:r>
      <w:r>
        <w:rPr>
          <w:rFonts w:hint="eastAsia"/>
          <w:szCs w:val="24"/>
        </w:rPr>
        <w:t>）“电子采购平台</w:t>
      </w:r>
      <w:r>
        <w:rPr>
          <w:szCs w:val="24"/>
        </w:rPr>
        <w:t>系统</w:t>
      </w:r>
      <w:r>
        <w:rPr>
          <w:rFonts w:hint="eastAsia"/>
          <w:szCs w:val="24"/>
        </w:rPr>
        <w:t>故障”是指：</w:t>
      </w:r>
      <w:r>
        <w:rPr>
          <w:szCs w:val="24"/>
        </w:rPr>
        <w:t>系统服务器</w:t>
      </w:r>
      <w:r>
        <w:rPr>
          <w:rFonts w:hint="eastAsia"/>
          <w:szCs w:val="24"/>
        </w:rPr>
        <w:t>等</w:t>
      </w:r>
      <w:r>
        <w:rPr>
          <w:szCs w:val="24"/>
        </w:rPr>
        <w:t>硬件发生故障，无法访问或使用系统；系统的软件或数据库</w:t>
      </w:r>
      <w:r>
        <w:rPr>
          <w:rFonts w:hint="eastAsia"/>
          <w:szCs w:val="24"/>
        </w:rPr>
        <w:t>等</w:t>
      </w:r>
      <w:r>
        <w:rPr>
          <w:szCs w:val="24"/>
        </w:rPr>
        <w:t>出现错误，</w:t>
      </w:r>
      <w:r>
        <w:rPr>
          <w:rFonts w:hint="eastAsia"/>
          <w:szCs w:val="24"/>
        </w:rPr>
        <w:t>无法</w:t>
      </w:r>
      <w:r>
        <w:rPr>
          <w:szCs w:val="24"/>
        </w:rPr>
        <w:t>进行正常操作；系统发现有安全漏洞，有潜在的泄密危险；</w:t>
      </w:r>
      <w:r>
        <w:rPr>
          <w:rFonts w:hint="eastAsia"/>
          <w:szCs w:val="24"/>
        </w:rPr>
        <w:t>出现断电、断网事故；</w:t>
      </w:r>
      <w:r>
        <w:rPr>
          <w:szCs w:val="24"/>
        </w:rPr>
        <w:t>其他无法保证</w:t>
      </w:r>
      <w:r>
        <w:rPr>
          <w:rFonts w:hint="eastAsia"/>
          <w:szCs w:val="24"/>
        </w:rPr>
        <w:t>开标</w:t>
      </w:r>
      <w:r>
        <w:rPr>
          <w:szCs w:val="24"/>
        </w:rPr>
        <w:t>过程</w:t>
      </w:r>
      <w:r>
        <w:rPr>
          <w:rFonts w:hint="eastAsia"/>
          <w:szCs w:val="24"/>
        </w:rPr>
        <w:t>正常进行</w:t>
      </w:r>
      <w:r>
        <w:rPr>
          <w:szCs w:val="24"/>
        </w:rPr>
        <w:t>的情形。</w:t>
      </w:r>
    </w:p>
    <w:p>
      <w:pPr>
        <w:pStyle w:val="43"/>
        <w:numPr>
          <w:ilvl w:val="0"/>
          <w:numId w:val="9"/>
        </w:numPr>
        <w:spacing w:line="360" w:lineRule="auto"/>
        <w:ind w:left="284" w:hanging="284" w:firstLineChars="0"/>
        <w:rPr>
          <w:b/>
          <w:szCs w:val="24"/>
          <w:lang w:val="zh-CN"/>
        </w:rPr>
      </w:pPr>
      <w:r>
        <w:rPr>
          <w:rFonts w:hint="eastAsia"/>
          <w:b/>
          <w:szCs w:val="24"/>
          <w:lang w:val="zh-CN"/>
        </w:rPr>
        <w:t>应急开标程序</w:t>
      </w:r>
      <w:bookmarkEnd w:id="250"/>
      <w:bookmarkEnd w:id="251"/>
      <w:bookmarkEnd w:id="252"/>
      <w:bookmarkEnd w:id="253"/>
      <w:bookmarkEnd w:id="254"/>
      <w:bookmarkEnd w:id="255"/>
    </w:p>
    <w:p>
      <w:pPr>
        <w:pStyle w:val="43"/>
        <w:numPr>
          <w:ilvl w:val="0"/>
          <w:numId w:val="33"/>
        </w:numPr>
        <w:wordWrap w:val="0"/>
        <w:adjustRightInd w:val="0"/>
        <w:snapToGrid w:val="0"/>
        <w:spacing w:line="360" w:lineRule="auto"/>
        <w:ind w:left="420" w:firstLineChars="0"/>
        <w:rPr>
          <w:rFonts w:cs="宋体"/>
          <w:szCs w:val="24"/>
          <w:lang w:val="zh-CN"/>
        </w:rPr>
      </w:pPr>
      <w:r>
        <w:rPr>
          <w:rFonts w:hint="eastAsia" w:cs="宋体"/>
          <w:szCs w:val="24"/>
          <w:lang w:val="zh-CN"/>
        </w:rPr>
        <w:t>开标过程中若出现“电子采购平台系统故障”时，可以在采购人代表的监督下，启动应急开标程序。</w:t>
      </w:r>
    </w:p>
    <w:p>
      <w:pPr>
        <w:pStyle w:val="43"/>
        <w:numPr>
          <w:ilvl w:val="0"/>
          <w:numId w:val="33"/>
        </w:numPr>
        <w:wordWrap w:val="0"/>
        <w:adjustRightInd w:val="0"/>
        <w:snapToGrid w:val="0"/>
        <w:spacing w:line="360" w:lineRule="auto"/>
        <w:ind w:left="420" w:firstLineChars="0"/>
        <w:rPr>
          <w:rFonts w:cs="宋体"/>
          <w:szCs w:val="24"/>
          <w:lang w:val="zh-CN"/>
        </w:rPr>
      </w:pPr>
      <w:r>
        <w:rPr>
          <w:rFonts w:hint="eastAsia" w:cs="宋体"/>
          <w:szCs w:val="24"/>
          <w:lang w:val="zh-CN"/>
        </w:rPr>
        <w:t>应急开标程序如下：</w:t>
      </w:r>
    </w:p>
    <w:p>
      <w:pPr>
        <w:tabs>
          <w:tab w:val="left" w:pos="709"/>
        </w:tabs>
        <w:wordWrap w:val="0"/>
        <w:adjustRightInd w:val="0"/>
        <w:snapToGrid w:val="0"/>
        <w:spacing w:line="360" w:lineRule="auto"/>
        <w:ind w:firstLine="480" w:firstLineChars="200"/>
      </w:pPr>
      <w:r>
        <w:rPr>
          <w:rFonts w:hint="eastAsia"/>
        </w:rPr>
        <w:t>（1）工作人员电话通知所有投标人，启动应急开标程序；</w:t>
      </w:r>
      <w:r>
        <w:t xml:space="preserve"> </w:t>
      </w:r>
    </w:p>
    <w:p>
      <w:pPr>
        <w:tabs>
          <w:tab w:val="left" w:pos="709"/>
        </w:tabs>
        <w:wordWrap w:val="0"/>
        <w:adjustRightInd w:val="0"/>
        <w:snapToGrid w:val="0"/>
        <w:spacing w:line="360" w:lineRule="auto"/>
        <w:ind w:firstLine="480" w:firstLineChars="200"/>
      </w:pPr>
      <w:r>
        <w:rPr>
          <w:rFonts w:hint="eastAsia"/>
        </w:rPr>
        <w:t>（2）投标人接到通知后，应在40分钟内通过电子邮件（接收投标文件邮箱：hgzc8556260@163.com）提交投标文件（电子采购平台上下载的盖章且未加密的文件），投标文件应与电子采购平台上提交的文件内容一致（在非应急开标期间集中采购机构将不接受、不处理任何通过电子邮件提交的投标文件）；未在规定时间提交或提交的文件未按要求进行编制、签署的，按照</w:t>
      </w:r>
      <w:r>
        <w:rPr>
          <w:rFonts w:hint="eastAsia"/>
          <w:b/>
        </w:rPr>
        <w:t>无效投标处理；</w:t>
      </w:r>
    </w:p>
    <w:p>
      <w:pPr>
        <w:tabs>
          <w:tab w:val="left" w:pos="709"/>
        </w:tabs>
        <w:wordWrap w:val="0"/>
        <w:adjustRightInd w:val="0"/>
        <w:snapToGrid w:val="0"/>
        <w:spacing w:line="360" w:lineRule="auto"/>
        <w:ind w:firstLine="480" w:firstLineChars="200"/>
      </w:pPr>
      <w:r>
        <w:rPr>
          <w:rFonts w:hint="eastAsia"/>
        </w:rPr>
        <w:t>（</w:t>
      </w:r>
      <w:r>
        <w:t>3</w:t>
      </w:r>
      <w:r>
        <w:rPr>
          <w:rFonts w:hint="eastAsia"/>
        </w:rPr>
        <w:t>）提交投标</w:t>
      </w:r>
      <w:r>
        <w:t>文件</w:t>
      </w:r>
      <w:r>
        <w:rPr>
          <w:rFonts w:hint="eastAsia"/>
        </w:rPr>
        <w:t>时间截止后，工作人员及时下载投标文件并将各投标人投标报价录入系统；录入完成后形成开标结果并通过邮件回复各投标人；各投标人应通过邮件及时确认开标结果。未在规定时间内（一般</w:t>
      </w:r>
      <w:r>
        <w:t>10分钟内）确认的，视同其认可开标结果；</w:t>
      </w:r>
    </w:p>
    <w:p>
      <w:pPr>
        <w:tabs>
          <w:tab w:val="left" w:pos="709"/>
        </w:tabs>
        <w:wordWrap w:val="0"/>
        <w:adjustRightInd w:val="0"/>
        <w:snapToGrid w:val="0"/>
        <w:spacing w:line="360" w:lineRule="auto"/>
        <w:ind w:firstLine="480" w:firstLineChars="200"/>
      </w:pPr>
      <w:r>
        <w:rPr>
          <w:rFonts w:hint="eastAsia"/>
        </w:rPr>
        <w:t>（</w:t>
      </w:r>
      <w:r>
        <w:t>4</w:t>
      </w:r>
      <w:r>
        <w:rPr>
          <w:rFonts w:hint="eastAsia"/>
        </w:rPr>
        <w:t>）开标结束。</w:t>
      </w:r>
    </w:p>
    <w:p>
      <w:pPr>
        <w:pStyle w:val="43"/>
        <w:numPr>
          <w:ilvl w:val="0"/>
          <w:numId w:val="33"/>
        </w:numPr>
        <w:wordWrap w:val="0"/>
        <w:adjustRightInd w:val="0"/>
        <w:snapToGrid w:val="0"/>
        <w:spacing w:line="360" w:lineRule="auto"/>
        <w:ind w:left="420" w:firstLineChars="0"/>
        <w:rPr>
          <w:rFonts w:cs="宋体"/>
          <w:szCs w:val="24"/>
          <w:lang w:val="zh-CN"/>
        </w:rPr>
      </w:pPr>
      <w:r>
        <w:rPr>
          <w:rFonts w:hint="eastAsia" w:cs="宋体"/>
          <w:szCs w:val="24"/>
          <w:lang w:val="zh-CN"/>
        </w:rPr>
        <w:t>截止投标文件提交时间，投标人不足3家的，不得开标，应按规定作废标处理。</w:t>
      </w:r>
    </w:p>
    <w:p>
      <w:pPr>
        <w:pStyle w:val="43"/>
        <w:numPr>
          <w:ilvl w:val="0"/>
          <w:numId w:val="33"/>
        </w:numPr>
        <w:wordWrap w:val="0"/>
        <w:adjustRightInd w:val="0"/>
        <w:snapToGrid w:val="0"/>
        <w:spacing w:line="360" w:lineRule="auto"/>
        <w:ind w:left="420" w:firstLineChars="0"/>
        <w:rPr>
          <w:rFonts w:cs="宋体"/>
          <w:szCs w:val="24"/>
          <w:lang w:val="zh-CN"/>
        </w:rPr>
      </w:pPr>
      <w:r>
        <w:rPr>
          <w:rFonts w:hint="eastAsia" w:cs="宋体"/>
          <w:szCs w:val="24"/>
          <w:lang w:val="zh-CN"/>
        </w:rPr>
        <w:t xml:space="preserve">开标、评标均以电子邮件提交的投标文件为准。 </w:t>
      </w:r>
    </w:p>
    <w:p>
      <w:pPr>
        <w:pStyle w:val="43"/>
        <w:numPr>
          <w:ilvl w:val="0"/>
          <w:numId w:val="9"/>
        </w:numPr>
        <w:spacing w:line="360" w:lineRule="auto"/>
        <w:ind w:left="284" w:hanging="284" w:firstLineChars="0"/>
        <w:rPr>
          <w:b/>
          <w:szCs w:val="24"/>
          <w:lang w:val="zh-CN"/>
        </w:rPr>
      </w:pPr>
      <w:bookmarkStart w:id="257" w:name="_Toc102116144"/>
      <w:bookmarkStart w:id="258" w:name="_Toc102114912"/>
      <w:bookmarkStart w:id="259" w:name="_Toc102056210"/>
      <w:bookmarkStart w:id="260" w:name="_Toc102116014"/>
      <w:bookmarkStart w:id="261" w:name="_Toc102119845"/>
      <w:bookmarkStart w:id="262" w:name="_Toc102057710"/>
      <w:r>
        <w:rPr>
          <w:rFonts w:hint="eastAsia"/>
          <w:b/>
          <w:szCs w:val="24"/>
          <w:lang w:val="zh-CN"/>
        </w:rPr>
        <w:t>资格审查</w:t>
      </w:r>
      <w:bookmarkEnd w:id="257"/>
      <w:bookmarkEnd w:id="258"/>
      <w:bookmarkEnd w:id="259"/>
      <w:bookmarkEnd w:id="260"/>
      <w:bookmarkEnd w:id="261"/>
      <w:bookmarkEnd w:id="262"/>
    </w:p>
    <w:p>
      <w:pPr>
        <w:pStyle w:val="43"/>
        <w:numPr>
          <w:ilvl w:val="0"/>
          <w:numId w:val="34"/>
        </w:numPr>
        <w:wordWrap w:val="0"/>
        <w:adjustRightInd w:val="0"/>
        <w:snapToGrid w:val="0"/>
        <w:spacing w:line="360" w:lineRule="auto"/>
        <w:ind w:left="420" w:firstLineChars="0"/>
        <w:rPr>
          <w:rFonts w:cs="宋体"/>
          <w:szCs w:val="24"/>
          <w:lang w:val="zh-CN"/>
        </w:rPr>
      </w:pPr>
      <w:r>
        <w:rPr>
          <w:rFonts w:hint="eastAsia" w:cs="宋体"/>
          <w:szCs w:val="24"/>
          <w:lang w:val="zh-CN"/>
        </w:rPr>
        <w:t>项目开标结束后，采购人与集中采购机构依据法律、法规及招标文件“第四章 资格审查”的规定，对投标人的资格进行审查，以确定投标人资格是否合格。</w:t>
      </w:r>
    </w:p>
    <w:p>
      <w:pPr>
        <w:pStyle w:val="43"/>
        <w:numPr>
          <w:ilvl w:val="0"/>
          <w:numId w:val="34"/>
        </w:numPr>
        <w:wordWrap w:val="0"/>
        <w:adjustRightInd w:val="0"/>
        <w:snapToGrid w:val="0"/>
        <w:spacing w:line="360" w:lineRule="auto"/>
        <w:ind w:left="420" w:firstLineChars="0"/>
        <w:rPr>
          <w:rFonts w:cs="宋体"/>
          <w:szCs w:val="24"/>
          <w:lang w:val="zh-CN"/>
        </w:rPr>
      </w:pPr>
      <w:r>
        <w:rPr>
          <w:rFonts w:hint="eastAsia" w:cs="宋体"/>
          <w:szCs w:val="24"/>
          <w:lang w:val="zh-CN"/>
        </w:rPr>
        <w:t>资格审查未通过的投标人可在中标公告质疑有效期内按公告中的联系方式获知本单位的资格审查情况。</w:t>
      </w:r>
    </w:p>
    <w:p>
      <w:pPr>
        <w:pStyle w:val="43"/>
        <w:numPr>
          <w:ilvl w:val="0"/>
          <w:numId w:val="9"/>
        </w:numPr>
        <w:spacing w:line="360" w:lineRule="auto"/>
        <w:ind w:left="284" w:hanging="284" w:firstLineChars="0"/>
        <w:rPr>
          <w:b/>
          <w:szCs w:val="24"/>
          <w:lang w:val="zh-CN"/>
        </w:rPr>
      </w:pPr>
      <w:bookmarkStart w:id="263" w:name="_Toc102114915"/>
      <w:bookmarkStart w:id="264" w:name="_Toc102057713"/>
      <w:bookmarkStart w:id="265" w:name="_Toc102116017"/>
      <w:bookmarkStart w:id="266" w:name="_Toc102056213"/>
      <w:bookmarkStart w:id="267" w:name="_Toc102116147"/>
      <w:bookmarkStart w:id="268" w:name="_Toc102119848"/>
      <w:r>
        <w:rPr>
          <w:rFonts w:hint="eastAsia"/>
          <w:b/>
          <w:szCs w:val="24"/>
          <w:lang w:val="zh-CN"/>
        </w:rPr>
        <w:t>评标委员会</w:t>
      </w:r>
      <w:bookmarkEnd w:id="263"/>
      <w:bookmarkEnd w:id="264"/>
      <w:bookmarkEnd w:id="265"/>
      <w:bookmarkEnd w:id="266"/>
      <w:bookmarkEnd w:id="267"/>
      <w:bookmarkEnd w:id="268"/>
    </w:p>
    <w:p>
      <w:pPr>
        <w:pStyle w:val="43"/>
        <w:numPr>
          <w:ilvl w:val="0"/>
          <w:numId w:val="35"/>
        </w:numPr>
        <w:wordWrap w:val="0"/>
        <w:adjustRightInd w:val="0"/>
        <w:snapToGrid w:val="0"/>
        <w:spacing w:line="360" w:lineRule="auto"/>
        <w:ind w:left="420" w:firstLineChars="0"/>
        <w:rPr>
          <w:szCs w:val="24"/>
        </w:rPr>
      </w:pPr>
      <w:r>
        <w:rPr>
          <w:rFonts w:hint="eastAsia" w:cs="宋体"/>
          <w:szCs w:val="24"/>
          <w:lang w:val="zh-CN"/>
        </w:rPr>
        <w:t>评标委员会由采购人代表和评审专家组成（评审专家对本单位的招标项目只能作为采购人代表参与评标，本章31.3条规定的情形除外），成员人数应当为5人及以上单数，其中评审专家不得少于成员总数的2/3；采购预算金额在1000万元及以上、技术复杂或社会影响较大的项目，评标委员会成员人数应当为7人及以上单数。</w:t>
      </w:r>
    </w:p>
    <w:p>
      <w:pPr>
        <w:pStyle w:val="43"/>
        <w:numPr>
          <w:ilvl w:val="0"/>
          <w:numId w:val="35"/>
        </w:numPr>
        <w:wordWrap w:val="0"/>
        <w:adjustRightInd w:val="0"/>
        <w:snapToGrid w:val="0"/>
        <w:spacing w:line="360" w:lineRule="auto"/>
        <w:ind w:left="420" w:firstLineChars="0"/>
        <w:rPr>
          <w:szCs w:val="24"/>
        </w:rPr>
      </w:pPr>
      <w:r>
        <w:rPr>
          <w:rFonts w:hint="eastAsia"/>
          <w:szCs w:val="24"/>
        </w:rPr>
        <w:t>评标委员会中的</w:t>
      </w:r>
      <w:r>
        <w:rPr>
          <w:szCs w:val="24"/>
        </w:rPr>
        <w:t>评审专家</w:t>
      </w:r>
      <w:r>
        <w:rPr>
          <w:rFonts w:hint="eastAsia"/>
          <w:szCs w:val="24"/>
        </w:rPr>
        <w:t>依法从政府采购评审专家库中随机抽取。</w:t>
      </w:r>
    </w:p>
    <w:p>
      <w:pPr>
        <w:pStyle w:val="43"/>
        <w:numPr>
          <w:ilvl w:val="0"/>
          <w:numId w:val="35"/>
        </w:numPr>
        <w:wordWrap w:val="0"/>
        <w:adjustRightInd w:val="0"/>
        <w:snapToGrid w:val="0"/>
        <w:spacing w:line="360" w:lineRule="auto"/>
        <w:ind w:left="420" w:firstLineChars="0"/>
        <w:rPr>
          <w:szCs w:val="24"/>
        </w:rPr>
      </w:pPr>
      <w:r>
        <w:rPr>
          <w:rFonts w:hint="eastAsia"/>
          <w:szCs w:val="24"/>
        </w:rPr>
        <w:t>对技术复杂、专业性强的采购项目，通过随机方式难以确定合适评审专家的，经主管预算单位同意，采购人可以自行选定相应专业领域的评审专家。</w:t>
      </w:r>
    </w:p>
    <w:p>
      <w:pPr>
        <w:pStyle w:val="43"/>
        <w:numPr>
          <w:ilvl w:val="0"/>
          <w:numId w:val="35"/>
        </w:numPr>
        <w:wordWrap w:val="0"/>
        <w:adjustRightInd w:val="0"/>
        <w:snapToGrid w:val="0"/>
        <w:spacing w:line="360" w:lineRule="auto"/>
        <w:ind w:left="420" w:firstLineChars="0"/>
        <w:rPr>
          <w:szCs w:val="24"/>
        </w:rPr>
      </w:pPr>
      <w:r>
        <w:rPr>
          <w:rFonts w:hint="eastAsia"/>
          <w:szCs w:val="24"/>
        </w:rPr>
        <w:t>评标委员会成员有下列情形之一的，应当回避：</w:t>
      </w:r>
    </w:p>
    <w:p>
      <w:pPr>
        <w:wordWrap w:val="0"/>
        <w:adjustRightInd w:val="0"/>
        <w:snapToGrid w:val="0"/>
        <w:spacing w:line="360" w:lineRule="auto"/>
        <w:ind w:firstLine="480" w:firstLineChars="200"/>
        <w:jc w:val="left"/>
        <w:rPr>
          <w:szCs w:val="24"/>
        </w:rPr>
      </w:pPr>
      <w:r>
        <w:rPr>
          <w:rFonts w:hint="eastAsia"/>
          <w:szCs w:val="24"/>
        </w:rPr>
        <w:t>（1）参加采购活动前3年内与投标人存在劳动关系；</w:t>
      </w:r>
    </w:p>
    <w:p>
      <w:pPr>
        <w:wordWrap w:val="0"/>
        <w:adjustRightInd w:val="0"/>
        <w:snapToGrid w:val="0"/>
        <w:spacing w:line="360" w:lineRule="auto"/>
        <w:ind w:firstLine="480" w:firstLineChars="200"/>
        <w:jc w:val="left"/>
        <w:rPr>
          <w:szCs w:val="24"/>
        </w:rPr>
      </w:pPr>
      <w:r>
        <w:rPr>
          <w:rFonts w:hint="eastAsia"/>
          <w:szCs w:val="24"/>
        </w:rPr>
        <w:t>（2）参加采购活动前3年内担任投标人的董事、监事；</w:t>
      </w:r>
    </w:p>
    <w:p>
      <w:pPr>
        <w:wordWrap w:val="0"/>
        <w:adjustRightInd w:val="0"/>
        <w:snapToGrid w:val="0"/>
        <w:spacing w:line="360" w:lineRule="auto"/>
        <w:ind w:firstLine="480" w:firstLineChars="200"/>
        <w:jc w:val="left"/>
        <w:rPr>
          <w:szCs w:val="24"/>
        </w:rPr>
      </w:pPr>
      <w:r>
        <w:rPr>
          <w:rFonts w:hint="eastAsia"/>
          <w:szCs w:val="24"/>
        </w:rPr>
        <w:t>（3）参加采购活动前3年内是投标人的控股股东或者实际控制人；</w:t>
      </w:r>
    </w:p>
    <w:p>
      <w:pPr>
        <w:wordWrap w:val="0"/>
        <w:adjustRightInd w:val="0"/>
        <w:snapToGrid w:val="0"/>
        <w:spacing w:line="360" w:lineRule="auto"/>
        <w:ind w:firstLine="480" w:firstLineChars="200"/>
        <w:jc w:val="left"/>
        <w:rPr>
          <w:szCs w:val="24"/>
        </w:rPr>
      </w:pPr>
      <w:r>
        <w:rPr>
          <w:rFonts w:hint="eastAsia"/>
          <w:szCs w:val="24"/>
        </w:rPr>
        <w:t>（4）与投标人的法定代表人或者负责人有夫妻、直系血亲、三代以内旁系血亲或者近姻亲关系；</w:t>
      </w:r>
    </w:p>
    <w:p>
      <w:pPr>
        <w:wordWrap w:val="0"/>
        <w:adjustRightInd w:val="0"/>
        <w:snapToGrid w:val="0"/>
        <w:spacing w:line="360" w:lineRule="auto"/>
        <w:ind w:firstLine="480" w:firstLineChars="200"/>
        <w:jc w:val="left"/>
        <w:rPr>
          <w:szCs w:val="24"/>
          <w:lang w:val="zh-CN"/>
        </w:rPr>
      </w:pPr>
      <w:r>
        <w:rPr>
          <w:rFonts w:hint="eastAsia"/>
          <w:szCs w:val="24"/>
        </w:rPr>
        <w:t>（5）与投标人有其他可能影响政府采购活动公平、公正进行的关系。</w:t>
      </w:r>
    </w:p>
    <w:p>
      <w:pPr>
        <w:pStyle w:val="43"/>
        <w:numPr>
          <w:ilvl w:val="0"/>
          <w:numId w:val="35"/>
        </w:numPr>
        <w:wordWrap w:val="0"/>
        <w:adjustRightInd w:val="0"/>
        <w:snapToGrid w:val="0"/>
        <w:spacing w:line="360" w:lineRule="auto"/>
        <w:ind w:left="420" w:firstLineChars="0"/>
        <w:rPr>
          <w:szCs w:val="24"/>
          <w:lang w:val="zh-CN"/>
        </w:rPr>
      </w:pPr>
      <w:r>
        <w:rPr>
          <w:rFonts w:hint="eastAsia"/>
          <w:szCs w:val="24"/>
          <w:lang w:val="zh-CN"/>
        </w:rPr>
        <w:t>评标委员会负责具体评标事务，并独立履行下列职责：</w:t>
      </w:r>
    </w:p>
    <w:p>
      <w:pPr>
        <w:wordWrap w:val="0"/>
        <w:adjustRightInd w:val="0"/>
        <w:snapToGrid w:val="0"/>
        <w:spacing w:line="360" w:lineRule="auto"/>
        <w:ind w:firstLine="480" w:firstLineChars="200"/>
        <w:rPr>
          <w:lang w:val="zh-CN"/>
        </w:rPr>
      </w:pPr>
      <w:r>
        <w:rPr>
          <w:rFonts w:hint="eastAsia"/>
          <w:lang w:val="zh-CN"/>
        </w:rPr>
        <w:t>（1）</w:t>
      </w:r>
      <w:r>
        <w:rPr>
          <w:lang w:val="zh-CN"/>
        </w:rPr>
        <w:t>审查、评价投标文件是否符合招标文件的商务、技术等实质性要求；</w:t>
      </w:r>
    </w:p>
    <w:p>
      <w:pPr>
        <w:wordWrap w:val="0"/>
        <w:adjustRightInd w:val="0"/>
        <w:snapToGrid w:val="0"/>
        <w:spacing w:line="360" w:lineRule="auto"/>
        <w:ind w:firstLine="480" w:firstLineChars="200"/>
        <w:rPr>
          <w:lang w:val="zh-CN"/>
        </w:rPr>
      </w:pPr>
      <w:r>
        <w:rPr>
          <w:rFonts w:hint="eastAsia"/>
          <w:lang w:val="zh-CN"/>
        </w:rPr>
        <w:t>（2）</w:t>
      </w:r>
      <w:r>
        <w:rPr>
          <w:lang w:val="zh-CN"/>
        </w:rPr>
        <w:t>要求投标人对投标文件有关事项作出澄清或者说明；</w:t>
      </w:r>
    </w:p>
    <w:p>
      <w:pPr>
        <w:wordWrap w:val="0"/>
        <w:adjustRightInd w:val="0"/>
        <w:snapToGrid w:val="0"/>
        <w:spacing w:line="360" w:lineRule="auto"/>
        <w:ind w:firstLine="480" w:firstLineChars="200"/>
        <w:rPr>
          <w:lang w:val="zh-CN"/>
        </w:rPr>
      </w:pPr>
      <w:r>
        <w:rPr>
          <w:rFonts w:hint="eastAsia"/>
          <w:lang w:val="zh-CN"/>
        </w:rPr>
        <w:t>（3）</w:t>
      </w:r>
      <w:r>
        <w:rPr>
          <w:lang w:val="zh-CN"/>
        </w:rPr>
        <w:t>对投标文件进行</w:t>
      </w:r>
      <w:r>
        <w:rPr>
          <w:rFonts w:hint="eastAsia"/>
          <w:lang w:val="zh-CN"/>
        </w:rPr>
        <w:t>综合</w:t>
      </w:r>
      <w:r>
        <w:rPr>
          <w:lang w:val="zh-CN"/>
        </w:rPr>
        <w:t>比较和评价；</w:t>
      </w:r>
    </w:p>
    <w:p>
      <w:pPr>
        <w:wordWrap w:val="0"/>
        <w:adjustRightInd w:val="0"/>
        <w:snapToGrid w:val="0"/>
        <w:spacing w:line="360" w:lineRule="auto"/>
        <w:ind w:firstLine="480" w:firstLineChars="200"/>
        <w:rPr>
          <w:lang w:val="zh-CN"/>
        </w:rPr>
      </w:pPr>
      <w:r>
        <w:rPr>
          <w:rFonts w:hint="eastAsia"/>
          <w:lang w:val="zh-CN"/>
        </w:rPr>
        <w:t>（4）确定中标候选人名单或中标人；</w:t>
      </w:r>
    </w:p>
    <w:p>
      <w:pPr>
        <w:wordWrap w:val="0"/>
        <w:adjustRightInd w:val="0"/>
        <w:snapToGrid w:val="0"/>
        <w:spacing w:line="360" w:lineRule="auto"/>
        <w:ind w:firstLine="480" w:firstLineChars="200"/>
        <w:rPr>
          <w:lang w:val="zh-CN"/>
        </w:rPr>
      </w:pPr>
      <w:r>
        <w:rPr>
          <w:rFonts w:hint="eastAsia"/>
          <w:lang w:val="zh-CN"/>
        </w:rPr>
        <w:t>（5）</w:t>
      </w:r>
      <w:r>
        <w:rPr>
          <w:lang w:val="zh-CN"/>
        </w:rPr>
        <w:t>向采购人、</w:t>
      </w:r>
      <w:r>
        <w:rPr>
          <w:rFonts w:hint="eastAsia"/>
          <w:lang w:val="zh-CN"/>
        </w:rPr>
        <w:t>集中采购</w:t>
      </w:r>
      <w:r>
        <w:rPr>
          <w:lang w:val="zh-CN"/>
        </w:rPr>
        <w:t>机构或者有关部门报告评标中发现的违法行为。</w:t>
      </w:r>
    </w:p>
    <w:p>
      <w:pPr>
        <w:pStyle w:val="43"/>
        <w:numPr>
          <w:ilvl w:val="0"/>
          <w:numId w:val="9"/>
        </w:numPr>
        <w:spacing w:line="360" w:lineRule="auto"/>
        <w:ind w:left="284" w:hanging="284" w:firstLineChars="0"/>
        <w:rPr>
          <w:b/>
          <w:szCs w:val="24"/>
          <w:lang w:val="zh-CN"/>
        </w:rPr>
      </w:pPr>
      <w:bookmarkStart w:id="269" w:name="_Toc102119850"/>
      <w:bookmarkStart w:id="270" w:name="_Toc102116149"/>
      <w:bookmarkStart w:id="271" w:name="_Toc102056215"/>
      <w:bookmarkStart w:id="272" w:name="_Toc102114917"/>
      <w:bookmarkStart w:id="273" w:name="_Toc102116019"/>
      <w:bookmarkStart w:id="274" w:name="_Toc102057715"/>
      <w:r>
        <w:rPr>
          <w:rFonts w:hint="eastAsia"/>
          <w:b/>
          <w:szCs w:val="24"/>
          <w:lang w:val="zh-CN"/>
        </w:rPr>
        <w:t>评标</w:t>
      </w:r>
      <w:bookmarkEnd w:id="269"/>
      <w:bookmarkEnd w:id="270"/>
      <w:bookmarkEnd w:id="271"/>
      <w:bookmarkEnd w:id="272"/>
      <w:bookmarkEnd w:id="273"/>
      <w:bookmarkEnd w:id="274"/>
      <w:r>
        <w:rPr>
          <w:rFonts w:hint="eastAsia"/>
          <w:b/>
          <w:szCs w:val="24"/>
          <w:lang w:val="zh-CN"/>
        </w:rPr>
        <w:t>方法、程序及标准</w:t>
      </w:r>
    </w:p>
    <w:p>
      <w:pPr>
        <w:wordWrap w:val="0"/>
        <w:adjustRightInd w:val="0"/>
        <w:snapToGrid w:val="0"/>
        <w:spacing w:line="360" w:lineRule="auto"/>
        <w:ind w:left="420"/>
        <w:rPr>
          <w:rFonts w:cs="Helvetica"/>
          <w:szCs w:val="24"/>
          <w:lang w:val="zh-CN"/>
        </w:rPr>
      </w:pPr>
      <w:r>
        <w:rPr>
          <w:rFonts w:hint="eastAsia" w:cs="Helvetica"/>
          <w:szCs w:val="24"/>
          <w:lang w:val="zh-CN"/>
        </w:rPr>
        <w:t>详见“第五章 评标办法”。</w:t>
      </w:r>
    </w:p>
    <w:p>
      <w:pPr>
        <w:pStyle w:val="3"/>
        <w:numPr>
          <w:ilvl w:val="0"/>
          <w:numId w:val="8"/>
        </w:numPr>
        <w:adjustRightInd w:val="0"/>
        <w:snapToGrid w:val="0"/>
        <w:spacing w:before="218" w:beforeLines="70" w:after="0" w:line="360" w:lineRule="auto"/>
        <w:ind w:left="658" w:hanging="658"/>
        <w:jc w:val="center"/>
        <w:rPr>
          <w:rFonts w:ascii="宋体" w:hAnsi="宋体" w:eastAsia="宋体" w:cs="Times New Roman"/>
          <w:bCs w:val="0"/>
          <w:sz w:val="28"/>
          <w:szCs w:val="28"/>
          <w:lang w:val="zh-CN"/>
        </w:rPr>
      </w:pPr>
      <w:bookmarkStart w:id="275" w:name="_Toc117244469"/>
      <w:bookmarkStart w:id="276" w:name="_Toc102119855"/>
      <w:bookmarkStart w:id="277" w:name="_Toc117244354"/>
      <w:bookmarkStart w:id="278" w:name="_Toc511889422"/>
      <w:bookmarkStart w:id="279" w:name="_Toc102116154"/>
      <w:bookmarkStart w:id="280" w:name="_Toc1339"/>
      <w:bookmarkStart w:id="281" w:name="_Toc102116024"/>
      <w:bookmarkStart w:id="282" w:name="_Toc511894500"/>
      <w:bookmarkStart w:id="283" w:name="_Toc102056220"/>
      <w:bookmarkStart w:id="284" w:name="_Toc102057720"/>
      <w:bookmarkStart w:id="285" w:name="_Toc102114922"/>
      <w:bookmarkStart w:id="286" w:name="_Toc20441"/>
      <w:r>
        <w:rPr>
          <w:rFonts w:ascii="宋体" w:hAnsi="宋体" w:eastAsia="宋体" w:cs="Times New Roman"/>
          <w:bCs w:val="0"/>
          <w:sz w:val="28"/>
          <w:szCs w:val="28"/>
          <w:lang w:val="zh-CN"/>
        </w:rPr>
        <w:t>中标</w:t>
      </w:r>
      <w:r>
        <w:rPr>
          <w:rFonts w:hint="eastAsia" w:ascii="宋体" w:hAnsi="宋体" w:eastAsia="宋体" w:cs="Times New Roman"/>
          <w:bCs w:val="0"/>
          <w:sz w:val="28"/>
          <w:szCs w:val="28"/>
          <w:lang w:val="zh-CN"/>
        </w:rPr>
        <w:t>与</w:t>
      </w:r>
      <w:r>
        <w:rPr>
          <w:rFonts w:ascii="宋体" w:hAnsi="宋体" w:eastAsia="宋体" w:cs="Times New Roman"/>
          <w:bCs w:val="0"/>
          <w:sz w:val="28"/>
          <w:szCs w:val="28"/>
          <w:lang w:val="zh-CN"/>
        </w:rPr>
        <w:t>合同</w:t>
      </w:r>
      <w:bookmarkEnd w:id="275"/>
      <w:bookmarkEnd w:id="276"/>
      <w:bookmarkEnd w:id="277"/>
      <w:bookmarkEnd w:id="278"/>
      <w:bookmarkEnd w:id="279"/>
      <w:bookmarkEnd w:id="280"/>
      <w:bookmarkEnd w:id="281"/>
      <w:bookmarkEnd w:id="282"/>
      <w:bookmarkEnd w:id="283"/>
      <w:bookmarkEnd w:id="284"/>
      <w:bookmarkEnd w:id="285"/>
      <w:bookmarkEnd w:id="286"/>
    </w:p>
    <w:p>
      <w:pPr>
        <w:pStyle w:val="43"/>
        <w:numPr>
          <w:ilvl w:val="0"/>
          <w:numId w:val="9"/>
        </w:numPr>
        <w:spacing w:line="360" w:lineRule="auto"/>
        <w:ind w:left="284" w:hanging="284" w:firstLineChars="0"/>
        <w:rPr>
          <w:b/>
          <w:szCs w:val="24"/>
          <w:lang w:val="zh-CN"/>
        </w:rPr>
      </w:pPr>
      <w:bookmarkStart w:id="287" w:name="_Toc102119856"/>
      <w:bookmarkStart w:id="288" w:name="_Toc102056221"/>
      <w:bookmarkStart w:id="289" w:name="_Toc102114923"/>
      <w:bookmarkStart w:id="290" w:name="_Toc102116155"/>
      <w:bookmarkStart w:id="291" w:name="_Toc102116025"/>
      <w:bookmarkStart w:id="292" w:name="_Toc102057721"/>
      <w:r>
        <w:rPr>
          <w:rFonts w:hint="eastAsia"/>
          <w:b/>
          <w:szCs w:val="24"/>
          <w:lang w:val="zh-CN"/>
        </w:rPr>
        <w:t>确定中标人</w:t>
      </w:r>
      <w:bookmarkEnd w:id="287"/>
      <w:bookmarkEnd w:id="288"/>
      <w:bookmarkEnd w:id="289"/>
      <w:bookmarkEnd w:id="290"/>
      <w:bookmarkEnd w:id="291"/>
      <w:bookmarkEnd w:id="292"/>
    </w:p>
    <w:p>
      <w:pPr>
        <w:pStyle w:val="11"/>
        <w:wordWrap w:val="0"/>
        <w:adjustRightInd w:val="0"/>
        <w:snapToGrid w:val="0"/>
        <w:spacing w:line="360" w:lineRule="auto"/>
        <w:ind w:firstLine="480" w:firstLineChars="200"/>
        <w:rPr>
          <w:lang w:val="zh-CN"/>
        </w:rPr>
      </w:pPr>
      <w:r>
        <w:rPr>
          <w:rFonts w:cs="Helvetica"/>
          <w:szCs w:val="24"/>
          <w:lang w:val="zh-CN"/>
        </w:rPr>
        <w:t>采购人收到评标报告5个工作日内，</w:t>
      </w:r>
      <w:r>
        <w:rPr>
          <w:rFonts w:hint="eastAsia" w:cs="Helvetica"/>
          <w:szCs w:val="24"/>
          <w:lang w:val="zh-CN"/>
        </w:rPr>
        <w:t>按评标报告推荐的中标候选人顺序确定中标人。中标候选人并列的，由采购人确定或采购人委托评标委员会以投票的方式确定中标人。</w:t>
      </w:r>
    </w:p>
    <w:p>
      <w:pPr>
        <w:pStyle w:val="43"/>
        <w:numPr>
          <w:ilvl w:val="0"/>
          <w:numId w:val="9"/>
        </w:numPr>
        <w:spacing w:line="360" w:lineRule="auto"/>
        <w:ind w:left="284" w:hanging="284" w:firstLineChars="0"/>
        <w:rPr>
          <w:b/>
          <w:szCs w:val="24"/>
          <w:lang w:val="zh-CN"/>
        </w:rPr>
      </w:pPr>
      <w:r>
        <w:rPr>
          <w:rFonts w:hint="eastAsia"/>
          <w:b/>
          <w:szCs w:val="24"/>
          <w:lang w:val="zh-CN"/>
        </w:rPr>
        <w:t>中标公告</w:t>
      </w:r>
    </w:p>
    <w:p>
      <w:pPr>
        <w:numPr>
          <w:ilvl w:val="0"/>
          <w:numId w:val="36"/>
        </w:numPr>
        <w:tabs>
          <w:tab w:val="left" w:pos="616"/>
        </w:tabs>
        <w:wordWrap w:val="0"/>
        <w:adjustRightInd w:val="0"/>
        <w:snapToGrid w:val="0"/>
        <w:spacing w:line="360" w:lineRule="auto"/>
        <w:ind w:left="616" w:hanging="616"/>
        <w:rPr>
          <w:lang w:val="zh-CN"/>
        </w:rPr>
      </w:pPr>
      <w:r>
        <w:rPr>
          <w:rFonts w:hint="eastAsia"/>
          <w:lang w:val="zh-CN"/>
        </w:rPr>
        <w:t>集中采购机构自中标人确定之日起2个工作日内，在规定媒体上发布中标公告，中标公告的公示期为1个工作日，同时向中标人和采购人发出</w:t>
      </w:r>
      <w:r>
        <w:rPr>
          <w:rFonts w:hint="eastAsia" w:cs="Helvetica"/>
          <w:szCs w:val="24"/>
          <w:lang w:val="zh-CN"/>
        </w:rPr>
        <w:t>《中标通知书》</w:t>
      </w:r>
      <w:r>
        <w:rPr>
          <w:rFonts w:hint="eastAsia"/>
          <w:lang w:val="zh-CN"/>
        </w:rPr>
        <w:t>。中标通知书发出后，任何单位不得擅自改变中标结果，中标人无正当理由放弃中标的，应当依法承担相应责任。</w:t>
      </w:r>
    </w:p>
    <w:p>
      <w:pPr>
        <w:numPr>
          <w:ilvl w:val="0"/>
          <w:numId w:val="36"/>
        </w:numPr>
        <w:tabs>
          <w:tab w:val="left" w:pos="616"/>
        </w:tabs>
        <w:wordWrap w:val="0"/>
        <w:adjustRightInd w:val="0"/>
        <w:snapToGrid w:val="0"/>
        <w:spacing w:line="360" w:lineRule="auto"/>
        <w:ind w:left="616" w:hanging="616"/>
        <w:rPr>
          <w:lang w:val="zh-CN"/>
        </w:rPr>
      </w:pPr>
      <w:r>
        <w:rPr>
          <w:rFonts w:hint="eastAsia"/>
          <w:lang w:val="zh-CN"/>
        </w:rPr>
        <w:t>中标</w:t>
      </w:r>
      <w:r>
        <w:rPr>
          <w:lang w:val="zh-CN"/>
        </w:rPr>
        <w:t>通知书</w:t>
      </w:r>
      <w:r>
        <w:rPr>
          <w:rFonts w:hint="eastAsia"/>
          <w:lang w:val="zh-CN"/>
        </w:rPr>
        <w:t>领</w:t>
      </w:r>
      <w:r>
        <w:rPr>
          <w:lang w:val="zh-CN"/>
        </w:rPr>
        <w:t>取</w:t>
      </w:r>
      <w:r>
        <w:rPr>
          <w:rFonts w:hint="eastAsia"/>
          <w:lang w:val="zh-CN"/>
        </w:rPr>
        <w:t>方式</w:t>
      </w:r>
      <w:r>
        <w:rPr>
          <w:rFonts w:hint="eastAsia" w:cs="Helvetica"/>
          <w:szCs w:val="24"/>
          <w:lang w:val="zh-CN"/>
        </w:rPr>
        <w:t>：中标结果公告后，</w:t>
      </w:r>
      <w:r>
        <w:rPr>
          <w:rFonts w:hint="eastAsia"/>
          <w:lang w:val="zh-CN"/>
        </w:rPr>
        <w:t>中标人和采购人按</w:t>
      </w:r>
      <w:r>
        <w:rPr>
          <w:rFonts w:hint="eastAsia"/>
          <w:b/>
          <w:lang w:val="zh-CN"/>
        </w:rPr>
        <w:t>《投标人须知</w:t>
      </w:r>
      <w:r>
        <w:rPr>
          <w:b/>
          <w:lang w:val="zh-CN"/>
        </w:rPr>
        <w:t>前附</w:t>
      </w:r>
      <w:r>
        <w:rPr>
          <w:rFonts w:hint="eastAsia"/>
          <w:b/>
          <w:lang w:val="zh-CN"/>
        </w:rPr>
        <w:t>表》</w:t>
      </w:r>
      <w:r>
        <w:rPr>
          <w:rFonts w:hint="eastAsia"/>
          <w:lang w:val="zh-CN"/>
        </w:rPr>
        <w:t>的</w:t>
      </w:r>
      <w:r>
        <w:rPr>
          <w:lang w:val="zh-CN"/>
        </w:rPr>
        <w:t>规定领取。</w:t>
      </w:r>
    </w:p>
    <w:p>
      <w:pPr>
        <w:numPr>
          <w:ilvl w:val="0"/>
          <w:numId w:val="36"/>
        </w:numPr>
        <w:tabs>
          <w:tab w:val="left" w:pos="616"/>
        </w:tabs>
        <w:wordWrap w:val="0"/>
        <w:adjustRightInd w:val="0"/>
        <w:snapToGrid w:val="0"/>
        <w:spacing w:line="360" w:lineRule="auto"/>
        <w:ind w:left="616" w:hanging="616"/>
        <w:rPr>
          <w:lang w:val="zh-CN"/>
        </w:rPr>
      </w:pPr>
      <w:r>
        <w:rPr>
          <w:rFonts w:hint="eastAsia"/>
          <w:szCs w:val="24"/>
          <w:lang w:val="zh-CN"/>
        </w:rPr>
        <w:t>未中标的投标人可在中标公告质疑有效期内按公告中的联系方式获知本单位的评标得分与排序。</w:t>
      </w:r>
    </w:p>
    <w:p>
      <w:pPr>
        <w:pStyle w:val="43"/>
        <w:numPr>
          <w:ilvl w:val="0"/>
          <w:numId w:val="9"/>
        </w:numPr>
        <w:spacing w:line="360" w:lineRule="auto"/>
        <w:ind w:left="284" w:hanging="284" w:firstLineChars="0"/>
        <w:rPr>
          <w:b/>
          <w:szCs w:val="24"/>
          <w:lang w:val="zh-CN"/>
        </w:rPr>
      </w:pPr>
      <w:bookmarkStart w:id="293" w:name="_Toc102119858"/>
      <w:bookmarkStart w:id="294" w:name="_Toc102116027"/>
      <w:bookmarkStart w:id="295" w:name="_Toc102057723"/>
      <w:bookmarkStart w:id="296" w:name="_Toc102116157"/>
      <w:bookmarkStart w:id="297" w:name="_Toc102056223"/>
      <w:bookmarkStart w:id="298" w:name="_Toc102114925"/>
      <w:r>
        <w:rPr>
          <w:rFonts w:hint="eastAsia"/>
          <w:b/>
          <w:szCs w:val="24"/>
          <w:lang w:val="zh-CN"/>
        </w:rPr>
        <w:t>合同签订</w:t>
      </w:r>
      <w:bookmarkEnd w:id="293"/>
      <w:bookmarkEnd w:id="294"/>
      <w:bookmarkEnd w:id="295"/>
      <w:bookmarkEnd w:id="296"/>
      <w:bookmarkEnd w:id="297"/>
      <w:bookmarkEnd w:id="298"/>
    </w:p>
    <w:p>
      <w:pPr>
        <w:numPr>
          <w:ilvl w:val="0"/>
          <w:numId w:val="37"/>
        </w:numPr>
        <w:tabs>
          <w:tab w:val="left" w:pos="616"/>
        </w:tabs>
        <w:wordWrap w:val="0"/>
        <w:adjustRightInd w:val="0"/>
        <w:snapToGrid w:val="0"/>
        <w:spacing w:line="360" w:lineRule="auto"/>
        <w:ind w:left="616" w:hanging="616"/>
        <w:rPr>
          <w:lang w:val="zh-CN"/>
        </w:rPr>
      </w:pPr>
      <w:r>
        <w:rPr>
          <w:lang w:val="zh-CN"/>
        </w:rPr>
        <w:t>采购人应当自中标通知书发出之日起30日内与中标人签订</w:t>
      </w:r>
      <w:r>
        <w:rPr>
          <w:rFonts w:hint="eastAsia"/>
          <w:lang w:val="zh-CN"/>
        </w:rPr>
        <w:t>政府采购</w:t>
      </w:r>
      <w:r>
        <w:rPr>
          <w:lang w:val="zh-CN"/>
        </w:rPr>
        <w:t>合同。合同</w:t>
      </w:r>
      <w:r>
        <w:rPr>
          <w:rFonts w:hint="eastAsia"/>
          <w:lang w:val="zh-CN"/>
        </w:rPr>
        <w:t>当事人应当按照</w:t>
      </w:r>
      <w:r>
        <w:rPr>
          <w:lang w:val="zh-CN"/>
        </w:rPr>
        <w:t>招标文件确定的事项和中标人投标文件</w:t>
      </w:r>
      <w:r>
        <w:rPr>
          <w:rFonts w:hint="eastAsia"/>
          <w:lang w:val="zh-CN"/>
        </w:rPr>
        <w:t>响应签订政府采购合同，合同要素应当与招标文件、中标通知书和投标文件等相关内容一致</w:t>
      </w:r>
      <w:r>
        <w:rPr>
          <w:lang w:val="zh-CN"/>
        </w:rPr>
        <w:t>。</w:t>
      </w:r>
    </w:p>
    <w:p>
      <w:pPr>
        <w:numPr>
          <w:ilvl w:val="0"/>
          <w:numId w:val="37"/>
        </w:numPr>
        <w:tabs>
          <w:tab w:val="left" w:pos="616"/>
        </w:tabs>
        <w:wordWrap w:val="0"/>
        <w:adjustRightInd w:val="0"/>
        <w:snapToGrid w:val="0"/>
        <w:spacing w:line="360" w:lineRule="auto"/>
        <w:ind w:left="616" w:hanging="616"/>
        <w:rPr>
          <w:lang w:val="zh-CN"/>
        </w:rPr>
      </w:pPr>
      <w:r>
        <w:rPr>
          <w:rFonts w:hint="eastAsia"/>
          <w:lang w:val="zh-CN"/>
        </w:rPr>
        <w:t>政府采购合同签订之日起2个工作日内，采购人应当将政府采购合同在规定的媒体上公告，但政府采购合同中涉及国家秘密、商业秘密的内容除外。</w:t>
      </w:r>
    </w:p>
    <w:p>
      <w:pPr>
        <w:pStyle w:val="43"/>
        <w:numPr>
          <w:ilvl w:val="0"/>
          <w:numId w:val="9"/>
        </w:numPr>
        <w:spacing w:line="360" w:lineRule="auto"/>
        <w:ind w:left="284" w:hanging="284" w:firstLineChars="0"/>
        <w:rPr>
          <w:b/>
          <w:szCs w:val="24"/>
          <w:lang w:val="zh-CN"/>
        </w:rPr>
      </w:pPr>
      <w:r>
        <w:rPr>
          <w:rFonts w:hint="eastAsia"/>
          <w:b/>
          <w:szCs w:val="24"/>
          <w:lang w:val="zh-CN"/>
        </w:rPr>
        <w:t>合同变更</w:t>
      </w:r>
    </w:p>
    <w:p>
      <w:pPr>
        <w:numPr>
          <w:ilvl w:val="0"/>
          <w:numId w:val="38"/>
        </w:numPr>
        <w:tabs>
          <w:tab w:val="left" w:pos="616"/>
        </w:tabs>
        <w:wordWrap w:val="0"/>
        <w:adjustRightInd w:val="0"/>
        <w:snapToGrid w:val="0"/>
        <w:spacing w:line="360" w:lineRule="auto"/>
        <w:rPr>
          <w:rFonts w:cs="Helvetica"/>
          <w:szCs w:val="24"/>
          <w:lang w:val="zh-CN"/>
        </w:rPr>
      </w:pPr>
      <w:r>
        <w:rPr>
          <w:rFonts w:hint="eastAsia"/>
          <w:szCs w:val="24"/>
          <w:lang w:val="zh-CN"/>
        </w:rPr>
        <w:t>政府采购合同的双方当事人不得擅自变更、中止或终止合同。</w:t>
      </w:r>
    </w:p>
    <w:p>
      <w:pPr>
        <w:numPr>
          <w:ilvl w:val="0"/>
          <w:numId w:val="38"/>
        </w:numPr>
        <w:tabs>
          <w:tab w:val="left" w:pos="616"/>
        </w:tabs>
        <w:wordWrap w:val="0"/>
        <w:adjustRightInd w:val="0"/>
        <w:snapToGrid w:val="0"/>
        <w:spacing w:line="360" w:lineRule="auto"/>
        <w:ind w:left="616" w:hanging="616"/>
        <w:rPr>
          <w:rFonts w:cs="Helvetica"/>
          <w:szCs w:val="24"/>
          <w:lang w:val="zh-CN"/>
        </w:rPr>
      </w:pPr>
      <w:r>
        <w:rPr>
          <w:rFonts w:hint="eastAsia" w:cs="Helvetica"/>
          <w:szCs w:val="24"/>
          <w:lang w:val="zh-CN"/>
        </w:rPr>
        <w:t>政府采购合同履行中，采购人需追加与合同标的相同的货物或服务的，在不改变合同其它条款的前提下，可以与中标人协商签订补充合同，但所有补充合同的采购金额不得超过原合同采购金额的百分之十</w:t>
      </w:r>
      <w:r>
        <w:rPr>
          <w:rFonts w:cs="Helvetica"/>
          <w:szCs w:val="24"/>
          <w:lang w:val="zh-CN"/>
        </w:rPr>
        <w:t>。</w:t>
      </w:r>
    </w:p>
    <w:p>
      <w:pPr>
        <w:numPr>
          <w:ilvl w:val="0"/>
          <w:numId w:val="38"/>
        </w:numPr>
        <w:tabs>
          <w:tab w:val="left" w:pos="616"/>
        </w:tabs>
        <w:wordWrap w:val="0"/>
        <w:adjustRightInd w:val="0"/>
        <w:snapToGrid w:val="0"/>
        <w:spacing w:line="360" w:lineRule="auto"/>
        <w:ind w:left="616" w:hanging="616"/>
        <w:rPr>
          <w:szCs w:val="24"/>
          <w:lang w:val="zh-CN"/>
        </w:rPr>
      </w:pPr>
      <w:r>
        <w:rPr>
          <w:rFonts w:hint="eastAsia"/>
          <w:szCs w:val="24"/>
          <w:lang w:val="zh-CN"/>
        </w:rPr>
        <w:t>政府采购合同继续履行将损害国家利益和社会公共利益的，双方当事人应当变更、中止或终止合同。有过错的一方应当承担赔偿责任，双方都过错的，各自承担相应的责任。</w:t>
      </w:r>
    </w:p>
    <w:p>
      <w:pPr>
        <w:pStyle w:val="43"/>
        <w:numPr>
          <w:ilvl w:val="0"/>
          <w:numId w:val="9"/>
        </w:numPr>
        <w:spacing w:line="360" w:lineRule="auto"/>
        <w:ind w:left="284" w:hanging="284" w:firstLineChars="0"/>
        <w:rPr>
          <w:b/>
          <w:szCs w:val="24"/>
          <w:lang w:val="zh-CN"/>
        </w:rPr>
      </w:pPr>
      <w:bookmarkStart w:id="299" w:name="_Toc102114888"/>
      <w:bookmarkStart w:id="300" w:name="_Toc102116120"/>
      <w:bookmarkStart w:id="301" w:name="_Toc102115990"/>
      <w:bookmarkStart w:id="302" w:name="_Toc102119821"/>
      <w:r>
        <w:rPr>
          <w:rFonts w:hint="eastAsia"/>
          <w:b/>
          <w:szCs w:val="24"/>
          <w:lang w:val="zh-CN"/>
        </w:rPr>
        <w:t>合同融资</w:t>
      </w:r>
    </w:p>
    <w:p>
      <w:pPr>
        <w:wordWrap w:val="0"/>
        <w:adjustRightInd w:val="0"/>
        <w:snapToGrid w:val="0"/>
        <w:spacing w:line="360" w:lineRule="auto"/>
        <w:ind w:firstLine="480" w:firstLineChars="200"/>
        <w:rPr>
          <w:lang w:val="zh-CN"/>
        </w:rPr>
      </w:pPr>
      <w:r>
        <w:rPr>
          <w:rFonts w:hint="eastAsia"/>
          <w:szCs w:val="24"/>
          <w:lang w:val="zh-CN"/>
        </w:rPr>
        <w:t>政府采购合同融资（政采贷）：为加大金融支持实体经济发展的力度，充分发挥政府采购支持中小企业发展的政策功能，参与政府采购活动的中小微企业，若有融资需求，在获得政府采购中标（成交）通知书后，登陆</w:t>
      </w:r>
      <w:r>
        <w:rPr>
          <w:rFonts w:hint="eastAsia"/>
          <w:b/>
          <w:szCs w:val="24"/>
          <w:lang w:val="zh-CN"/>
        </w:rPr>
        <w:t>“投标人须知前附表”</w:t>
      </w:r>
      <w:r>
        <w:rPr>
          <w:rFonts w:hint="eastAsia"/>
          <w:szCs w:val="24"/>
          <w:lang w:val="zh-CN"/>
        </w:rPr>
        <w:t>规定的平台，向开展“政采贷”业务的金融机构（</w:t>
      </w:r>
      <w:r>
        <w:rPr>
          <w:rFonts w:hint="eastAsia"/>
          <w:b/>
          <w:bCs/>
          <w:szCs w:val="24"/>
          <w:lang w:val="zh-CN"/>
        </w:rPr>
        <w:t>工商银行</w:t>
      </w:r>
      <w:r>
        <w:rPr>
          <w:rFonts w:hint="eastAsia" w:cs="宋体"/>
          <w:b/>
          <w:bCs/>
          <w:szCs w:val="24"/>
          <w:lang w:val="zh-CN"/>
        </w:rPr>
        <w:t>&lt;</w:t>
      </w:r>
      <w:r>
        <w:rPr>
          <w:rFonts w:hint="eastAsia"/>
          <w:b/>
          <w:bCs/>
          <w:szCs w:val="24"/>
          <w:lang w:val="zh-CN"/>
        </w:rPr>
        <w:t>徐波13034466116</w:t>
      </w:r>
      <w:r>
        <w:rPr>
          <w:rFonts w:hint="eastAsia" w:cs="宋体"/>
          <w:b/>
          <w:bCs/>
          <w:szCs w:val="24"/>
          <w:lang w:val="zh-CN"/>
        </w:rPr>
        <w:t>&gt;</w:t>
      </w:r>
      <w:r>
        <w:rPr>
          <w:rFonts w:hint="eastAsia"/>
          <w:b/>
          <w:bCs/>
          <w:szCs w:val="24"/>
          <w:lang w:val="zh-CN"/>
        </w:rPr>
        <w:t>、农业银行</w:t>
      </w:r>
      <w:r>
        <w:rPr>
          <w:rFonts w:hint="eastAsia" w:cs="宋体"/>
          <w:b/>
          <w:bCs/>
          <w:szCs w:val="24"/>
          <w:lang w:val="zh-CN"/>
        </w:rPr>
        <w:t>&lt;贺林13476581567&gt;</w:t>
      </w:r>
      <w:r>
        <w:rPr>
          <w:rFonts w:hint="eastAsia"/>
          <w:b/>
          <w:bCs/>
          <w:szCs w:val="24"/>
          <w:lang w:val="zh-CN"/>
        </w:rPr>
        <w:t>、中国银行</w:t>
      </w:r>
      <w:r>
        <w:rPr>
          <w:rFonts w:hint="eastAsia" w:cs="宋体"/>
          <w:b/>
          <w:bCs/>
          <w:szCs w:val="24"/>
          <w:lang w:val="zh-CN"/>
        </w:rPr>
        <w:t>&lt;杨浩18971709012&gt;</w:t>
      </w:r>
      <w:r>
        <w:rPr>
          <w:rFonts w:hint="eastAsia"/>
          <w:b/>
          <w:bCs/>
          <w:szCs w:val="24"/>
          <w:lang w:val="zh-CN"/>
        </w:rPr>
        <w:t>、建设银行</w:t>
      </w:r>
      <w:r>
        <w:rPr>
          <w:rFonts w:hint="eastAsia" w:cs="宋体"/>
          <w:b/>
          <w:bCs/>
          <w:szCs w:val="24"/>
          <w:lang w:val="zh-CN"/>
        </w:rPr>
        <w:t>&lt;胡桂根18972759460&gt;</w:t>
      </w:r>
      <w:r>
        <w:rPr>
          <w:rFonts w:hint="eastAsia"/>
          <w:b/>
          <w:bCs/>
          <w:szCs w:val="24"/>
          <w:lang w:val="zh-CN"/>
        </w:rPr>
        <w:t>、交通银行</w:t>
      </w:r>
      <w:r>
        <w:rPr>
          <w:rFonts w:hint="eastAsia" w:cs="宋体"/>
          <w:b/>
          <w:bCs/>
          <w:szCs w:val="24"/>
          <w:lang w:val="zh-CN"/>
        </w:rPr>
        <w:t>&lt;陈俊卿17671709372&gt;</w:t>
      </w:r>
      <w:r>
        <w:rPr>
          <w:rFonts w:hint="eastAsia"/>
          <w:b/>
          <w:bCs/>
          <w:szCs w:val="24"/>
          <w:lang w:val="zh-CN"/>
        </w:rPr>
        <w:t>、湖北银行</w:t>
      </w:r>
      <w:r>
        <w:rPr>
          <w:rFonts w:hint="eastAsia" w:cs="宋体"/>
          <w:b/>
          <w:bCs/>
          <w:szCs w:val="24"/>
          <w:lang w:val="zh-CN"/>
        </w:rPr>
        <w:t>&lt;刘冲13092735161&gt;</w:t>
      </w:r>
      <w:r>
        <w:rPr>
          <w:rFonts w:hint="eastAsia"/>
          <w:b/>
          <w:bCs/>
          <w:szCs w:val="24"/>
          <w:lang w:val="zh-CN"/>
        </w:rPr>
        <w:t>、黄冈农商银行</w:t>
      </w:r>
      <w:r>
        <w:rPr>
          <w:rFonts w:hint="eastAsia" w:cs="宋体"/>
          <w:b/>
          <w:bCs/>
          <w:szCs w:val="24"/>
          <w:lang w:val="zh-CN"/>
        </w:rPr>
        <w:t>&lt;甘清泉15971367189&gt;</w:t>
      </w:r>
      <w:r>
        <w:rPr>
          <w:rFonts w:hint="eastAsia"/>
          <w:szCs w:val="24"/>
          <w:lang w:val="zh-CN"/>
        </w:rPr>
        <w:t>）提出申请，金融机构依据政府采购中标（成交）通知书和政府采购合同，为其提供融资服务。</w:t>
      </w:r>
      <w:bookmarkEnd w:id="299"/>
      <w:bookmarkEnd w:id="300"/>
      <w:bookmarkEnd w:id="301"/>
      <w:bookmarkEnd w:id="302"/>
    </w:p>
    <w:p>
      <w:pPr>
        <w:pStyle w:val="3"/>
        <w:numPr>
          <w:ilvl w:val="0"/>
          <w:numId w:val="8"/>
        </w:numPr>
        <w:adjustRightInd w:val="0"/>
        <w:snapToGrid w:val="0"/>
        <w:spacing w:before="218" w:beforeLines="70" w:after="0" w:line="360" w:lineRule="auto"/>
        <w:ind w:left="658" w:hanging="658"/>
        <w:jc w:val="center"/>
        <w:rPr>
          <w:rFonts w:ascii="宋体" w:hAnsi="宋体" w:eastAsia="宋体" w:cs="Times New Roman"/>
          <w:bCs w:val="0"/>
          <w:sz w:val="28"/>
          <w:szCs w:val="28"/>
          <w:lang w:val="zh-CN"/>
        </w:rPr>
      </w:pPr>
      <w:bookmarkStart w:id="303" w:name="_Toc22613"/>
      <w:bookmarkStart w:id="304" w:name="_Toc102056225"/>
      <w:bookmarkStart w:id="305" w:name="_Toc117244470"/>
      <w:bookmarkStart w:id="306" w:name="_Toc117244355"/>
      <w:bookmarkStart w:id="307" w:name="_Toc102116159"/>
      <w:bookmarkStart w:id="308" w:name="_Toc102114927"/>
      <w:bookmarkStart w:id="309" w:name="_Toc511894502"/>
      <w:bookmarkStart w:id="310" w:name="_Toc102116029"/>
      <w:bookmarkStart w:id="311" w:name="_Toc102119860"/>
      <w:bookmarkStart w:id="312" w:name="_Toc511889424"/>
      <w:bookmarkStart w:id="313" w:name="_Toc102057725"/>
      <w:bookmarkStart w:id="314" w:name="_Toc23795"/>
      <w:r>
        <w:rPr>
          <w:rFonts w:hint="eastAsia" w:ascii="宋体" w:hAnsi="宋体" w:eastAsia="宋体" w:cs="Times New Roman"/>
          <w:bCs w:val="0"/>
          <w:sz w:val="28"/>
          <w:szCs w:val="28"/>
          <w:lang w:val="zh-CN"/>
        </w:rPr>
        <w:t>询问与质疑</w:t>
      </w:r>
      <w:bookmarkEnd w:id="303"/>
      <w:bookmarkEnd w:id="304"/>
      <w:bookmarkEnd w:id="305"/>
      <w:bookmarkEnd w:id="306"/>
      <w:bookmarkEnd w:id="307"/>
      <w:bookmarkEnd w:id="308"/>
      <w:bookmarkEnd w:id="309"/>
      <w:bookmarkEnd w:id="310"/>
      <w:bookmarkEnd w:id="311"/>
      <w:bookmarkEnd w:id="312"/>
      <w:bookmarkEnd w:id="313"/>
      <w:bookmarkEnd w:id="314"/>
    </w:p>
    <w:p>
      <w:pPr>
        <w:pStyle w:val="43"/>
        <w:numPr>
          <w:ilvl w:val="0"/>
          <w:numId w:val="9"/>
        </w:numPr>
        <w:spacing w:line="360" w:lineRule="auto"/>
        <w:ind w:left="284" w:hanging="284" w:firstLineChars="0"/>
        <w:rPr>
          <w:b/>
          <w:szCs w:val="24"/>
          <w:lang w:val="zh-CN"/>
        </w:rPr>
      </w:pPr>
      <w:bookmarkStart w:id="315" w:name="_Toc102116030"/>
      <w:bookmarkStart w:id="316" w:name="_Toc102056226"/>
      <w:bookmarkStart w:id="317" w:name="_Toc102119861"/>
      <w:bookmarkStart w:id="318" w:name="_Toc102114928"/>
      <w:bookmarkStart w:id="319" w:name="_Toc102057726"/>
      <w:bookmarkStart w:id="320" w:name="_Toc102116160"/>
      <w:r>
        <w:rPr>
          <w:rFonts w:hint="eastAsia"/>
          <w:b/>
          <w:szCs w:val="24"/>
          <w:lang w:val="zh-CN"/>
        </w:rPr>
        <w:t>询问</w:t>
      </w:r>
      <w:bookmarkEnd w:id="315"/>
      <w:bookmarkEnd w:id="316"/>
      <w:bookmarkEnd w:id="317"/>
      <w:bookmarkEnd w:id="318"/>
      <w:bookmarkEnd w:id="319"/>
      <w:bookmarkEnd w:id="320"/>
    </w:p>
    <w:p>
      <w:pPr>
        <w:numPr>
          <w:ilvl w:val="0"/>
          <w:numId w:val="39"/>
        </w:numPr>
        <w:tabs>
          <w:tab w:val="left" w:pos="616"/>
        </w:tabs>
        <w:wordWrap w:val="0"/>
        <w:adjustRightInd w:val="0"/>
        <w:snapToGrid w:val="0"/>
        <w:spacing w:line="360" w:lineRule="auto"/>
        <w:rPr>
          <w:lang w:val="zh-CN"/>
        </w:rPr>
      </w:pPr>
      <w:r>
        <w:rPr>
          <w:rFonts w:hint="eastAsia"/>
          <w:szCs w:val="24"/>
          <w:lang w:val="zh-CN"/>
        </w:rPr>
        <w:t>潜在投标人对招标文件（或招标活动事项）有疑问的，可以在招标公告期限届满之日（或各招标程序活动结束之日）起7个工作日内通过电话或电子采购平台，依法向采购人或集中采购机构提出询问，采购人或集中采购机构应在3个工作日内作出答复。</w:t>
      </w:r>
    </w:p>
    <w:p>
      <w:pPr>
        <w:numPr>
          <w:ilvl w:val="0"/>
          <w:numId w:val="39"/>
        </w:numPr>
        <w:tabs>
          <w:tab w:val="left" w:pos="616"/>
        </w:tabs>
        <w:wordWrap w:val="0"/>
        <w:adjustRightInd w:val="0"/>
        <w:snapToGrid w:val="0"/>
        <w:spacing w:line="360" w:lineRule="auto"/>
        <w:rPr>
          <w:lang w:val="zh-CN"/>
        </w:rPr>
      </w:pPr>
      <w:r>
        <w:rPr>
          <w:rFonts w:hint="eastAsia"/>
          <w:lang w:val="zh-CN"/>
        </w:rPr>
        <w:t>询问联系方式：详见</w:t>
      </w:r>
      <w:r>
        <w:rPr>
          <w:rFonts w:hint="eastAsia"/>
          <w:b/>
          <w:lang w:val="zh-CN"/>
        </w:rPr>
        <w:t>“投标人须知前附表”</w:t>
      </w:r>
      <w:r>
        <w:rPr>
          <w:rFonts w:hint="eastAsia"/>
          <w:lang w:val="zh-CN"/>
        </w:rPr>
        <w:t>。</w:t>
      </w:r>
    </w:p>
    <w:p>
      <w:pPr>
        <w:pStyle w:val="43"/>
        <w:numPr>
          <w:ilvl w:val="0"/>
          <w:numId w:val="9"/>
        </w:numPr>
        <w:spacing w:line="360" w:lineRule="auto"/>
        <w:ind w:left="284" w:hanging="284" w:firstLineChars="0"/>
        <w:rPr>
          <w:b/>
          <w:szCs w:val="24"/>
          <w:lang w:val="zh-CN"/>
        </w:rPr>
      </w:pPr>
      <w:bookmarkStart w:id="321" w:name="_Toc102119862"/>
      <w:bookmarkStart w:id="322" w:name="_Toc102056227"/>
      <w:bookmarkStart w:id="323" w:name="_Toc102057727"/>
      <w:bookmarkStart w:id="324" w:name="_Toc102116031"/>
      <w:bookmarkStart w:id="325" w:name="_Toc102114929"/>
      <w:bookmarkStart w:id="326" w:name="_Toc102116161"/>
      <w:r>
        <w:rPr>
          <w:rFonts w:hint="eastAsia"/>
          <w:b/>
          <w:szCs w:val="24"/>
          <w:lang w:val="zh-CN"/>
        </w:rPr>
        <w:t>质疑</w:t>
      </w:r>
      <w:bookmarkEnd w:id="321"/>
      <w:bookmarkEnd w:id="322"/>
      <w:bookmarkEnd w:id="323"/>
      <w:bookmarkEnd w:id="324"/>
      <w:bookmarkEnd w:id="325"/>
      <w:bookmarkEnd w:id="326"/>
    </w:p>
    <w:p>
      <w:pPr>
        <w:numPr>
          <w:ilvl w:val="0"/>
          <w:numId w:val="40"/>
        </w:numPr>
        <w:tabs>
          <w:tab w:val="left" w:pos="616"/>
        </w:tabs>
        <w:wordWrap w:val="0"/>
        <w:adjustRightInd w:val="0"/>
        <w:snapToGrid w:val="0"/>
        <w:spacing w:line="360" w:lineRule="auto"/>
        <w:rPr>
          <w:lang w:val="zh-CN"/>
        </w:rPr>
      </w:pPr>
      <w:r>
        <w:rPr>
          <w:rFonts w:hint="eastAsia"/>
          <w:lang w:val="zh-CN"/>
        </w:rPr>
        <w:t>投标人认为招标文件、招标过程和中标结果使自己的权益受到损害的，可以在知道或者应知其权益受到损害之日起7个工作日内，向黄冈市政府采购中心提出质疑。</w:t>
      </w:r>
    </w:p>
    <w:p>
      <w:pPr>
        <w:numPr>
          <w:ilvl w:val="0"/>
          <w:numId w:val="40"/>
        </w:numPr>
        <w:tabs>
          <w:tab w:val="left" w:pos="616"/>
        </w:tabs>
        <w:wordWrap w:val="0"/>
        <w:adjustRightInd w:val="0"/>
        <w:snapToGrid w:val="0"/>
        <w:spacing w:line="360" w:lineRule="auto"/>
        <w:rPr>
          <w:lang w:val="zh-CN"/>
        </w:rPr>
      </w:pPr>
      <w:r>
        <w:rPr>
          <w:rFonts w:hint="eastAsia"/>
          <w:szCs w:val="24"/>
        </w:rPr>
        <w:t>质疑提出方式：</w:t>
      </w:r>
    </w:p>
    <w:p>
      <w:pPr>
        <w:pStyle w:val="43"/>
        <w:wordWrap w:val="0"/>
        <w:adjustRightInd w:val="0"/>
        <w:snapToGrid w:val="0"/>
        <w:spacing w:line="360" w:lineRule="auto"/>
        <w:ind w:left="567" w:firstLine="0" w:firstLineChars="0"/>
        <w:rPr>
          <w:szCs w:val="24"/>
        </w:rPr>
      </w:pPr>
      <w:r>
        <w:rPr>
          <w:rFonts w:hint="eastAsia"/>
          <w:szCs w:val="24"/>
        </w:rPr>
        <w:t>（1）登录电子采购平台，点击“我的质疑”→“提出质疑”，然后按提示进行操作；</w:t>
      </w:r>
    </w:p>
    <w:p>
      <w:pPr>
        <w:pStyle w:val="43"/>
        <w:wordWrap w:val="0"/>
        <w:adjustRightInd w:val="0"/>
        <w:snapToGrid w:val="0"/>
        <w:spacing w:line="360" w:lineRule="auto"/>
        <w:ind w:left="567" w:firstLine="0" w:firstLineChars="0"/>
        <w:rPr>
          <w:lang w:val="zh-CN"/>
        </w:rPr>
      </w:pPr>
      <w:r>
        <w:rPr>
          <w:rFonts w:hint="eastAsia"/>
          <w:szCs w:val="24"/>
        </w:rPr>
        <w:t>（2）线下提交《质疑函》。</w:t>
      </w:r>
      <w:r>
        <w:rPr>
          <w:rFonts w:hint="eastAsia"/>
          <w:lang w:val="zh-CN"/>
        </w:rPr>
        <w:t>质疑受理时间以签收投标质疑函时间为准。</w:t>
      </w:r>
    </w:p>
    <w:p>
      <w:pPr>
        <w:numPr>
          <w:ilvl w:val="0"/>
          <w:numId w:val="40"/>
        </w:numPr>
        <w:tabs>
          <w:tab w:val="left" w:pos="616"/>
        </w:tabs>
        <w:wordWrap w:val="0"/>
        <w:adjustRightInd w:val="0"/>
        <w:snapToGrid w:val="0"/>
        <w:spacing w:line="360" w:lineRule="auto"/>
        <w:rPr>
          <w:szCs w:val="24"/>
          <w:lang w:val="zh-CN"/>
        </w:rPr>
      </w:pPr>
      <w:r>
        <w:rPr>
          <w:rFonts w:hint="eastAsia"/>
          <w:szCs w:val="24"/>
          <w:lang w:val="zh-CN"/>
        </w:rPr>
        <w:t>质疑</w:t>
      </w:r>
      <w:r>
        <w:rPr>
          <w:rFonts w:hint="eastAsia"/>
          <w:szCs w:val="24"/>
        </w:rPr>
        <w:t>联系方式：详见“</w:t>
      </w:r>
      <w:r>
        <w:rPr>
          <w:rFonts w:hint="eastAsia"/>
          <w:b/>
          <w:bCs/>
          <w:szCs w:val="24"/>
        </w:rPr>
        <w:t>投标人须知前附表</w:t>
      </w:r>
      <w:r>
        <w:rPr>
          <w:rFonts w:hint="eastAsia"/>
          <w:szCs w:val="24"/>
        </w:rPr>
        <w:t>”。</w:t>
      </w:r>
    </w:p>
    <w:p>
      <w:pPr>
        <w:numPr>
          <w:ilvl w:val="0"/>
          <w:numId w:val="40"/>
        </w:numPr>
        <w:tabs>
          <w:tab w:val="left" w:pos="616"/>
        </w:tabs>
        <w:wordWrap w:val="0"/>
        <w:adjustRightInd w:val="0"/>
        <w:snapToGrid w:val="0"/>
        <w:spacing w:line="360" w:lineRule="auto"/>
        <w:rPr>
          <w:szCs w:val="24"/>
          <w:lang w:val="zh-CN"/>
        </w:rPr>
      </w:pPr>
      <w:r>
        <w:rPr>
          <w:rFonts w:hint="eastAsia"/>
          <w:szCs w:val="24"/>
          <w:lang w:val="zh-CN"/>
        </w:rPr>
        <w:t>质疑函应当按照《政府采购质疑和投诉办法》（财政部令 第94号）规定的内容和中国政府采购网“政府采购供应商质疑函范本”（http://download.ccgp.gov.cn/2018/zhiyihanfanben.zip）的格式提交。</w:t>
      </w:r>
    </w:p>
    <w:p>
      <w:pPr>
        <w:numPr>
          <w:ilvl w:val="0"/>
          <w:numId w:val="40"/>
        </w:numPr>
        <w:tabs>
          <w:tab w:val="left" w:pos="616"/>
        </w:tabs>
        <w:wordWrap w:val="0"/>
        <w:adjustRightInd w:val="0"/>
        <w:snapToGrid w:val="0"/>
        <w:spacing w:line="360" w:lineRule="auto"/>
        <w:rPr>
          <w:szCs w:val="24"/>
          <w:lang w:val="zh-CN"/>
        </w:rPr>
      </w:pPr>
      <w:r>
        <w:rPr>
          <w:rFonts w:hint="eastAsia"/>
          <w:b/>
          <w:bCs/>
          <w:szCs w:val="24"/>
          <w:lang w:val="zh-CN"/>
        </w:rPr>
        <w:t>针对同一招标程序环节的质疑须在法定质疑期内一次性提出</w:t>
      </w:r>
      <w:r>
        <w:rPr>
          <w:rFonts w:hint="eastAsia"/>
          <w:szCs w:val="24"/>
          <w:lang w:val="zh-CN"/>
        </w:rPr>
        <w:t>。</w:t>
      </w:r>
    </w:p>
    <w:p>
      <w:pPr>
        <w:numPr>
          <w:ilvl w:val="0"/>
          <w:numId w:val="40"/>
        </w:numPr>
        <w:tabs>
          <w:tab w:val="left" w:pos="616"/>
        </w:tabs>
        <w:wordWrap w:val="0"/>
        <w:adjustRightInd w:val="0"/>
        <w:snapToGrid w:val="0"/>
        <w:spacing w:line="360" w:lineRule="auto"/>
        <w:rPr>
          <w:szCs w:val="24"/>
          <w:lang w:val="zh-CN"/>
        </w:rPr>
      </w:pPr>
      <w:r>
        <w:rPr>
          <w:rFonts w:hint="eastAsia"/>
          <w:szCs w:val="24"/>
          <w:lang w:val="zh-CN"/>
        </w:rPr>
        <w:t>投标人未按规定的时限、内容及方式进行质疑的，集中采购机构有权不予受理。</w:t>
      </w:r>
    </w:p>
    <w:p>
      <w:pPr>
        <w:pStyle w:val="3"/>
        <w:numPr>
          <w:ilvl w:val="0"/>
          <w:numId w:val="8"/>
        </w:numPr>
        <w:adjustRightInd w:val="0"/>
        <w:snapToGrid w:val="0"/>
        <w:spacing w:before="218" w:beforeLines="70" w:after="0" w:line="360" w:lineRule="auto"/>
        <w:ind w:left="658" w:hanging="658"/>
        <w:jc w:val="center"/>
        <w:rPr>
          <w:rFonts w:ascii="宋体" w:hAnsi="宋体" w:eastAsia="宋体" w:cs="Times New Roman"/>
          <w:bCs w:val="0"/>
          <w:sz w:val="28"/>
          <w:szCs w:val="28"/>
          <w:lang w:val="zh-CN"/>
        </w:rPr>
      </w:pPr>
      <w:bookmarkStart w:id="327" w:name="_Toc117244356"/>
      <w:bookmarkStart w:id="328" w:name="_Toc16067"/>
      <w:bookmarkStart w:id="329" w:name="_Toc117244471"/>
      <w:bookmarkStart w:id="330" w:name="_Toc7413"/>
      <w:r>
        <w:rPr>
          <w:rFonts w:hint="eastAsia" w:ascii="宋体" w:hAnsi="宋体" w:eastAsia="宋体" w:cs="Times New Roman"/>
          <w:bCs w:val="0"/>
          <w:sz w:val="28"/>
          <w:szCs w:val="28"/>
          <w:lang w:val="zh-CN"/>
        </w:rPr>
        <w:t>政府采购政策</w:t>
      </w:r>
      <w:bookmarkEnd w:id="327"/>
      <w:bookmarkEnd w:id="328"/>
      <w:bookmarkEnd w:id="329"/>
      <w:bookmarkEnd w:id="330"/>
    </w:p>
    <w:p>
      <w:pPr>
        <w:pStyle w:val="43"/>
        <w:numPr>
          <w:ilvl w:val="0"/>
          <w:numId w:val="9"/>
        </w:numPr>
        <w:spacing w:line="360" w:lineRule="auto"/>
        <w:ind w:left="284" w:hanging="284" w:firstLineChars="0"/>
        <w:rPr>
          <w:b/>
          <w:szCs w:val="24"/>
          <w:lang w:val="zh-CN"/>
        </w:rPr>
      </w:pPr>
      <w:bookmarkStart w:id="331" w:name="_Toc102119815"/>
      <w:bookmarkStart w:id="332" w:name="_Toc102057681"/>
      <w:bookmarkStart w:id="333" w:name="_Toc102116114"/>
      <w:bookmarkStart w:id="334" w:name="_Toc102056181"/>
      <w:bookmarkStart w:id="335" w:name="_Toc102115984"/>
      <w:bookmarkStart w:id="336" w:name="_Toc102114882"/>
      <w:r>
        <w:rPr>
          <w:rFonts w:hint="eastAsia"/>
          <w:b/>
          <w:szCs w:val="24"/>
          <w:lang w:val="zh-CN"/>
        </w:rPr>
        <w:t>政府采购政策</w:t>
      </w:r>
      <w:bookmarkEnd w:id="331"/>
      <w:bookmarkEnd w:id="332"/>
      <w:bookmarkEnd w:id="333"/>
      <w:bookmarkEnd w:id="334"/>
      <w:bookmarkEnd w:id="335"/>
      <w:bookmarkEnd w:id="336"/>
    </w:p>
    <w:p>
      <w:pPr>
        <w:wordWrap w:val="0"/>
        <w:adjustRightInd w:val="0"/>
        <w:snapToGrid w:val="0"/>
        <w:spacing w:line="360" w:lineRule="auto"/>
        <w:ind w:firstLine="480" w:firstLineChars="200"/>
        <w:rPr>
          <w:szCs w:val="24"/>
          <w:lang w:val="zh-CN"/>
        </w:rPr>
      </w:pPr>
      <w:r>
        <w:rPr>
          <w:rFonts w:hint="eastAsia"/>
          <w:szCs w:val="24"/>
          <w:lang w:val="zh-CN"/>
        </w:rPr>
        <w:t>政府采购活动中应落实节约资源、</w:t>
      </w:r>
      <w:r>
        <w:rPr>
          <w:rFonts w:hint="eastAsia" w:cs="宋体"/>
          <w:szCs w:val="24"/>
          <w:lang w:val="zh-CN"/>
        </w:rPr>
        <w:t>保护</w:t>
      </w:r>
      <w:r>
        <w:rPr>
          <w:rFonts w:hint="eastAsia"/>
          <w:szCs w:val="24"/>
          <w:lang w:val="zh-CN"/>
        </w:rPr>
        <w:t>环境、支持创新、支持绿色发展、扶持不发达地区和少数民族地区、促进中小企业发展等政策。</w:t>
      </w:r>
    </w:p>
    <w:p>
      <w:pPr>
        <w:pStyle w:val="43"/>
        <w:numPr>
          <w:ilvl w:val="0"/>
          <w:numId w:val="9"/>
        </w:numPr>
        <w:spacing w:line="360" w:lineRule="auto"/>
        <w:ind w:left="284" w:hanging="284" w:firstLineChars="0"/>
        <w:rPr>
          <w:b/>
          <w:szCs w:val="24"/>
          <w:lang w:val="zh-CN"/>
        </w:rPr>
      </w:pPr>
      <w:r>
        <w:rPr>
          <w:rFonts w:hint="eastAsia"/>
          <w:b/>
          <w:szCs w:val="24"/>
          <w:lang w:val="zh-CN"/>
        </w:rPr>
        <w:t>政府</w:t>
      </w:r>
      <w:r>
        <w:rPr>
          <w:b/>
          <w:szCs w:val="24"/>
          <w:lang w:val="zh-CN"/>
        </w:rPr>
        <w:t>采购政策</w:t>
      </w:r>
      <w:r>
        <w:rPr>
          <w:rFonts w:hint="eastAsia"/>
          <w:b/>
          <w:szCs w:val="24"/>
          <w:lang w:val="zh-CN"/>
        </w:rPr>
        <w:t>落实措施</w:t>
      </w:r>
    </w:p>
    <w:p>
      <w:pPr>
        <w:numPr>
          <w:ilvl w:val="0"/>
          <w:numId w:val="41"/>
        </w:numPr>
        <w:tabs>
          <w:tab w:val="left" w:pos="616"/>
        </w:tabs>
        <w:wordWrap w:val="0"/>
        <w:adjustRightInd w:val="0"/>
        <w:snapToGrid w:val="0"/>
        <w:spacing w:line="360" w:lineRule="auto"/>
        <w:rPr>
          <w:szCs w:val="24"/>
          <w:lang w:val="zh-CN"/>
        </w:rPr>
      </w:pPr>
      <w:r>
        <w:rPr>
          <w:rFonts w:hint="eastAsia"/>
          <w:szCs w:val="24"/>
          <w:lang w:val="zh-CN"/>
        </w:rPr>
        <w:t>强制采购和优先采购：节能环保产品应按照《关于调整优化节能产品、环境标志产品政府采购执行机制的通知》（财库〔2019〕9号）、《关于印发环境标志产品政府采购品目清单的通知》（财库〔2019〕18号）和《关于印发节能产品政府采购品目清单的通知》（财库〔2019〕19号）规定执行强制和优先采购；信息安全产品应按照国家质检总局、认监委《关于部分信息安全产品实施强制性认证的公告》（2008年第7号）和《关于信息安全产品实施政府采购的通知》（财库〔2010〕48号）规定对强制性认证产品实施强制采购。项目若涉及采购节能环保产品、信息安全产品的，具体要求详见“第三章 采购需求”和“第五章 评标办法”。</w:t>
      </w:r>
    </w:p>
    <w:p>
      <w:pPr>
        <w:numPr>
          <w:ilvl w:val="0"/>
          <w:numId w:val="41"/>
        </w:numPr>
        <w:tabs>
          <w:tab w:val="left" w:pos="616"/>
        </w:tabs>
        <w:wordWrap w:val="0"/>
        <w:adjustRightInd w:val="0"/>
        <w:snapToGrid w:val="0"/>
        <w:spacing w:line="360" w:lineRule="auto"/>
        <w:rPr>
          <w:strike/>
          <w:szCs w:val="24"/>
          <w:lang w:val="zh-CN"/>
        </w:rPr>
      </w:pPr>
      <w:r>
        <w:rPr>
          <w:rFonts w:hint="eastAsia"/>
          <w:szCs w:val="24"/>
          <w:lang w:val="zh-CN"/>
        </w:rPr>
        <w:t>支持国产和进口产品审批：政府采购应当采购本国产品，确需采购进口产品的，采购人应按《关于政府采购进口产品管理有关问题的通知》（财办库〔</w:t>
      </w:r>
      <w:r>
        <w:rPr>
          <w:szCs w:val="24"/>
          <w:lang w:val="zh-CN"/>
        </w:rPr>
        <w:t>2008〕</w:t>
      </w:r>
      <w:r>
        <w:rPr>
          <w:rFonts w:hint="eastAsia"/>
          <w:szCs w:val="24"/>
          <w:lang w:val="zh-CN"/>
        </w:rPr>
        <w:t>248号）规定执行（进口产品审批制）。项目若涉及采购进口产品的，具体要求详见“第三章 采购需求”。</w:t>
      </w:r>
    </w:p>
    <w:p>
      <w:pPr>
        <w:numPr>
          <w:ilvl w:val="0"/>
          <w:numId w:val="41"/>
        </w:numPr>
        <w:tabs>
          <w:tab w:val="left" w:pos="616"/>
        </w:tabs>
        <w:wordWrap w:val="0"/>
        <w:adjustRightInd w:val="0"/>
        <w:snapToGrid w:val="0"/>
        <w:spacing w:line="360" w:lineRule="auto"/>
        <w:rPr>
          <w:strike/>
          <w:szCs w:val="24"/>
          <w:lang w:val="zh-CN"/>
        </w:rPr>
      </w:pPr>
      <w:r>
        <w:rPr>
          <w:rFonts w:hint="eastAsia"/>
          <w:szCs w:val="24"/>
          <w:lang w:val="zh-CN"/>
        </w:rPr>
        <w:t>预留采购份额及价格评审优惠：采购人应按《政府采购促进中小企业发展管理办法》（财库〔</w:t>
      </w:r>
      <w:r>
        <w:rPr>
          <w:szCs w:val="24"/>
          <w:lang w:val="zh-CN"/>
        </w:rPr>
        <w:t>2020〕</w:t>
      </w:r>
      <w:r>
        <w:rPr>
          <w:rFonts w:hint="eastAsia"/>
          <w:szCs w:val="24"/>
          <w:lang w:val="zh-CN"/>
        </w:rPr>
        <w:t>46号）、《关于进一步加大政府采购支持中小企业力度的通知》（财库〔2022〕19号）、</w:t>
      </w:r>
      <w:r>
        <w:rPr>
          <w:rFonts w:hint="eastAsia"/>
          <w:lang w:val="zh-CN"/>
        </w:rPr>
        <w:t>《湖北省人民政府办公厅关于印发持续深化一流营商环境建设若干措施的通知》</w:t>
      </w:r>
      <w:r>
        <w:rPr>
          <w:rFonts w:hint="eastAsia"/>
          <w:szCs w:val="24"/>
          <w:lang w:val="zh-CN"/>
        </w:rPr>
        <w:t>（鄂政办发〔</w:t>
      </w:r>
      <w:r>
        <w:rPr>
          <w:szCs w:val="24"/>
          <w:lang w:val="zh-CN"/>
        </w:rPr>
        <w:t>2022〕</w:t>
      </w:r>
      <w:r>
        <w:rPr>
          <w:rFonts w:hint="eastAsia"/>
          <w:szCs w:val="24"/>
          <w:lang w:val="zh-CN"/>
        </w:rPr>
        <w:t>2号）和《关于落实稳住经济一揽子政策进一步加大政府采购支持中小企业力度的通知》（鄂财采发〔</w:t>
      </w:r>
      <w:r>
        <w:rPr>
          <w:szCs w:val="24"/>
          <w:lang w:val="zh-CN"/>
        </w:rPr>
        <w:t>2022〕</w:t>
      </w:r>
      <w:r>
        <w:rPr>
          <w:rFonts w:hint="eastAsia"/>
          <w:szCs w:val="24"/>
          <w:lang w:val="zh-CN"/>
        </w:rPr>
        <w:t>5号）的规定，面向中小企业预留采购份额，对符合政策要求的企业进行价格评审优惠。项目若涉及预留采购份额的，具体要求详见“第一章 投标邀请”和“第三章 采购需求”；项目若涉及价格扣除的，具体要求详见“第五章 评标</w:t>
      </w:r>
      <w:r>
        <w:rPr>
          <w:szCs w:val="24"/>
          <w:lang w:val="zh-CN"/>
        </w:rPr>
        <w:t>办法</w:t>
      </w:r>
      <w:r>
        <w:rPr>
          <w:rFonts w:hint="eastAsia"/>
          <w:szCs w:val="24"/>
          <w:lang w:val="zh-CN"/>
        </w:rPr>
        <w:t>”。</w:t>
      </w:r>
    </w:p>
    <w:p>
      <w:pPr>
        <w:pStyle w:val="3"/>
        <w:numPr>
          <w:ilvl w:val="0"/>
          <w:numId w:val="8"/>
        </w:numPr>
        <w:adjustRightInd w:val="0"/>
        <w:snapToGrid w:val="0"/>
        <w:spacing w:before="218" w:beforeLines="70" w:after="0" w:line="360" w:lineRule="auto"/>
        <w:ind w:left="658" w:hanging="658"/>
        <w:jc w:val="center"/>
        <w:rPr>
          <w:rFonts w:ascii="宋体" w:hAnsi="宋体" w:eastAsia="宋体" w:cs="Times New Roman"/>
          <w:bCs w:val="0"/>
          <w:sz w:val="28"/>
          <w:szCs w:val="28"/>
          <w:lang w:val="zh-CN"/>
        </w:rPr>
      </w:pPr>
      <w:bookmarkStart w:id="337" w:name="_Toc117244357"/>
      <w:bookmarkStart w:id="338" w:name="_Toc24158"/>
      <w:bookmarkStart w:id="339" w:name="_Toc117244472"/>
      <w:bookmarkStart w:id="340" w:name="_Toc4915"/>
      <w:bookmarkStart w:id="341" w:name="_Toc10291"/>
      <w:r>
        <w:rPr>
          <w:rFonts w:hint="eastAsia" w:ascii="宋体" w:hAnsi="宋体" w:eastAsia="宋体" w:cs="Times New Roman"/>
          <w:bCs w:val="0"/>
          <w:sz w:val="28"/>
          <w:szCs w:val="28"/>
          <w:lang w:val="zh-CN"/>
        </w:rPr>
        <w:t>其  它</w:t>
      </w:r>
      <w:bookmarkEnd w:id="337"/>
      <w:bookmarkEnd w:id="338"/>
      <w:bookmarkEnd w:id="339"/>
      <w:bookmarkEnd w:id="340"/>
      <w:bookmarkEnd w:id="341"/>
    </w:p>
    <w:p>
      <w:pPr>
        <w:pStyle w:val="43"/>
        <w:numPr>
          <w:ilvl w:val="0"/>
          <w:numId w:val="9"/>
        </w:numPr>
        <w:spacing w:line="360" w:lineRule="auto"/>
        <w:ind w:left="284" w:hanging="284" w:firstLineChars="0"/>
        <w:rPr>
          <w:b/>
          <w:szCs w:val="24"/>
          <w:lang w:val="zh-CN"/>
        </w:rPr>
      </w:pPr>
      <w:bookmarkStart w:id="342" w:name="_Toc102116115"/>
      <w:bookmarkStart w:id="343" w:name="_Toc102114883"/>
      <w:bookmarkStart w:id="344" w:name="_Toc102056182"/>
      <w:bookmarkStart w:id="345" w:name="_Toc102057682"/>
      <w:bookmarkStart w:id="346" w:name="_Toc102115985"/>
      <w:bookmarkStart w:id="347" w:name="_Toc102119816"/>
      <w:r>
        <w:rPr>
          <w:rFonts w:hint="eastAsia"/>
          <w:b/>
          <w:szCs w:val="24"/>
          <w:lang w:val="zh-CN"/>
        </w:rPr>
        <w:t>重大违法记录</w:t>
      </w:r>
      <w:bookmarkEnd w:id="342"/>
      <w:bookmarkEnd w:id="343"/>
      <w:bookmarkEnd w:id="344"/>
      <w:bookmarkEnd w:id="345"/>
      <w:bookmarkEnd w:id="346"/>
      <w:bookmarkEnd w:id="347"/>
    </w:p>
    <w:p>
      <w:pPr>
        <w:numPr>
          <w:ilvl w:val="0"/>
          <w:numId w:val="42"/>
        </w:numPr>
        <w:tabs>
          <w:tab w:val="left" w:pos="616"/>
        </w:tabs>
        <w:wordWrap w:val="0"/>
        <w:adjustRightInd w:val="0"/>
        <w:snapToGrid w:val="0"/>
        <w:spacing w:line="360" w:lineRule="auto"/>
        <w:rPr>
          <w:lang w:val="zh-CN"/>
        </w:rPr>
      </w:pPr>
      <w:r>
        <w:rPr>
          <w:rFonts w:hint="eastAsia"/>
          <w:szCs w:val="24"/>
          <w:lang w:val="zh-CN"/>
        </w:rPr>
        <w:t>《政府采购法》第二十二条第一款第五项所称重大违法记录，是指供应商因违法经营受到刑事处罚或者责令停产停业、吊销许可证或者执照、较大数额罚款等行政处罚。</w:t>
      </w:r>
    </w:p>
    <w:p>
      <w:pPr>
        <w:numPr>
          <w:ilvl w:val="0"/>
          <w:numId w:val="42"/>
        </w:numPr>
        <w:tabs>
          <w:tab w:val="left" w:pos="616"/>
        </w:tabs>
        <w:wordWrap w:val="0"/>
        <w:adjustRightInd w:val="0"/>
        <w:snapToGrid w:val="0"/>
        <w:spacing w:line="360" w:lineRule="auto"/>
        <w:rPr>
          <w:szCs w:val="24"/>
        </w:rPr>
      </w:pPr>
      <w:r>
        <w:rPr>
          <w:rFonts w:hint="eastAsia"/>
          <w:szCs w:val="24"/>
        </w:rPr>
        <w:t>较大</w:t>
      </w:r>
      <w:r>
        <w:rPr>
          <w:rFonts w:hint="eastAsia"/>
          <w:lang w:val="zh-CN"/>
        </w:rPr>
        <w:t>数额</w:t>
      </w:r>
      <w:r>
        <w:rPr>
          <w:rFonts w:hint="eastAsia"/>
          <w:szCs w:val="24"/>
        </w:rPr>
        <w:t>罚款的认定：根据《财政部关于&lt;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pPr>
        <w:numPr>
          <w:ilvl w:val="0"/>
          <w:numId w:val="42"/>
        </w:numPr>
        <w:tabs>
          <w:tab w:val="left" w:pos="616"/>
        </w:tabs>
        <w:wordWrap w:val="0"/>
        <w:adjustRightInd w:val="0"/>
        <w:snapToGrid w:val="0"/>
        <w:spacing w:line="360" w:lineRule="auto"/>
        <w:rPr>
          <w:lang w:val="zh-CN"/>
        </w:rPr>
      </w:pPr>
      <w:r>
        <w:rPr>
          <w:rFonts w:hint="eastAsia"/>
          <w:szCs w:val="24"/>
        </w:rPr>
        <w:t>按照财政部《关于规范政府采购行政处罚有关问题的通知》的规定，</w:t>
      </w:r>
      <w:r>
        <w:rPr>
          <w:szCs w:val="24"/>
        </w:rPr>
        <w:t>各级人民政府财政部门依法对参加政府采购活动的</w:t>
      </w:r>
      <w:r>
        <w:rPr>
          <w:rFonts w:hint="eastAsia"/>
          <w:szCs w:val="24"/>
        </w:rPr>
        <w:t>投标人做</w:t>
      </w:r>
      <w:r>
        <w:rPr>
          <w:szCs w:val="24"/>
        </w:rPr>
        <w:t>出的禁止</w:t>
      </w:r>
      <w:r>
        <w:rPr>
          <w:rFonts w:hint="eastAsia"/>
          <w:szCs w:val="24"/>
        </w:rPr>
        <w:t>在一定期限内</w:t>
      </w:r>
      <w:r>
        <w:rPr>
          <w:szCs w:val="24"/>
        </w:rPr>
        <w:t>参加政府采购活动等行政处罚决定在</w:t>
      </w:r>
      <w:r>
        <w:rPr>
          <w:lang w:val="zh-CN"/>
        </w:rPr>
        <w:t>全国</w:t>
      </w:r>
      <w:r>
        <w:rPr>
          <w:szCs w:val="24"/>
        </w:rPr>
        <w:t>范围内生效</w:t>
      </w:r>
      <w:r>
        <w:rPr>
          <w:rFonts w:hint="eastAsia"/>
          <w:szCs w:val="24"/>
        </w:rPr>
        <w:t>。</w:t>
      </w:r>
    </w:p>
    <w:p>
      <w:pPr>
        <w:numPr>
          <w:ilvl w:val="0"/>
          <w:numId w:val="42"/>
        </w:numPr>
        <w:tabs>
          <w:tab w:val="left" w:pos="616"/>
        </w:tabs>
        <w:wordWrap w:val="0"/>
        <w:adjustRightInd w:val="0"/>
        <w:snapToGrid w:val="0"/>
        <w:spacing w:line="360" w:lineRule="auto"/>
        <w:rPr>
          <w:lang w:val="zh-CN"/>
        </w:rPr>
      </w:pPr>
      <w:r>
        <w:rPr>
          <w:rFonts w:hint="eastAsia"/>
          <w:szCs w:val="24"/>
        </w:rPr>
        <w:t>投标人在参加政府采购活动前3年内因违法经营被禁止在一定期限内参加政府采购活动，期限届满的，可以参加政府采购活动。</w:t>
      </w:r>
    </w:p>
    <w:p>
      <w:pPr>
        <w:pStyle w:val="43"/>
        <w:numPr>
          <w:ilvl w:val="0"/>
          <w:numId w:val="9"/>
        </w:numPr>
        <w:spacing w:line="360" w:lineRule="auto"/>
        <w:ind w:left="284" w:hanging="284" w:firstLineChars="0"/>
        <w:rPr>
          <w:b/>
          <w:szCs w:val="24"/>
          <w:lang w:val="zh-CN"/>
        </w:rPr>
      </w:pPr>
      <w:r>
        <w:rPr>
          <w:rFonts w:hint="eastAsia"/>
          <w:b/>
          <w:szCs w:val="24"/>
          <w:lang w:val="zh-CN"/>
        </w:rPr>
        <w:t>适用法律</w:t>
      </w:r>
    </w:p>
    <w:p>
      <w:pPr>
        <w:pStyle w:val="43"/>
        <w:numPr>
          <w:ilvl w:val="0"/>
          <w:numId w:val="43"/>
        </w:numPr>
        <w:tabs>
          <w:tab w:val="left" w:pos="567"/>
          <w:tab w:val="clear" w:pos="420"/>
        </w:tabs>
        <w:wordWrap w:val="0"/>
        <w:spacing w:line="360" w:lineRule="auto"/>
        <w:ind w:left="420" w:firstLineChars="0"/>
        <w:rPr>
          <w:szCs w:val="24"/>
          <w:lang w:val="zh-CN"/>
        </w:rPr>
      </w:pPr>
      <w:r>
        <w:rPr>
          <w:rFonts w:hint="eastAsia"/>
          <w:szCs w:val="24"/>
        </w:rPr>
        <w:t>本项目招标</w:t>
      </w:r>
      <w:r>
        <w:rPr>
          <w:rFonts w:hint="eastAsia" w:cs="Helvetica"/>
          <w:szCs w:val="24"/>
          <w:lang w:val="zh-CN"/>
        </w:rPr>
        <w:t>投标</w:t>
      </w:r>
      <w:r>
        <w:rPr>
          <w:rFonts w:hint="eastAsia"/>
          <w:szCs w:val="24"/>
          <w:lang w:val="zh-CN"/>
        </w:rPr>
        <w:t>活动适用《中华人民共和国政府采购法》、《中华人民共和国政府采购法实施条例》、《政府采购货物和服务招标投标管理办法》及相关法律法规。</w:t>
      </w:r>
    </w:p>
    <w:p>
      <w:pPr>
        <w:pStyle w:val="43"/>
        <w:numPr>
          <w:ilvl w:val="0"/>
          <w:numId w:val="43"/>
        </w:numPr>
        <w:tabs>
          <w:tab w:val="left" w:pos="567"/>
          <w:tab w:val="clear" w:pos="420"/>
        </w:tabs>
        <w:wordWrap w:val="0"/>
        <w:spacing w:line="360" w:lineRule="auto"/>
        <w:ind w:left="420" w:firstLineChars="0"/>
        <w:rPr>
          <w:lang w:val="zh-CN"/>
        </w:rPr>
      </w:pPr>
      <w:r>
        <w:rPr>
          <w:rFonts w:hint="eastAsia" w:cs="Helvetica"/>
          <w:szCs w:val="24"/>
          <w:lang w:val="zh-CN"/>
        </w:rPr>
        <w:t>政府</w:t>
      </w:r>
      <w:r>
        <w:rPr>
          <w:rFonts w:hint="eastAsia"/>
          <w:szCs w:val="24"/>
        </w:rPr>
        <w:t>采购</w:t>
      </w:r>
      <w:r>
        <w:rPr>
          <w:rFonts w:hint="eastAsia" w:cs="Helvetica"/>
          <w:szCs w:val="24"/>
          <w:lang w:val="zh-CN"/>
        </w:rPr>
        <w:t>合同的履行、违约责任和解决争议的方法等适用《中华人民共和国民法典》。</w:t>
      </w:r>
    </w:p>
    <w:p>
      <w:pPr>
        <w:pStyle w:val="43"/>
        <w:numPr>
          <w:ilvl w:val="0"/>
          <w:numId w:val="9"/>
        </w:numPr>
        <w:spacing w:line="360" w:lineRule="auto"/>
        <w:ind w:left="284" w:hanging="284" w:firstLineChars="0"/>
        <w:rPr>
          <w:b/>
          <w:szCs w:val="24"/>
          <w:lang w:val="zh-CN"/>
        </w:rPr>
      </w:pPr>
      <w:r>
        <w:rPr>
          <w:rFonts w:hint="eastAsia"/>
          <w:b/>
          <w:szCs w:val="24"/>
          <w:lang w:val="zh-CN"/>
        </w:rPr>
        <w:t>解释权</w:t>
      </w:r>
    </w:p>
    <w:p>
      <w:pPr>
        <w:pStyle w:val="11"/>
        <w:spacing w:line="360" w:lineRule="auto"/>
        <w:ind w:firstLine="480" w:firstLineChars="200"/>
        <w:rPr>
          <w:lang w:val="zh-CN"/>
        </w:rPr>
        <w:sectPr>
          <w:pgSz w:w="11906" w:h="16838"/>
          <w:pgMar w:top="1134" w:right="1191" w:bottom="1134" w:left="1191"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lang w:val="zh-CN"/>
        </w:rPr>
        <w:t>招标文件解释权归集中采购机构和采购人所有。</w:t>
      </w:r>
    </w:p>
    <w:p>
      <w:pPr>
        <w:pStyle w:val="2"/>
        <w:numPr>
          <w:ilvl w:val="0"/>
          <w:numId w:val="1"/>
        </w:numPr>
        <w:tabs>
          <w:tab w:val="left" w:pos="1276"/>
        </w:tabs>
        <w:wordWrap w:val="0"/>
        <w:spacing w:before="120" w:after="120" w:line="360" w:lineRule="auto"/>
        <w:ind w:left="723" w:hanging="723" w:hangingChars="200"/>
        <w:jc w:val="center"/>
        <w:rPr>
          <w:sz w:val="36"/>
          <w:szCs w:val="36"/>
        </w:rPr>
      </w:pPr>
      <w:bookmarkStart w:id="348" w:name="_Toc18920"/>
      <w:bookmarkStart w:id="349" w:name="_Toc117244366"/>
      <w:bookmarkStart w:id="350" w:name="_Toc117244481"/>
      <w:bookmarkStart w:id="351" w:name="_Toc24858"/>
      <w:bookmarkStart w:id="352" w:name="_Toc102116040"/>
      <w:bookmarkStart w:id="353" w:name="_Toc117244473"/>
      <w:bookmarkStart w:id="354" w:name="_Toc102114938"/>
      <w:bookmarkStart w:id="355" w:name="_Toc102119871"/>
      <w:bookmarkStart w:id="356" w:name="_Toc102056236"/>
      <w:bookmarkStart w:id="357" w:name="_Toc102116170"/>
      <w:bookmarkStart w:id="358" w:name="_Toc117244358"/>
      <w:bookmarkStart w:id="359" w:name="_Toc102057736"/>
      <w:r>
        <w:rPr>
          <w:rFonts w:hint="eastAsia"/>
          <w:sz w:val="36"/>
          <w:szCs w:val="36"/>
        </w:rPr>
        <w:t>采购需求</w:t>
      </w:r>
      <w:bookmarkEnd w:id="348"/>
      <w:bookmarkEnd w:id="349"/>
      <w:bookmarkEnd w:id="350"/>
      <w:bookmarkEnd w:id="351"/>
    </w:p>
    <w:p>
      <w:pPr>
        <w:wordWrap w:val="0"/>
        <w:spacing w:line="360" w:lineRule="auto"/>
        <w:ind w:firstLine="482" w:firstLineChars="200"/>
        <w:rPr>
          <w:lang w:val="zh-CN"/>
        </w:rPr>
      </w:pPr>
      <w:r>
        <w:rPr>
          <w:rFonts w:hint="eastAsia"/>
          <w:b/>
          <w:lang w:val="zh-CN"/>
        </w:rPr>
        <w:t>说明：</w:t>
      </w:r>
      <w:r>
        <w:rPr>
          <w:rFonts w:hint="eastAsia"/>
          <w:lang w:val="zh-CN"/>
        </w:rPr>
        <w:t>“★”号标注的内容为实质性要求，必须满足或优于该要求，否则按照</w:t>
      </w:r>
      <w:r>
        <w:rPr>
          <w:rFonts w:hint="eastAsia"/>
          <w:b/>
          <w:lang w:val="zh-CN"/>
        </w:rPr>
        <w:t>无效投标处理</w:t>
      </w:r>
      <w:r>
        <w:rPr>
          <w:rFonts w:hint="eastAsia"/>
          <w:lang w:val="zh-CN"/>
        </w:rPr>
        <w:t>。</w:t>
      </w:r>
    </w:p>
    <w:p>
      <w:pPr>
        <w:pStyle w:val="3"/>
        <w:numPr>
          <w:ilvl w:val="0"/>
          <w:numId w:val="44"/>
        </w:numPr>
        <w:tabs>
          <w:tab w:val="left" w:pos="567"/>
        </w:tabs>
        <w:wordWrap w:val="0"/>
        <w:spacing w:before="0" w:after="0" w:line="360" w:lineRule="auto"/>
        <w:jc w:val="left"/>
        <w:rPr>
          <w:rFonts w:ascii="宋体" w:hAnsi="宋体" w:eastAsia="宋体" w:cs="Times New Roman"/>
          <w:bCs w:val="0"/>
          <w:sz w:val="28"/>
          <w:szCs w:val="28"/>
          <w:lang w:val="zh-CN"/>
        </w:rPr>
      </w:pPr>
      <w:bookmarkStart w:id="360" w:name="_Toc102057731"/>
      <w:bookmarkStart w:id="361" w:name="_Toc102056231"/>
      <w:bookmarkStart w:id="362" w:name="_Toc102114933"/>
      <w:bookmarkStart w:id="363" w:name="_Toc102119866"/>
      <w:bookmarkStart w:id="364" w:name="_Toc117244482"/>
      <w:bookmarkStart w:id="365" w:name="_Toc26668"/>
      <w:bookmarkStart w:id="366" w:name="_Toc102116165"/>
      <w:bookmarkStart w:id="367" w:name="_Toc117244367"/>
      <w:bookmarkStart w:id="368" w:name="_Toc102116035"/>
      <w:bookmarkStart w:id="369" w:name="_Toc12588"/>
      <w:bookmarkStart w:id="370" w:name="_Toc494561953"/>
      <w:bookmarkStart w:id="371" w:name="_Toc511894509"/>
      <w:bookmarkStart w:id="372" w:name="_Toc511889431"/>
      <w:bookmarkStart w:id="373" w:name="_Toc339378679"/>
      <w:bookmarkStart w:id="374" w:name="_Toc511894508"/>
      <w:bookmarkStart w:id="375" w:name="_Toc511889430"/>
      <w:bookmarkStart w:id="376" w:name="_Toc494561952"/>
      <w:bookmarkStart w:id="377" w:name="_Toc338065593"/>
      <w:r>
        <w:rPr>
          <w:rFonts w:hint="eastAsia" w:ascii="宋体" w:hAnsi="宋体" w:eastAsia="宋体" w:cs="Times New Roman"/>
          <w:bCs w:val="0"/>
          <w:sz w:val="28"/>
          <w:szCs w:val="28"/>
          <w:lang w:val="zh-CN"/>
        </w:rPr>
        <w:t>采购清单</w:t>
      </w:r>
      <w:bookmarkEnd w:id="360"/>
      <w:bookmarkEnd w:id="361"/>
      <w:bookmarkEnd w:id="362"/>
      <w:bookmarkEnd w:id="363"/>
      <w:bookmarkEnd w:id="364"/>
      <w:bookmarkEnd w:id="365"/>
      <w:bookmarkEnd w:id="366"/>
      <w:bookmarkEnd w:id="367"/>
      <w:bookmarkEnd w:id="368"/>
      <w:bookmarkEnd w:id="369"/>
    </w:p>
    <w:tbl>
      <w:tblPr>
        <w:tblStyle w:val="29"/>
        <w:tblW w:w="9781"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16"/>
        <w:gridCol w:w="880"/>
        <w:gridCol w:w="1346"/>
        <w:gridCol w:w="912"/>
        <w:gridCol w:w="981"/>
        <w:gridCol w:w="3644"/>
        <w:gridCol w:w="1202"/>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6" w:type="dxa"/>
            <w:tcBorders>
              <w:tl2br w:val="nil"/>
              <w:tr2bl w:val="nil"/>
            </w:tcBorders>
            <w:shd w:val="pct10" w:color="C3BD96" w:themeColor="background2" w:themeShade="BF" w:fill="DDD9C4" w:themeFill="background2" w:themeFillShade="E6"/>
            <w:vAlign w:val="center"/>
          </w:tcPr>
          <w:p>
            <w:pPr>
              <w:wordWrap w:val="0"/>
              <w:spacing w:line="360" w:lineRule="auto"/>
              <w:ind w:left="-65" w:leftChars="-27" w:right="-89" w:rightChars="-37"/>
              <w:jc w:val="center"/>
              <w:rPr>
                <w:b/>
                <w:szCs w:val="24"/>
              </w:rPr>
            </w:pPr>
            <w:bookmarkStart w:id="378" w:name="_Toc338065594"/>
            <w:bookmarkStart w:id="379" w:name="_Toc339378680"/>
            <w:r>
              <w:rPr>
                <w:rFonts w:hint="eastAsia"/>
                <w:b/>
                <w:szCs w:val="24"/>
              </w:rPr>
              <w:t>序号</w:t>
            </w:r>
          </w:p>
        </w:tc>
        <w:tc>
          <w:tcPr>
            <w:tcW w:w="2226" w:type="dxa"/>
            <w:gridSpan w:val="2"/>
            <w:tcBorders>
              <w:tl2br w:val="nil"/>
              <w:tr2bl w:val="nil"/>
            </w:tcBorders>
            <w:shd w:val="pct10" w:color="C3BD96" w:themeColor="background2" w:themeShade="BF" w:fill="DDD9C4" w:themeFill="background2" w:themeFillShade="E6"/>
            <w:vAlign w:val="center"/>
          </w:tcPr>
          <w:p>
            <w:pPr>
              <w:wordWrap w:val="0"/>
              <w:spacing w:line="360" w:lineRule="auto"/>
              <w:ind w:left="-65" w:leftChars="-27" w:right="-89" w:rightChars="-37"/>
              <w:jc w:val="center"/>
              <w:rPr>
                <w:b/>
                <w:szCs w:val="24"/>
              </w:rPr>
            </w:pPr>
            <w:r>
              <w:rPr>
                <w:rFonts w:hint="eastAsia"/>
                <w:b/>
                <w:szCs w:val="24"/>
              </w:rPr>
              <w:t>名称</w:t>
            </w:r>
          </w:p>
        </w:tc>
        <w:tc>
          <w:tcPr>
            <w:tcW w:w="912" w:type="dxa"/>
            <w:tcBorders>
              <w:tl2br w:val="nil"/>
              <w:tr2bl w:val="nil"/>
            </w:tcBorders>
            <w:shd w:val="pct10" w:color="C3BD96" w:themeColor="background2" w:themeShade="BF" w:fill="DDD9C4" w:themeFill="background2" w:themeFillShade="E6"/>
            <w:vAlign w:val="center"/>
          </w:tcPr>
          <w:p>
            <w:pPr>
              <w:wordWrap w:val="0"/>
              <w:spacing w:line="360" w:lineRule="auto"/>
              <w:ind w:left="-65" w:leftChars="-27" w:right="-89" w:rightChars="-37"/>
              <w:jc w:val="center"/>
              <w:rPr>
                <w:b/>
                <w:szCs w:val="24"/>
              </w:rPr>
            </w:pPr>
            <w:r>
              <w:rPr>
                <w:rFonts w:hint="eastAsia"/>
                <w:b/>
                <w:szCs w:val="24"/>
              </w:rPr>
              <w:t>数量</w:t>
            </w:r>
          </w:p>
        </w:tc>
        <w:tc>
          <w:tcPr>
            <w:tcW w:w="981" w:type="dxa"/>
            <w:tcBorders>
              <w:tl2br w:val="nil"/>
              <w:tr2bl w:val="nil"/>
            </w:tcBorders>
            <w:shd w:val="pct10" w:color="C3BD96" w:themeColor="background2" w:themeShade="BF" w:fill="DDD9C4" w:themeFill="background2" w:themeFillShade="E6"/>
            <w:vAlign w:val="center"/>
          </w:tcPr>
          <w:p>
            <w:pPr>
              <w:wordWrap w:val="0"/>
              <w:spacing w:line="360" w:lineRule="auto"/>
              <w:ind w:left="-65" w:leftChars="-27" w:right="-89" w:rightChars="-37"/>
              <w:jc w:val="center"/>
              <w:rPr>
                <w:b/>
                <w:szCs w:val="24"/>
              </w:rPr>
            </w:pPr>
            <w:r>
              <w:rPr>
                <w:rFonts w:hint="eastAsia"/>
                <w:b/>
                <w:szCs w:val="24"/>
              </w:rPr>
              <w:t>单位</w:t>
            </w:r>
          </w:p>
        </w:tc>
        <w:tc>
          <w:tcPr>
            <w:tcW w:w="3644" w:type="dxa"/>
            <w:tcBorders>
              <w:tl2br w:val="nil"/>
              <w:tr2bl w:val="nil"/>
            </w:tcBorders>
            <w:shd w:val="pct10" w:color="C3BD96" w:themeColor="background2" w:themeShade="BF" w:fill="DDD9C4" w:themeFill="background2" w:themeFillShade="E6"/>
            <w:vAlign w:val="center"/>
          </w:tcPr>
          <w:p>
            <w:pPr>
              <w:wordWrap w:val="0"/>
              <w:spacing w:line="360" w:lineRule="auto"/>
              <w:ind w:left="-65" w:leftChars="-27" w:right="-89" w:rightChars="-37"/>
              <w:jc w:val="center"/>
              <w:rPr>
                <w:b/>
                <w:szCs w:val="24"/>
              </w:rPr>
            </w:pPr>
            <w:r>
              <w:rPr>
                <w:rFonts w:hint="eastAsia"/>
                <w:b/>
                <w:szCs w:val="24"/>
              </w:rPr>
              <w:t>要求</w:t>
            </w:r>
          </w:p>
        </w:tc>
        <w:tc>
          <w:tcPr>
            <w:tcW w:w="1202" w:type="dxa"/>
            <w:tcBorders>
              <w:tl2br w:val="nil"/>
              <w:tr2bl w:val="nil"/>
            </w:tcBorders>
            <w:shd w:val="pct10" w:color="C3BD96" w:themeColor="background2" w:themeShade="BF" w:fill="DDD9C4" w:themeFill="background2" w:themeFillShade="E6"/>
            <w:vAlign w:val="center"/>
          </w:tcPr>
          <w:p>
            <w:pPr>
              <w:wordWrap w:val="0"/>
              <w:spacing w:line="360" w:lineRule="auto"/>
              <w:ind w:left="-65" w:leftChars="-27" w:right="-89" w:rightChars="-37"/>
              <w:jc w:val="center"/>
              <w:rPr>
                <w:b/>
                <w:szCs w:val="24"/>
              </w:rPr>
            </w:pPr>
            <w:r>
              <w:rPr>
                <w:rFonts w:hint="eastAsia"/>
                <w:b/>
                <w:szCs w:val="24"/>
              </w:rPr>
              <w:t>备注</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6" w:type="dxa"/>
            <w:tcBorders>
              <w:tl2br w:val="nil"/>
              <w:tr2bl w:val="nil"/>
            </w:tcBorders>
            <w:vAlign w:val="center"/>
          </w:tcPr>
          <w:p>
            <w:pPr>
              <w:pStyle w:val="43"/>
              <w:numPr>
                <w:ilvl w:val="0"/>
                <w:numId w:val="45"/>
              </w:numPr>
              <w:tabs>
                <w:tab w:val="left" w:pos="72"/>
              </w:tabs>
              <w:wordWrap w:val="0"/>
              <w:spacing w:line="360" w:lineRule="auto"/>
              <w:ind w:firstLineChars="0"/>
              <w:jc w:val="center"/>
              <w:rPr>
                <w:szCs w:val="24"/>
              </w:rPr>
            </w:pPr>
          </w:p>
        </w:tc>
        <w:tc>
          <w:tcPr>
            <w:tcW w:w="2226" w:type="dxa"/>
            <w:gridSpan w:val="2"/>
            <w:tcBorders>
              <w:tl2br w:val="nil"/>
              <w:tr2bl w:val="nil"/>
            </w:tcBorders>
            <w:vAlign w:val="center"/>
          </w:tcPr>
          <w:p>
            <w:pPr>
              <w:wordWrap w:val="0"/>
              <w:spacing w:line="360" w:lineRule="auto"/>
              <w:ind w:right="-89" w:rightChars="-37"/>
              <w:jc w:val="center"/>
              <w:rPr>
                <w:szCs w:val="24"/>
              </w:rPr>
            </w:pPr>
            <w:r>
              <w:rPr>
                <w:rFonts w:hint="eastAsia"/>
                <w:szCs w:val="24"/>
              </w:rPr>
              <w:t>市医疗集团信息系统建设（一期）</w:t>
            </w:r>
          </w:p>
        </w:tc>
        <w:tc>
          <w:tcPr>
            <w:tcW w:w="912" w:type="dxa"/>
            <w:tcBorders>
              <w:tl2br w:val="nil"/>
              <w:tr2bl w:val="nil"/>
            </w:tcBorders>
            <w:vAlign w:val="center"/>
          </w:tcPr>
          <w:p>
            <w:pPr>
              <w:wordWrap w:val="0"/>
              <w:spacing w:line="360" w:lineRule="auto"/>
              <w:ind w:right="-89" w:rightChars="-37"/>
              <w:jc w:val="center"/>
              <w:rPr>
                <w:szCs w:val="24"/>
              </w:rPr>
            </w:pPr>
            <w:r>
              <w:rPr>
                <w:rFonts w:hint="eastAsia"/>
                <w:szCs w:val="24"/>
              </w:rPr>
              <w:t>1</w:t>
            </w:r>
          </w:p>
        </w:tc>
        <w:tc>
          <w:tcPr>
            <w:tcW w:w="981" w:type="dxa"/>
            <w:tcBorders>
              <w:tl2br w:val="nil"/>
              <w:tr2bl w:val="nil"/>
            </w:tcBorders>
            <w:vAlign w:val="center"/>
          </w:tcPr>
          <w:p>
            <w:pPr>
              <w:spacing w:line="360" w:lineRule="auto"/>
              <w:ind w:right="-89" w:rightChars="-37"/>
              <w:jc w:val="center"/>
              <w:rPr>
                <w:rFonts w:hint="eastAsia"/>
                <w:szCs w:val="24"/>
              </w:rPr>
            </w:pPr>
            <w:r>
              <w:rPr>
                <w:rFonts w:hint="eastAsia"/>
                <w:szCs w:val="24"/>
              </w:rPr>
              <w:t>项</w:t>
            </w:r>
          </w:p>
        </w:tc>
        <w:tc>
          <w:tcPr>
            <w:tcW w:w="3644" w:type="dxa"/>
            <w:tcBorders>
              <w:tl2br w:val="nil"/>
              <w:tr2bl w:val="nil"/>
            </w:tcBorders>
            <w:vAlign w:val="center"/>
          </w:tcPr>
          <w:p>
            <w:pPr>
              <w:wordWrap w:val="0"/>
              <w:spacing w:line="360" w:lineRule="auto"/>
              <w:ind w:right="-89" w:rightChars="-37"/>
              <w:jc w:val="center"/>
              <w:rPr>
                <w:szCs w:val="24"/>
              </w:rPr>
            </w:pPr>
            <w:r>
              <w:rPr>
                <w:rFonts w:hint="eastAsia"/>
                <w:szCs w:val="24"/>
              </w:rPr>
              <w:t>以黄冈市中心医院信息系统和集成平台为基础，整合集团内11家医疗机构信息系统，实现集团内信息系统统一管理，数据互联互通。</w:t>
            </w:r>
          </w:p>
        </w:tc>
        <w:tc>
          <w:tcPr>
            <w:tcW w:w="1202" w:type="dxa"/>
            <w:tcBorders>
              <w:tl2br w:val="nil"/>
              <w:tr2bl w:val="nil"/>
            </w:tcBorders>
            <w:vAlign w:val="center"/>
          </w:tcPr>
          <w:p>
            <w:pPr>
              <w:wordWrap w:val="0"/>
              <w:spacing w:line="360" w:lineRule="auto"/>
              <w:ind w:right="-89" w:rightChars="-37"/>
              <w:jc w:val="center"/>
              <w:rPr>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1696" w:type="dxa"/>
            <w:gridSpan w:val="2"/>
            <w:tcBorders>
              <w:tl2br w:val="nil"/>
              <w:tr2bl w:val="nil"/>
            </w:tcBorders>
            <w:vAlign w:val="center"/>
          </w:tcPr>
          <w:p>
            <w:pPr>
              <w:widowControl/>
              <w:wordWrap w:val="0"/>
              <w:spacing w:line="360" w:lineRule="auto"/>
              <w:jc w:val="center"/>
              <w:rPr>
                <w:b/>
                <w:szCs w:val="24"/>
              </w:rPr>
            </w:pPr>
            <w:r>
              <w:rPr>
                <w:rFonts w:hint="eastAsia"/>
                <w:b/>
                <w:szCs w:val="24"/>
              </w:rPr>
              <w:t>合同履行期限（项目工期/</w:t>
            </w:r>
          </w:p>
          <w:p>
            <w:pPr>
              <w:widowControl/>
              <w:wordWrap w:val="0"/>
              <w:spacing w:line="360" w:lineRule="auto"/>
              <w:jc w:val="center"/>
              <w:rPr>
                <w:szCs w:val="24"/>
              </w:rPr>
            </w:pPr>
            <w:r>
              <w:rPr>
                <w:rFonts w:hint="eastAsia"/>
                <w:b/>
                <w:szCs w:val="24"/>
              </w:rPr>
              <w:t>交货期）</w:t>
            </w:r>
          </w:p>
        </w:tc>
        <w:tc>
          <w:tcPr>
            <w:tcW w:w="8085" w:type="dxa"/>
            <w:gridSpan w:val="5"/>
            <w:tcBorders>
              <w:tl2br w:val="nil"/>
              <w:tr2bl w:val="nil"/>
            </w:tcBorders>
            <w:vAlign w:val="center"/>
          </w:tcPr>
          <w:p>
            <w:pPr>
              <w:wordWrap w:val="0"/>
              <w:spacing w:line="360" w:lineRule="auto"/>
              <w:ind w:right="-89" w:rightChars="-37"/>
              <w:rPr>
                <w:szCs w:val="24"/>
              </w:rPr>
            </w:pPr>
            <w:r>
              <w:rPr>
                <w:rFonts w:hint="eastAsia"/>
                <w:szCs w:val="24"/>
              </w:rPr>
              <w:t>合同签订后60日历日内</w:t>
            </w:r>
            <w:r>
              <w:rPr>
                <w:rFonts w:hint="eastAsia"/>
                <w:szCs w:val="24"/>
                <w:lang w:eastAsia="zh-CN"/>
              </w:rPr>
              <w:t>完成系统开发、测试、培训、上线、接入集成平台并验收完毕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1696" w:type="dxa"/>
            <w:gridSpan w:val="2"/>
            <w:tcBorders>
              <w:tl2br w:val="nil"/>
              <w:tr2bl w:val="nil"/>
            </w:tcBorders>
            <w:vAlign w:val="center"/>
          </w:tcPr>
          <w:p>
            <w:pPr>
              <w:wordWrap w:val="0"/>
              <w:spacing w:line="360" w:lineRule="auto"/>
              <w:ind w:left="-106" w:leftChars="-44" w:right="-89" w:rightChars="-37"/>
              <w:jc w:val="center"/>
              <w:rPr>
                <w:szCs w:val="24"/>
              </w:rPr>
            </w:pPr>
            <w:r>
              <w:rPr>
                <w:rFonts w:hint="eastAsia"/>
                <w:b/>
                <w:szCs w:val="24"/>
              </w:rPr>
              <w:t>质保期</w:t>
            </w:r>
            <w:r>
              <w:rPr>
                <w:rFonts w:hint="eastAsia"/>
                <w:b/>
                <w:szCs w:val="24"/>
                <w:lang w:eastAsia="zh-CN"/>
              </w:rPr>
              <w:t>（服务期）</w:t>
            </w:r>
            <w:r>
              <w:rPr>
                <w:szCs w:val="24"/>
              </w:rPr>
              <w:t xml:space="preserve"> </w:t>
            </w:r>
          </w:p>
        </w:tc>
        <w:tc>
          <w:tcPr>
            <w:tcW w:w="8085" w:type="dxa"/>
            <w:gridSpan w:val="5"/>
            <w:tcBorders>
              <w:tl2br w:val="nil"/>
              <w:tr2bl w:val="nil"/>
            </w:tcBorders>
            <w:vAlign w:val="center"/>
          </w:tcPr>
          <w:p>
            <w:pPr>
              <w:wordWrap w:val="0"/>
              <w:spacing w:line="360" w:lineRule="auto"/>
              <w:ind w:right="-89" w:rightChars="-37"/>
              <w:rPr>
                <w:szCs w:val="24"/>
              </w:rPr>
            </w:pPr>
            <w:r>
              <w:rPr>
                <w:rFonts w:hint="eastAsia"/>
                <w:szCs w:val="24"/>
              </w:rPr>
              <w:t>项目整体验收通过之日起1年</w:t>
            </w:r>
          </w:p>
        </w:tc>
      </w:tr>
      <w:bookmarkEnd w:id="378"/>
      <w:bookmarkEnd w:id="379"/>
    </w:tbl>
    <w:p>
      <w:pPr>
        <w:pStyle w:val="3"/>
        <w:numPr>
          <w:ilvl w:val="0"/>
          <w:numId w:val="44"/>
        </w:numPr>
        <w:tabs>
          <w:tab w:val="left" w:pos="567"/>
        </w:tabs>
        <w:spacing w:before="0" w:after="0" w:line="360" w:lineRule="auto"/>
        <w:jc w:val="left"/>
        <w:rPr>
          <w:rFonts w:ascii="宋体" w:hAnsi="宋体" w:eastAsia="宋体" w:cs="Times New Roman"/>
          <w:bCs w:val="0"/>
          <w:sz w:val="28"/>
          <w:szCs w:val="28"/>
          <w:lang w:val="zh-CN"/>
        </w:rPr>
      </w:pPr>
      <w:bookmarkStart w:id="380" w:name="_Toc102057732"/>
      <w:bookmarkStart w:id="381" w:name="_Toc117244368"/>
      <w:bookmarkStart w:id="382" w:name="_Toc102116036"/>
      <w:bookmarkStart w:id="383" w:name="_Toc102114934"/>
      <w:bookmarkStart w:id="384" w:name="_Toc102119867"/>
      <w:bookmarkStart w:id="385" w:name="_Toc27371"/>
      <w:bookmarkStart w:id="386" w:name="_Toc102056232"/>
      <w:bookmarkStart w:id="387" w:name="_Toc102116166"/>
      <w:bookmarkStart w:id="388" w:name="_Toc117244483"/>
      <w:bookmarkStart w:id="389" w:name="_Toc28817"/>
      <w:r>
        <w:rPr>
          <w:rFonts w:hint="eastAsia" w:ascii="宋体" w:hAnsi="宋体" w:eastAsia="宋体" w:cs="Times New Roman"/>
          <w:bCs w:val="0"/>
          <w:sz w:val="28"/>
          <w:szCs w:val="28"/>
          <w:lang w:val="zh-CN"/>
        </w:rPr>
        <w:t>概述及简介</w:t>
      </w:r>
      <w:bookmarkEnd w:id="370"/>
      <w:bookmarkEnd w:id="371"/>
      <w:bookmarkEnd w:id="372"/>
      <w:bookmarkEnd w:id="380"/>
      <w:bookmarkEnd w:id="381"/>
      <w:bookmarkEnd w:id="382"/>
      <w:bookmarkEnd w:id="383"/>
      <w:bookmarkEnd w:id="384"/>
      <w:bookmarkEnd w:id="385"/>
      <w:bookmarkEnd w:id="386"/>
      <w:bookmarkEnd w:id="387"/>
      <w:bookmarkEnd w:id="388"/>
      <w:bookmarkEnd w:id="389"/>
    </w:p>
    <w:p>
      <w:pPr>
        <w:spacing w:line="360" w:lineRule="auto"/>
        <w:ind w:firstLine="480" w:firstLineChars="200"/>
        <w:rPr>
          <w:lang w:val="zh-CN"/>
        </w:rPr>
      </w:pPr>
      <w:r>
        <w:rPr>
          <w:rFonts w:hint="eastAsia"/>
          <w:lang w:val="zh-CN"/>
        </w:rPr>
        <w:t>本项目信息化建设规划以“一体化”为原则，以黄冈市中心医院信息系统和集成平台为基础，逐步整合集团内各医疗机构信息系统，实现集团内信息系统统一管理，数据互联互通。</w:t>
      </w:r>
    </w:p>
    <w:p>
      <w:pPr>
        <w:spacing w:line="360" w:lineRule="auto"/>
        <w:ind w:firstLine="480" w:firstLineChars="200"/>
        <w:rPr>
          <w:lang w:val="zh-CN"/>
        </w:rPr>
      </w:pPr>
      <w:r>
        <w:rPr>
          <w:rFonts w:hint="eastAsia"/>
          <w:lang w:val="zh-CN"/>
        </w:rPr>
        <w:t>本次信息系统服务范围为黄冈市中心医院、黄冈肿瘤医院、黄冈传染病医院、黄冈市妇幼保健院、黄州区妇幼保健院、黄冈市优抚医院、黄州区康泰医院、黄冈市中医医院、黄州区人民医院、黄州区中西医结合医院、黄州区脑血管医院，共</w:t>
      </w:r>
      <w:r>
        <w:rPr>
          <w:lang w:val="zh-CN"/>
        </w:rPr>
        <w:t>11家医疗机构，并要求全部与黄冈市中心医院信息系统完整对接，形成一体化系统。</w:t>
      </w:r>
    </w:p>
    <w:bookmarkEnd w:id="373"/>
    <w:bookmarkEnd w:id="374"/>
    <w:bookmarkEnd w:id="375"/>
    <w:bookmarkEnd w:id="376"/>
    <w:bookmarkEnd w:id="377"/>
    <w:p>
      <w:pPr>
        <w:pStyle w:val="3"/>
        <w:numPr>
          <w:ilvl w:val="0"/>
          <w:numId w:val="44"/>
        </w:numPr>
        <w:tabs>
          <w:tab w:val="left" w:pos="567"/>
        </w:tabs>
        <w:wordWrap w:val="0"/>
        <w:spacing w:before="0" w:after="0" w:line="360" w:lineRule="auto"/>
        <w:jc w:val="left"/>
        <w:rPr>
          <w:rFonts w:ascii="宋体" w:hAnsi="宋体" w:eastAsia="宋体" w:cs="Times New Roman"/>
          <w:bCs w:val="0"/>
          <w:sz w:val="28"/>
          <w:szCs w:val="28"/>
          <w:lang w:val="zh-CN"/>
        </w:rPr>
      </w:pPr>
      <w:bookmarkStart w:id="390" w:name="_Toc117244369"/>
      <w:bookmarkStart w:id="391" w:name="_Toc511889432"/>
      <w:bookmarkStart w:id="392" w:name="_Toc494561954"/>
      <w:bookmarkStart w:id="393" w:name="_Toc102114935"/>
      <w:bookmarkStart w:id="394" w:name="_Toc102057733"/>
      <w:bookmarkStart w:id="395" w:name="_Toc511894510"/>
      <w:bookmarkStart w:id="396" w:name="_Toc102116167"/>
      <w:bookmarkStart w:id="397" w:name="_Toc7162"/>
      <w:bookmarkStart w:id="398" w:name="_Toc102119868"/>
      <w:bookmarkStart w:id="399" w:name="_Toc102116037"/>
      <w:bookmarkStart w:id="400" w:name="_Toc107561287"/>
      <w:bookmarkStart w:id="401" w:name="_Toc102056233"/>
      <w:bookmarkStart w:id="402" w:name="_Toc117244484"/>
      <w:bookmarkStart w:id="403" w:name="_Toc963"/>
      <w:r>
        <w:rPr>
          <w:rFonts w:hint="eastAsia" w:ascii="宋体" w:hAnsi="宋体" w:eastAsia="宋体" w:cs="Times New Roman"/>
          <w:bCs w:val="0"/>
          <w:sz w:val="28"/>
          <w:szCs w:val="28"/>
          <w:lang w:val="zh-CN"/>
        </w:rPr>
        <w:t>执行的相关标准、规范</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pPr>
        <w:wordWrap w:val="0"/>
        <w:spacing w:line="360" w:lineRule="auto"/>
        <w:ind w:firstLine="480" w:firstLineChars="200"/>
        <w:rPr>
          <w:rFonts w:cs="Helvetica"/>
          <w:szCs w:val="24"/>
        </w:rPr>
      </w:pPr>
      <w:r>
        <w:rPr>
          <w:rFonts w:cs="Helvetica"/>
          <w:szCs w:val="24"/>
        </w:rPr>
        <w:t>采购</w:t>
      </w:r>
      <w:r>
        <w:rPr>
          <w:rFonts w:hint="eastAsia" w:cs="Helvetica"/>
          <w:szCs w:val="24"/>
        </w:rPr>
        <w:t>内容</w:t>
      </w:r>
      <w:r>
        <w:rPr>
          <w:rFonts w:cs="Helvetica"/>
          <w:szCs w:val="24"/>
        </w:rPr>
        <w:t>需执行的国家相关标准、行业标准、地方标准或者其他标准、规范</w:t>
      </w:r>
      <w:r>
        <w:rPr>
          <w:rFonts w:hint="eastAsia" w:cs="Helvetica"/>
          <w:szCs w:val="24"/>
        </w:rPr>
        <w:t>（若有更新，以最新标准、规范为准）。包括但不限于以下：</w:t>
      </w:r>
    </w:p>
    <w:tbl>
      <w:tblPr>
        <w:tblStyle w:val="29"/>
        <w:tblW w:w="9792"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43"/>
        <w:gridCol w:w="6186"/>
        <w:gridCol w:w="2763"/>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43" w:type="dxa"/>
            <w:tcBorders>
              <w:tl2br w:val="nil"/>
              <w:tr2bl w:val="nil"/>
            </w:tcBorders>
            <w:shd w:val="pct10" w:color="C3BD96" w:themeColor="background2" w:themeShade="BF" w:fill="DDD9C4" w:themeFill="background2" w:themeFillShade="E6"/>
            <w:noWrap/>
            <w:vAlign w:val="center"/>
          </w:tcPr>
          <w:p>
            <w:pPr>
              <w:wordWrap w:val="0"/>
              <w:spacing w:line="360" w:lineRule="auto"/>
              <w:ind w:left="-127" w:leftChars="-53" w:right="-122" w:rightChars="-51"/>
              <w:jc w:val="center"/>
              <w:rPr>
                <w:rFonts w:cs="宋体"/>
                <w:b/>
                <w:bCs/>
                <w:szCs w:val="24"/>
              </w:rPr>
            </w:pPr>
            <w:bookmarkStart w:id="404" w:name="_Toc102056234"/>
            <w:bookmarkStart w:id="405" w:name="_Toc511894511"/>
            <w:bookmarkStart w:id="406" w:name="_Toc511889433"/>
            <w:bookmarkStart w:id="407" w:name="_Toc102116038"/>
            <w:bookmarkStart w:id="408" w:name="_Toc102057734"/>
            <w:bookmarkStart w:id="409" w:name="_Toc102114936"/>
            <w:bookmarkStart w:id="410" w:name="_Toc102116168"/>
            <w:bookmarkStart w:id="411" w:name="_Toc102119869"/>
            <w:bookmarkStart w:id="412" w:name="_Toc494561955"/>
            <w:r>
              <w:rPr>
                <w:rFonts w:hint="eastAsia" w:cs="宋体"/>
                <w:b/>
                <w:bCs/>
                <w:szCs w:val="24"/>
              </w:rPr>
              <w:t>序号</w:t>
            </w:r>
          </w:p>
        </w:tc>
        <w:tc>
          <w:tcPr>
            <w:tcW w:w="6186" w:type="dxa"/>
            <w:tcBorders>
              <w:tl2br w:val="nil"/>
              <w:tr2bl w:val="nil"/>
            </w:tcBorders>
            <w:shd w:val="pct10" w:color="C3BD96" w:themeColor="background2" w:themeShade="BF" w:fill="DDD9C4" w:themeFill="background2" w:themeFillShade="E6"/>
            <w:noWrap/>
            <w:vAlign w:val="center"/>
          </w:tcPr>
          <w:p>
            <w:pPr>
              <w:wordWrap w:val="0"/>
              <w:spacing w:line="360" w:lineRule="auto"/>
              <w:ind w:left="-127" w:leftChars="-53" w:right="-122" w:rightChars="-51"/>
              <w:jc w:val="center"/>
              <w:rPr>
                <w:rFonts w:cs="宋体"/>
                <w:b/>
                <w:bCs/>
                <w:szCs w:val="24"/>
              </w:rPr>
            </w:pPr>
            <w:r>
              <w:rPr>
                <w:rFonts w:hint="eastAsia" w:cs="宋体"/>
                <w:b/>
                <w:bCs/>
                <w:szCs w:val="24"/>
              </w:rPr>
              <w:t>名称</w:t>
            </w:r>
          </w:p>
        </w:tc>
        <w:tc>
          <w:tcPr>
            <w:tcW w:w="2763" w:type="dxa"/>
            <w:tcBorders>
              <w:tl2br w:val="nil"/>
              <w:tr2bl w:val="nil"/>
            </w:tcBorders>
            <w:shd w:val="pct10" w:color="C3BD96" w:themeColor="background2" w:themeShade="BF" w:fill="DDD9C4" w:themeFill="background2" w:themeFillShade="E6"/>
            <w:noWrap/>
            <w:vAlign w:val="center"/>
          </w:tcPr>
          <w:p>
            <w:pPr>
              <w:wordWrap w:val="0"/>
              <w:spacing w:line="360" w:lineRule="auto"/>
              <w:ind w:left="-127" w:leftChars="-53" w:right="-122" w:rightChars="-51"/>
              <w:jc w:val="center"/>
              <w:rPr>
                <w:rFonts w:cs="宋体"/>
                <w:b/>
                <w:bCs/>
                <w:szCs w:val="24"/>
              </w:rPr>
            </w:pPr>
            <w:r>
              <w:rPr>
                <w:rFonts w:hint="eastAsia" w:cs="宋体"/>
                <w:b/>
                <w:bCs/>
                <w:szCs w:val="24"/>
              </w:rPr>
              <w:t>标号或文号</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43" w:type="dxa"/>
            <w:tcBorders>
              <w:tl2br w:val="nil"/>
              <w:tr2bl w:val="nil"/>
            </w:tcBorders>
            <w:shd w:val="clear" w:color="auto" w:fill="auto"/>
            <w:noWrap/>
            <w:vAlign w:val="center"/>
          </w:tcPr>
          <w:p>
            <w:pPr>
              <w:pStyle w:val="43"/>
              <w:numPr>
                <w:ilvl w:val="0"/>
                <w:numId w:val="46"/>
              </w:numPr>
              <w:tabs>
                <w:tab w:val="left" w:pos="72"/>
              </w:tabs>
              <w:wordWrap w:val="0"/>
              <w:spacing w:line="360" w:lineRule="auto"/>
              <w:ind w:firstLineChars="0"/>
              <w:jc w:val="center"/>
              <w:rPr>
                <w:szCs w:val="24"/>
              </w:rPr>
            </w:pPr>
          </w:p>
        </w:tc>
        <w:tc>
          <w:tcPr>
            <w:tcW w:w="6186" w:type="dxa"/>
            <w:tcBorders>
              <w:tl2br w:val="nil"/>
              <w:tr2bl w:val="nil"/>
            </w:tcBorders>
            <w:shd w:val="clear" w:color="auto" w:fill="auto"/>
            <w:vAlign w:val="center"/>
          </w:tcPr>
          <w:p>
            <w:pPr>
              <w:jc w:val="center"/>
              <w:rPr>
                <w:sz w:val="21"/>
                <w:szCs w:val="21"/>
              </w:rPr>
            </w:pPr>
            <w:r>
              <w:rPr>
                <w:rFonts w:hint="eastAsia" w:cs="宋体"/>
                <w:szCs w:val="21"/>
              </w:rPr>
              <w:t>《医院信息平台应用功能指引》</w:t>
            </w:r>
          </w:p>
        </w:tc>
        <w:tc>
          <w:tcPr>
            <w:tcW w:w="2763" w:type="dxa"/>
            <w:tcBorders>
              <w:tl2br w:val="nil"/>
              <w:tr2bl w:val="nil"/>
            </w:tcBorders>
            <w:shd w:val="clear" w:color="auto" w:fill="auto"/>
            <w:noWrap/>
            <w:vAlign w:val="center"/>
          </w:tcPr>
          <w:p>
            <w:pPr>
              <w:jc w:val="center"/>
              <w:rPr>
                <w:rFonts w:hint="eastAsia"/>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43" w:type="dxa"/>
            <w:tcBorders>
              <w:tl2br w:val="nil"/>
              <w:tr2bl w:val="nil"/>
            </w:tcBorders>
            <w:shd w:val="clear" w:color="auto" w:fill="auto"/>
            <w:noWrap/>
            <w:vAlign w:val="center"/>
          </w:tcPr>
          <w:p>
            <w:pPr>
              <w:pStyle w:val="43"/>
              <w:numPr>
                <w:ilvl w:val="0"/>
                <w:numId w:val="46"/>
              </w:numPr>
              <w:tabs>
                <w:tab w:val="left" w:pos="72"/>
              </w:tabs>
              <w:wordWrap w:val="0"/>
              <w:spacing w:line="360" w:lineRule="auto"/>
              <w:ind w:firstLineChars="0"/>
              <w:jc w:val="center"/>
              <w:rPr>
                <w:szCs w:val="24"/>
              </w:rPr>
            </w:pPr>
          </w:p>
        </w:tc>
        <w:tc>
          <w:tcPr>
            <w:tcW w:w="6186" w:type="dxa"/>
            <w:tcBorders>
              <w:tl2br w:val="nil"/>
              <w:tr2bl w:val="nil"/>
            </w:tcBorders>
            <w:shd w:val="clear" w:color="auto" w:fill="auto"/>
            <w:vAlign w:val="center"/>
          </w:tcPr>
          <w:p>
            <w:pPr>
              <w:jc w:val="center"/>
              <w:rPr>
                <w:rFonts w:hint="eastAsia"/>
                <w:szCs w:val="21"/>
              </w:rPr>
            </w:pPr>
            <w:r>
              <w:rPr>
                <w:rFonts w:hint="eastAsia" w:cs="宋体"/>
                <w:szCs w:val="21"/>
              </w:rPr>
              <w:t>《医院信息化建设应用技术指引》</w:t>
            </w:r>
          </w:p>
        </w:tc>
        <w:tc>
          <w:tcPr>
            <w:tcW w:w="2763" w:type="dxa"/>
            <w:tcBorders>
              <w:tl2br w:val="nil"/>
              <w:tr2bl w:val="nil"/>
            </w:tcBorders>
            <w:shd w:val="clear" w:color="auto" w:fill="auto"/>
            <w:noWrap/>
            <w:vAlign w:val="center"/>
          </w:tcPr>
          <w:p>
            <w:pPr>
              <w:jc w:val="center"/>
              <w:rPr>
                <w:rFonts w:hint="eastAsia"/>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43" w:type="dxa"/>
            <w:tcBorders>
              <w:tl2br w:val="nil"/>
              <w:tr2bl w:val="nil"/>
            </w:tcBorders>
            <w:shd w:val="clear" w:color="auto" w:fill="auto"/>
            <w:noWrap/>
            <w:vAlign w:val="center"/>
          </w:tcPr>
          <w:p>
            <w:pPr>
              <w:pStyle w:val="43"/>
              <w:numPr>
                <w:ilvl w:val="0"/>
                <w:numId w:val="46"/>
              </w:numPr>
              <w:tabs>
                <w:tab w:val="left" w:pos="72"/>
              </w:tabs>
              <w:wordWrap w:val="0"/>
              <w:spacing w:line="360" w:lineRule="auto"/>
              <w:ind w:firstLineChars="0"/>
              <w:jc w:val="center"/>
              <w:rPr>
                <w:szCs w:val="24"/>
              </w:rPr>
            </w:pPr>
          </w:p>
        </w:tc>
        <w:tc>
          <w:tcPr>
            <w:tcW w:w="6186" w:type="dxa"/>
            <w:tcBorders>
              <w:tl2br w:val="nil"/>
              <w:tr2bl w:val="nil"/>
            </w:tcBorders>
            <w:shd w:val="clear" w:color="auto" w:fill="auto"/>
            <w:vAlign w:val="center"/>
          </w:tcPr>
          <w:p>
            <w:pPr>
              <w:jc w:val="center"/>
              <w:rPr>
                <w:rFonts w:hint="eastAsia"/>
                <w:szCs w:val="21"/>
              </w:rPr>
            </w:pPr>
            <w:r>
              <w:rPr>
                <w:rFonts w:hint="eastAsia" w:cs="宋体"/>
                <w:szCs w:val="21"/>
              </w:rPr>
              <w:t>《全国医院信息化建设标准与规范》</w:t>
            </w:r>
          </w:p>
        </w:tc>
        <w:tc>
          <w:tcPr>
            <w:tcW w:w="2763" w:type="dxa"/>
            <w:tcBorders>
              <w:tl2br w:val="nil"/>
              <w:tr2bl w:val="nil"/>
            </w:tcBorders>
            <w:shd w:val="clear" w:color="auto" w:fill="auto"/>
            <w:noWrap/>
            <w:vAlign w:val="center"/>
          </w:tcPr>
          <w:p>
            <w:pPr>
              <w:jc w:val="center"/>
              <w:rPr>
                <w:rFonts w:hint="eastAsia"/>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43" w:type="dxa"/>
            <w:tcBorders>
              <w:tl2br w:val="nil"/>
              <w:tr2bl w:val="nil"/>
            </w:tcBorders>
            <w:shd w:val="clear" w:color="auto" w:fill="auto"/>
            <w:noWrap/>
            <w:vAlign w:val="center"/>
          </w:tcPr>
          <w:p>
            <w:pPr>
              <w:pStyle w:val="43"/>
              <w:numPr>
                <w:ilvl w:val="0"/>
                <w:numId w:val="46"/>
              </w:numPr>
              <w:tabs>
                <w:tab w:val="left" w:pos="72"/>
              </w:tabs>
              <w:wordWrap w:val="0"/>
              <w:spacing w:line="360" w:lineRule="auto"/>
              <w:ind w:firstLineChars="0"/>
              <w:jc w:val="center"/>
              <w:rPr>
                <w:szCs w:val="24"/>
              </w:rPr>
            </w:pPr>
          </w:p>
        </w:tc>
        <w:tc>
          <w:tcPr>
            <w:tcW w:w="6186" w:type="dxa"/>
            <w:tcBorders>
              <w:tl2br w:val="nil"/>
              <w:tr2bl w:val="nil"/>
            </w:tcBorders>
            <w:shd w:val="clear" w:color="auto" w:fill="auto"/>
            <w:vAlign w:val="center"/>
          </w:tcPr>
          <w:p>
            <w:pPr>
              <w:jc w:val="center"/>
              <w:rPr>
                <w:rFonts w:hint="eastAsia"/>
                <w:szCs w:val="21"/>
              </w:rPr>
            </w:pPr>
            <w:r>
              <w:rPr>
                <w:rFonts w:hint="eastAsia" w:cs="宋体"/>
                <w:szCs w:val="21"/>
              </w:rPr>
              <w:t>《电子病历系统功能应用水平分级评价方法及标准（2018）》</w:t>
            </w:r>
          </w:p>
        </w:tc>
        <w:tc>
          <w:tcPr>
            <w:tcW w:w="2763" w:type="dxa"/>
            <w:tcBorders>
              <w:tl2br w:val="nil"/>
              <w:tr2bl w:val="nil"/>
            </w:tcBorders>
            <w:shd w:val="clear" w:color="auto" w:fill="auto"/>
            <w:noWrap/>
            <w:vAlign w:val="center"/>
          </w:tcPr>
          <w:p>
            <w:pPr>
              <w:jc w:val="center"/>
              <w:rPr>
                <w:rFonts w:hint="eastAsia"/>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43" w:type="dxa"/>
            <w:tcBorders>
              <w:tl2br w:val="nil"/>
              <w:tr2bl w:val="nil"/>
            </w:tcBorders>
            <w:shd w:val="clear" w:color="auto" w:fill="auto"/>
            <w:noWrap/>
            <w:vAlign w:val="center"/>
          </w:tcPr>
          <w:p>
            <w:pPr>
              <w:pStyle w:val="43"/>
              <w:numPr>
                <w:ilvl w:val="0"/>
                <w:numId w:val="46"/>
              </w:numPr>
              <w:tabs>
                <w:tab w:val="left" w:pos="72"/>
              </w:tabs>
              <w:wordWrap w:val="0"/>
              <w:spacing w:line="360" w:lineRule="auto"/>
              <w:ind w:firstLineChars="0"/>
              <w:jc w:val="center"/>
              <w:rPr>
                <w:szCs w:val="24"/>
              </w:rPr>
            </w:pPr>
          </w:p>
        </w:tc>
        <w:tc>
          <w:tcPr>
            <w:tcW w:w="6186" w:type="dxa"/>
            <w:tcBorders>
              <w:tl2br w:val="nil"/>
              <w:tr2bl w:val="nil"/>
            </w:tcBorders>
            <w:shd w:val="clear" w:color="auto" w:fill="auto"/>
            <w:vAlign w:val="center"/>
          </w:tcPr>
          <w:p>
            <w:pPr>
              <w:jc w:val="center"/>
              <w:rPr>
                <w:rFonts w:hint="eastAsia"/>
                <w:szCs w:val="21"/>
              </w:rPr>
            </w:pPr>
            <w:r>
              <w:rPr>
                <w:rFonts w:hint="eastAsia" w:cs="宋体"/>
                <w:szCs w:val="21"/>
              </w:rPr>
              <w:t>《卫生信息数据元》</w:t>
            </w:r>
          </w:p>
        </w:tc>
        <w:tc>
          <w:tcPr>
            <w:tcW w:w="2763" w:type="dxa"/>
            <w:tcBorders>
              <w:tl2br w:val="nil"/>
              <w:tr2bl w:val="nil"/>
            </w:tcBorders>
            <w:shd w:val="clear" w:color="auto" w:fill="auto"/>
            <w:noWrap/>
            <w:vAlign w:val="center"/>
          </w:tcPr>
          <w:p>
            <w:pPr>
              <w:jc w:val="center"/>
              <w:rPr>
                <w:rFonts w:hint="eastAsia"/>
                <w:szCs w:val="21"/>
              </w:rPr>
            </w:pPr>
            <w:r>
              <w:rPr>
                <w:rFonts w:hint="eastAsia" w:cs="宋体"/>
                <w:szCs w:val="21"/>
              </w:rPr>
              <w:t>WS363_2011</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43" w:type="dxa"/>
            <w:tcBorders>
              <w:tl2br w:val="nil"/>
              <w:tr2bl w:val="nil"/>
            </w:tcBorders>
            <w:shd w:val="clear" w:color="auto" w:fill="auto"/>
            <w:noWrap/>
            <w:vAlign w:val="center"/>
          </w:tcPr>
          <w:p>
            <w:pPr>
              <w:pStyle w:val="43"/>
              <w:numPr>
                <w:ilvl w:val="0"/>
                <w:numId w:val="46"/>
              </w:numPr>
              <w:tabs>
                <w:tab w:val="left" w:pos="72"/>
              </w:tabs>
              <w:wordWrap w:val="0"/>
              <w:spacing w:line="360" w:lineRule="auto"/>
              <w:ind w:firstLineChars="0"/>
              <w:jc w:val="center"/>
              <w:rPr>
                <w:szCs w:val="24"/>
              </w:rPr>
            </w:pPr>
          </w:p>
        </w:tc>
        <w:tc>
          <w:tcPr>
            <w:tcW w:w="6186" w:type="dxa"/>
            <w:tcBorders>
              <w:tl2br w:val="nil"/>
              <w:tr2bl w:val="nil"/>
            </w:tcBorders>
            <w:shd w:val="clear" w:color="auto" w:fill="auto"/>
            <w:vAlign w:val="center"/>
          </w:tcPr>
          <w:p>
            <w:pPr>
              <w:jc w:val="center"/>
              <w:rPr>
                <w:rFonts w:hint="eastAsia"/>
                <w:szCs w:val="21"/>
              </w:rPr>
            </w:pPr>
            <w:r>
              <w:rPr>
                <w:rFonts w:hint="eastAsia" w:cs="宋体"/>
                <w:szCs w:val="21"/>
              </w:rPr>
              <w:t>《数据元值域代码》</w:t>
            </w:r>
          </w:p>
        </w:tc>
        <w:tc>
          <w:tcPr>
            <w:tcW w:w="2763" w:type="dxa"/>
            <w:tcBorders>
              <w:tl2br w:val="nil"/>
              <w:tr2bl w:val="nil"/>
            </w:tcBorders>
            <w:shd w:val="clear" w:color="auto" w:fill="auto"/>
            <w:noWrap/>
            <w:vAlign w:val="center"/>
          </w:tcPr>
          <w:p>
            <w:pPr>
              <w:jc w:val="center"/>
              <w:rPr>
                <w:rFonts w:hint="eastAsia"/>
                <w:szCs w:val="21"/>
              </w:rPr>
            </w:pPr>
            <w:r>
              <w:rPr>
                <w:rFonts w:hint="eastAsia" w:cs="宋体"/>
                <w:szCs w:val="21"/>
              </w:rPr>
              <w:t>WS364_2011</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43" w:type="dxa"/>
            <w:tcBorders>
              <w:tl2br w:val="nil"/>
              <w:tr2bl w:val="nil"/>
            </w:tcBorders>
            <w:shd w:val="clear" w:color="auto" w:fill="auto"/>
            <w:noWrap/>
            <w:vAlign w:val="center"/>
          </w:tcPr>
          <w:p>
            <w:pPr>
              <w:pStyle w:val="43"/>
              <w:numPr>
                <w:ilvl w:val="0"/>
                <w:numId w:val="46"/>
              </w:numPr>
              <w:tabs>
                <w:tab w:val="left" w:pos="72"/>
              </w:tabs>
              <w:wordWrap w:val="0"/>
              <w:spacing w:line="360" w:lineRule="auto"/>
              <w:ind w:firstLineChars="0"/>
              <w:jc w:val="center"/>
              <w:rPr>
                <w:szCs w:val="24"/>
              </w:rPr>
            </w:pPr>
          </w:p>
        </w:tc>
        <w:tc>
          <w:tcPr>
            <w:tcW w:w="6186" w:type="dxa"/>
            <w:tcBorders>
              <w:tl2br w:val="nil"/>
              <w:tr2bl w:val="nil"/>
            </w:tcBorders>
            <w:shd w:val="clear" w:color="auto" w:fill="auto"/>
            <w:vAlign w:val="center"/>
          </w:tcPr>
          <w:p>
            <w:pPr>
              <w:jc w:val="center"/>
              <w:rPr>
                <w:rFonts w:hint="eastAsia"/>
                <w:szCs w:val="21"/>
              </w:rPr>
            </w:pPr>
            <w:r>
              <w:rPr>
                <w:rFonts w:hint="eastAsia" w:cs="宋体"/>
                <w:szCs w:val="21"/>
              </w:rPr>
              <w:t>《电子病历基本数据集》</w:t>
            </w:r>
          </w:p>
        </w:tc>
        <w:tc>
          <w:tcPr>
            <w:tcW w:w="2763" w:type="dxa"/>
            <w:tcBorders>
              <w:tl2br w:val="nil"/>
              <w:tr2bl w:val="nil"/>
            </w:tcBorders>
            <w:shd w:val="clear" w:color="auto" w:fill="auto"/>
            <w:noWrap/>
            <w:vAlign w:val="center"/>
          </w:tcPr>
          <w:p>
            <w:pPr>
              <w:jc w:val="center"/>
              <w:rPr>
                <w:rFonts w:hint="eastAsia"/>
                <w:szCs w:val="21"/>
              </w:rPr>
            </w:pPr>
            <w:r>
              <w:rPr>
                <w:rFonts w:hint="eastAsia" w:cs="宋体"/>
                <w:szCs w:val="21"/>
              </w:rPr>
              <w:t>WS455.1-2014</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43" w:type="dxa"/>
            <w:tcBorders>
              <w:tl2br w:val="nil"/>
              <w:tr2bl w:val="nil"/>
            </w:tcBorders>
            <w:shd w:val="clear" w:color="auto" w:fill="auto"/>
            <w:noWrap/>
            <w:vAlign w:val="center"/>
          </w:tcPr>
          <w:p>
            <w:pPr>
              <w:pStyle w:val="43"/>
              <w:numPr>
                <w:ilvl w:val="0"/>
                <w:numId w:val="46"/>
              </w:numPr>
              <w:tabs>
                <w:tab w:val="left" w:pos="72"/>
              </w:tabs>
              <w:wordWrap w:val="0"/>
              <w:spacing w:line="360" w:lineRule="auto"/>
              <w:ind w:firstLineChars="0"/>
              <w:jc w:val="center"/>
              <w:rPr>
                <w:szCs w:val="24"/>
              </w:rPr>
            </w:pPr>
          </w:p>
        </w:tc>
        <w:tc>
          <w:tcPr>
            <w:tcW w:w="6186" w:type="dxa"/>
            <w:tcBorders>
              <w:tl2br w:val="nil"/>
              <w:tr2bl w:val="nil"/>
            </w:tcBorders>
            <w:shd w:val="clear" w:color="auto" w:fill="auto"/>
            <w:vAlign w:val="center"/>
          </w:tcPr>
          <w:p>
            <w:pPr>
              <w:jc w:val="center"/>
              <w:rPr>
                <w:rFonts w:hint="eastAsia"/>
                <w:szCs w:val="21"/>
              </w:rPr>
            </w:pPr>
            <w:r>
              <w:rPr>
                <w:rFonts w:hint="eastAsia" w:cs="宋体"/>
                <w:szCs w:val="21"/>
              </w:rPr>
              <w:t>《基于电子病历的医院信息平台技术规范》</w:t>
            </w:r>
          </w:p>
        </w:tc>
        <w:tc>
          <w:tcPr>
            <w:tcW w:w="2763" w:type="dxa"/>
            <w:tcBorders>
              <w:tl2br w:val="nil"/>
              <w:tr2bl w:val="nil"/>
            </w:tcBorders>
            <w:shd w:val="clear" w:color="auto" w:fill="auto"/>
            <w:noWrap/>
            <w:vAlign w:val="center"/>
          </w:tcPr>
          <w:p>
            <w:pPr>
              <w:jc w:val="center"/>
              <w:rPr>
                <w:rFonts w:hint="eastAsia"/>
                <w:szCs w:val="21"/>
              </w:rPr>
            </w:pPr>
            <w:r>
              <w:rPr>
                <w:rFonts w:hint="eastAsia" w:cs="宋体"/>
                <w:szCs w:val="21"/>
              </w:rPr>
              <w:t>WS/T 447-2014</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43" w:type="dxa"/>
            <w:tcBorders>
              <w:tl2br w:val="nil"/>
              <w:tr2bl w:val="nil"/>
            </w:tcBorders>
            <w:shd w:val="clear" w:color="auto" w:fill="auto"/>
            <w:noWrap/>
            <w:vAlign w:val="center"/>
          </w:tcPr>
          <w:p>
            <w:pPr>
              <w:pStyle w:val="43"/>
              <w:numPr>
                <w:ilvl w:val="0"/>
                <w:numId w:val="46"/>
              </w:numPr>
              <w:tabs>
                <w:tab w:val="left" w:pos="72"/>
              </w:tabs>
              <w:wordWrap w:val="0"/>
              <w:spacing w:line="360" w:lineRule="auto"/>
              <w:ind w:firstLineChars="0"/>
              <w:jc w:val="center"/>
              <w:rPr>
                <w:szCs w:val="24"/>
              </w:rPr>
            </w:pPr>
          </w:p>
        </w:tc>
        <w:tc>
          <w:tcPr>
            <w:tcW w:w="6186" w:type="dxa"/>
            <w:tcBorders>
              <w:tl2br w:val="nil"/>
              <w:tr2bl w:val="nil"/>
            </w:tcBorders>
            <w:shd w:val="clear" w:color="auto" w:fill="auto"/>
            <w:vAlign w:val="center"/>
          </w:tcPr>
          <w:p>
            <w:pPr>
              <w:jc w:val="center"/>
              <w:rPr>
                <w:rFonts w:hint="eastAsia" w:cs="宋体"/>
                <w:szCs w:val="21"/>
              </w:rPr>
            </w:pPr>
            <w:r>
              <w:rPr>
                <w:rFonts w:hint="eastAsia" w:cs="宋体"/>
                <w:szCs w:val="21"/>
              </w:rPr>
              <w:t>《医院信息互联互通标准化成熟度测评方案》（2020）</w:t>
            </w:r>
          </w:p>
        </w:tc>
        <w:tc>
          <w:tcPr>
            <w:tcW w:w="2763" w:type="dxa"/>
            <w:tcBorders>
              <w:tl2br w:val="nil"/>
              <w:tr2bl w:val="nil"/>
            </w:tcBorders>
            <w:shd w:val="clear" w:color="auto" w:fill="auto"/>
            <w:noWrap/>
            <w:vAlign w:val="center"/>
          </w:tcPr>
          <w:p>
            <w:pPr>
              <w:jc w:val="center"/>
              <w:rPr>
                <w:rFonts w:hint="eastAsia" w:cs="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43" w:type="dxa"/>
            <w:tcBorders>
              <w:tl2br w:val="nil"/>
              <w:tr2bl w:val="nil"/>
            </w:tcBorders>
            <w:shd w:val="clear" w:color="auto" w:fill="auto"/>
            <w:noWrap/>
            <w:vAlign w:val="center"/>
          </w:tcPr>
          <w:p>
            <w:pPr>
              <w:pStyle w:val="43"/>
              <w:numPr>
                <w:ilvl w:val="0"/>
                <w:numId w:val="46"/>
              </w:numPr>
              <w:tabs>
                <w:tab w:val="left" w:pos="72"/>
              </w:tabs>
              <w:wordWrap w:val="0"/>
              <w:spacing w:line="360" w:lineRule="auto"/>
              <w:ind w:firstLineChars="0"/>
              <w:jc w:val="center"/>
              <w:rPr>
                <w:szCs w:val="24"/>
              </w:rPr>
            </w:pPr>
          </w:p>
        </w:tc>
        <w:tc>
          <w:tcPr>
            <w:tcW w:w="6186" w:type="dxa"/>
            <w:tcBorders>
              <w:tl2br w:val="nil"/>
              <w:tr2bl w:val="nil"/>
            </w:tcBorders>
            <w:shd w:val="clear" w:color="auto" w:fill="auto"/>
            <w:vAlign w:val="center"/>
          </w:tcPr>
          <w:p>
            <w:pPr>
              <w:widowControl/>
              <w:spacing w:line="276" w:lineRule="auto"/>
              <w:jc w:val="center"/>
              <w:rPr>
                <w:rFonts w:hint="eastAsia" w:cs="宋体"/>
                <w:szCs w:val="21"/>
              </w:rPr>
            </w:pPr>
            <w:r>
              <w:rPr>
                <w:rFonts w:hint="eastAsia" w:cs="宋体"/>
                <w:szCs w:val="21"/>
              </w:rPr>
              <w:t>《电子病历应用管理规范（试行）》</w:t>
            </w:r>
          </w:p>
        </w:tc>
        <w:tc>
          <w:tcPr>
            <w:tcW w:w="2763" w:type="dxa"/>
            <w:tcBorders>
              <w:tl2br w:val="nil"/>
              <w:tr2bl w:val="nil"/>
            </w:tcBorders>
            <w:shd w:val="clear" w:color="auto" w:fill="auto"/>
            <w:noWrap/>
            <w:vAlign w:val="center"/>
          </w:tcPr>
          <w:p>
            <w:pPr>
              <w:widowControl/>
              <w:spacing w:line="276" w:lineRule="auto"/>
              <w:jc w:val="left"/>
              <w:rPr>
                <w:rFonts w:hint="eastAsia" w:cs="宋体"/>
                <w:szCs w:val="21"/>
              </w:rPr>
            </w:pPr>
            <w:r>
              <w:rPr>
                <w:rFonts w:hint="eastAsia" w:cs="宋体"/>
                <w:szCs w:val="21"/>
              </w:rPr>
              <w:t>国卫办医发〔2017〕8号</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43" w:type="dxa"/>
            <w:tcBorders>
              <w:tl2br w:val="nil"/>
              <w:tr2bl w:val="nil"/>
            </w:tcBorders>
            <w:shd w:val="clear" w:color="auto" w:fill="auto"/>
            <w:noWrap/>
            <w:vAlign w:val="center"/>
          </w:tcPr>
          <w:p>
            <w:pPr>
              <w:pStyle w:val="43"/>
              <w:numPr>
                <w:ilvl w:val="0"/>
                <w:numId w:val="46"/>
              </w:numPr>
              <w:tabs>
                <w:tab w:val="left" w:pos="72"/>
              </w:tabs>
              <w:wordWrap w:val="0"/>
              <w:spacing w:line="360" w:lineRule="auto"/>
              <w:ind w:firstLineChars="0"/>
              <w:jc w:val="center"/>
              <w:rPr>
                <w:szCs w:val="24"/>
              </w:rPr>
            </w:pPr>
          </w:p>
        </w:tc>
        <w:tc>
          <w:tcPr>
            <w:tcW w:w="6186" w:type="dxa"/>
            <w:tcBorders>
              <w:tl2br w:val="nil"/>
              <w:tr2bl w:val="nil"/>
            </w:tcBorders>
            <w:shd w:val="clear" w:color="auto" w:fill="auto"/>
            <w:vAlign w:val="center"/>
          </w:tcPr>
          <w:p>
            <w:pPr>
              <w:jc w:val="center"/>
              <w:rPr>
                <w:rFonts w:hint="eastAsia" w:cs="宋体"/>
                <w:szCs w:val="21"/>
              </w:rPr>
            </w:pPr>
            <w:r>
              <w:rPr>
                <w:rFonts w:hint="eastAsia" w:cs="宋体"/>
                <w:szCs w:val="21"/>
              </w:rPr>
              <w:t>《运营基本数据集》</w:t>
            </w:r>
          </w:p>
        </w:tc>
        <w:tc>
          <w:tcPr>
            <w:tcW w:w="2763" w:type="dxa"/>
            <w:tcBorders>
              <w:tl2br w:val="nil"/>
              <w:tr2bl w:val="nil"/>
            </w:tcBorders>
            <w:shd w:val="clear" w:color="auto" w:fill="auto"/>
            <w:noWrap/>
            <w:vAlign w:val="center"/>
          </w:tcPr>
          <w:p>
            <w:pPr>
              <w:jc w:val="center"/>
              <w:rPr>
                <w:rFonts w:hint="eastAsia" w:cs="宋体"/>
                <w:szCs w:val="21"/>
              </w:rPr>
            </w:pPr>
            <w:r>
              <w:rPr>
                <w:rFonts w:hint="eastAsia" w:cs="宋体"/>
                <w:szCs w:val="21"/>
              </w:rPr>
              <w:t>WS 599</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43" w:type="dxa"/>
            <w:tcBorders>
              <w:tl2br w:val="nil"/>
              <w:tr2bl w:val="nil"/>
            </w:tcBorders>
            <w:shd w:val="clear" w:color="auto" w:fill="auto"/>
            <w:noWrap/>
            <w:vAlign w:val="center"/>
          </w:tcPr>
          <w:p>
            <w:pPr>
              <w:pStyle w:val="43"/>
              <w:numPr>
                <w:ilvl w:val="0"/>
                <w:numId w:val="46"/>
              </w:numPr>
              <w:tabs>
                <w:tab w:val="left" w:pos="72"/>
              </w:tabs>
              <w:wordWrap w:val="0"/>
              <w:spacing w:line="360" w:lineRule="auto"/>
              <w:ind w:firstLineChars="0"/>
              <w:jc w:val="center"/>
              <w:rPr>
                <w:szCs w:val="24"/>
              </w:rPr>
            </w:pPr>
          </w:p>
        </w:tc>
        <w:tc>
          <w:tcPr>
            <w:tcW w:w="6186" w:type="dxa"/>
            <w:tcBorders>
              <w:tl2br w:val="nil"/>
              <w:tr2bl w:val="nil"/>
            </w:tcBorders>
            <w:shd w:val="clear" w:color="auto" w:fill="auto"/>
            <w:vAlign w:val="center"/>
          </w:tcPr>
          <w:p>
            <w:pPr>
              <w:jc w:val="center"/>
              <w:rPr>
                <w:rFonts w:hint="eastAsia" w:cs="宋体"/>
                <w:szCs w:val="21"/>
              </w:rPr>
            </w:pPr>
            <w:r>
              <w:rPr>
                <w:rFonts w:hint="eastAsia" w:cs="宋体"/>
                <w:szCs w:val="21"/>
              </w:rPr>
              <w:t>《基于电子病历的医院信息平台技术规范》</w:t>
            </w:r>
          </w:p>
        </w:tc>
        <w:tc>
          <w:tcPr>
            <w:tcW w:w="2763" w:type="dxa"/>
            <w:tcBorders>
              <w:tl2br w:val="nil"/>
              <w:tr2bl w:val="nil"/>
            </w:tcBorders>
            <w:shd w:val="clear" w:color="auto" w:fill="auto"/>
            <w:noWrap/>
            <w:vAlign w:val="center"/>
          </w:tcPr>
          <w:p>
            <w:pPr>
              <w:jc w:val="center"/>
              <w:rPr>
                <w:rFonts w:hint="eastAsia" w:cs="宋体"/>
                <w:szCs w:val="21"/>
              </w:rPr>
            </w:pPr>
            <w:r>
              <w:rPr>
                <w:rFonts w:hint="eastAsia" w:cs="宋体"/>
                <w:szCs w:val="21"/>
              </w:rPr>
              <w:t>WS-T 447-2014</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43" w:type="dxa"/>
            <w:tcBorders>
              <w:tl2br w:val="nil"/>
              <w:tr2bl w:val="nil"/>
            </w:tcBorders>
            <w:shd w:val="clear" w:color="auto" w:fill="auto"/>
            <w:noWrap/>
            <w:vAlign w:val="center"/>
          </w:tcPr>
          <w:p>
            <w:pPr>
              <w:pStyle w:val="43"/>
              <w:numPr>
                <w:ilvl w:val="0"/>
                <w:numId w:val="46"/>
              </w:numPr>
              <w:tabs>
                <w:tab w:val="left" w:pos="72"/>
              </w:tabs>
              <w:wordWrap w:val="0"/>
              <w:spacing w:line="360" w:lineRule="auto"/>
              <w:ind w:firstLineChars="0"/>
              <w:jc w:val="center"/>
              <w:rPr>
                <w:szCs w:val="24"/>
              </w:rPr>
            </w:pPr>
          </w:p>
        </w:tc>
        <w:tc>
          <w:tcPr>
            <w:tcW w:w="6186" w:type="dxa"/>
            <w:tcBorders>
              <w:tl2br w:val="nil"/>
              <w:tr2bl w:val="nil"/>
            </w:tcBorders>
            <w:shd w:val="clear" w:color="auto" w:fill="auto"/>
            <w:vAlign w:val="center"/>
          </w:tcPr>
          <w:p>
            <w:pPr>
              <w:jc w:val="center"/>
              <w:rPr>
                <w:rFonts w:hint="eastAsia" w:cs="宋体"/>
                <w:szCs w:val="21"/>
              </w:rPr>
            </w:pPr>
            <w:r>
              <w:rPr>
                <w:rFonts w:hint="eastAsia" w:cs="宋体"/>
                <w:szCs w:val="21"/>
              </w:rPr>
              <w:t>《基于患者医疗文档的区域卫生信息平台技术规范》</w:t>
            </w:r>
          </w:p>
        </w:tc>
        <w:tc>
          <w:tcPr>
            <w:tcW w:w="2763" w:type="dxa"/>
            <w:tcBorders>
              <w:tl2br w:val="nil"/>
              <w:tr2bl w:val="nil"/>
            </w:tcBorders>
            <w:shd w:val="clear" w:color="auto" w:fill="auto"/>
            <w:noWrap/>
            <w:vAlign w:val="center"/>
          </w:tcPr>
          <w:p>
            <w:pPr>
              <w:jc w:val="center"/>
              <w:rPr>
                <w:rFonts w:hint="eastAsia" w:cs="宋体"/>
                <w:szCs w:val="21"/>
              </w:rPr>
            </w:pPr>
            <w:r>
              <w:rPr>
                <w:rFonts w:hint="eastAsia" w:cs="宋体"/>
                <w:szCs w:val="21"/>
              </w:rPr>
              <w:t>WS-T 448-2013</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43" w:type="dxa"/>
            <w:tcBorders>
              <w:tl2br w:val="nil"/>
              <w:tr2bl w:val="nil"/>
            </w:tcBorders>
            <w:shd w:val="clear" w:color="auto" w:fill="auto"/>
            <w:noWrap/>
            <w:vAlign w:val="center"/>
          </w:tcPr>
          <w:p>
            <w:pPr>
              <w:pStyle w:val="43"/>
              <w:numPr>
                <w:ilvl w:val="0"/>
                <w:numId w:val="46"/>
              </w:numPr>
              <w:tabs>
                <w:tab w:val="left" w:pos="72"/>
              </w:tabs>
              <w:wordWrap w:val="0"/>
              <w:spacing w:line="360" w:lineRule="auto"/>
              <w:ind w:firstLineChars="0"/>
              <w:jc w:val="center"/>
              <w:rPr>
                <w:szCs w:val="24"/>
              </w:rPr>
            </w:pPr>
          </w:p>
        </w:tc>
        <w:tc>
          <w:tcPr>
            <w:tcW w:w="6186" w:type="dxa"/>
            <w:tcBorders>
              <w:tl2br w:val="nil"/>
              <w:tr2bl w:val="nil"/>
            </w:tcBorders>
            <w:shd w:val="clear" w:color="auto" w:fill="auto"/>
            <w:vAlign w:val="center"/>
          </w:tcPr>
          <w:p>
            <w:pPr>
              <w:jc w:val="center"/>
              <w:rPr>
                <w:rFonts w:hint="eastAsia" w:cs="宋体"/>
                <w:szCs w:val="21"/>
              </w:rPr>
            </w:pPr>
            <w:r>
              <w:rPr>
                <w:rFonts w:hint="eastAsia" w:cs="宋体"/>
                <w:szCs w:val="21"/>
              </w:rPr>
              <w:t>《医疗文档共享文档》</w:t>
            </w:r>
          </w:p>
        </w:tc>
        <w:tc>
          <w:tcPr>
            <w:tcW w:w="2763" w:type="dxa"/>
            <w:tcBorders>
              <w:tl2br w:val="nil"/>
              <w:tr2bl w:val="nil"/>
            </w:tcBorders>
            <w:shd w:val="clear" w:color="auto" w:fill="auto"/>
            <w:noWrap/>
            <w:vAlign w:val="center"/>
          </w:tcPr>
          <w:p>
            <w:pPr>
              <w:jc w:val="center"/>
              <w:rPr>
                <w:rFonts w:hint="eastAsia" w:cs="宋体"/>
                <w:szCs w:val="21"/>
              </w:rPr>
            </w:pPr>
            <w:r>
              <w:rPr>
                <w:rFonts w:hint="eastAsia" w:cs="宋体"/>
                <w:szCs w:val="21"/>
              </w:rPr>
              <w:t>WS-T 483、WS_482 2016</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43" w:type="dxa"/>
            <w:tcBorders>
              <w:tl2br w:val="nil"/>
              <w:tr2bl w:val="nil"/>
            </w:tcBorders>
            <w:shd w:val="clear" w:color="auto" w:fill="auto"/>
            <w:noWrap/>
            <w:vAlign w:val="center"/>
          </w:tcPr>
          <w:p>
            <w:pPr>
              <w:pStyle w:val="43"/>
              <w:numPr>
                <w:ilvl w:val="0"/>
                <w:numId w:val="46"/>
              </w:numPr>
              <w:tabs>
                <w:tab w:val="left" w:pos="72"/>
              </w:tabs>
              <w:wordWrap w:val="0"/>
              <w:spacing w:line="360" w:lineRule="auto"/>
              <w:ind w:firstLineChars="0"/>
              <w:jc w:val="center"/>
              <w:rPr>
                <w:szCs w:val="24"/>
              </w:rPr>
            </w:pPr>
          </w:p>
        </w:tc>
        <w:tc>
          <w:tcPr>
            <w:tcW w:w="6186" w:type="dxa"/>
            <w:tcBorders>
              <w:tl2br w:val="nil"/>
              <w:tr2bl w:val="nil"/>
            </w:tcBorders>
            <w:shd w:val="clear" w:color="auto" w:fill="auto"/>
            <w:vAlign w:val="center"/>
          </w:tcPr>
          <w:p>
            <w:pPr>
              <w:jc w:val="center"/>
              <w:rPr>
                <w:rFonts w:hint="eastAsia" w:cs="宋体"/>
                <w:szCs w:val="21"/>
              </w:rPr>
            </w:pPr>
            <w:r>
              <w:rPr>
                <w:rFonts w:hint="eastAsia" w:cs="宋体"/>
                <w:szCs w:val="21"/>
              </w:rPr>
              <w:t>《电子病历共享文档规范2016》</w:t>
            </w:r>
          </w:p>
        </w:tc>
        <w:tc>
          <w:tcPr>
            <w:tcW w:w="2763" w:type="dxa"/>
            <w:tcBorders>
              <w:tl2br w:val="nil"/>
              <w:tr2bl w:val="nil"/>
            </w:tcBorders>
            <w:shd w:val="clear" w:color="auto" w:fill="auto"/>
            <w:noWrap/>
            <w:vAlign w:val="center"/>
          </w:tcPr>
          <w:p>
            <w:pPr>
              <w:jc w:val="center"/>
              <w:rPr>
                <w:rFonts w:hint="eastAsia" w:cs="宋体"/>
                <w:szCs w:val="21"/>
              </w:rPr>
            </w:pPr>
            <w:r>
              <w:rPr>
                <w:rFonts w:hint="eastAsia" w:cs="宋体"/>
                <w:szCs w:val="21"/>
              </w:rPr>
              <w:t>WST 500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43" w:type="dxa"/>
            <w:tcBorders>
              <w:tl2br w:val="nil"/>
              <w:tr2bl w:val="nil"/>
            </w:tcBorders>
            <w:shd w:val="clear" w:color="auto" w:fill="auto"/>
            <w:noWrap/>
            <w:vAlign w:val="center"/>
          </w:tcPr>
          <w:p>
            <w:pPr>
              <w:pStyle w:val="43"/>
              <w:numPr>
                <w:ilvl w:val="0"/>
                <w:numId w:val="46"/>
              </w:numPr>
              <w:tabs>
                <w:tab w:val="left" w:pos="72"/>
              </w:tabs>
              <w:wordWrap w:val="0"/>
              <w:spacing w:line="360" w:lineRule="auto"/>
              <w:ind w:firstLineChars="0"/>
              <w:jc w:val="center"/>
              <w:rPr>
                <w:szCs w:val="24"/>
              </w:rPr>
            </w:pPr>
          </w:p>
        </w:tc>
        <w:tc>
          <w:tcPr>
            <w:tcW w:w="6186" w:type="dxa"/>
            <w:tcBorders>
              <w:tl2br w:val="nil"/>
              <w:tr2bl w:val="nil"/>
            </w:tcBorders>
            <w:shd w:val="clear" w:color="auto" w:fill="auto"/>
            <w:vAlign w:val="center"/>
          </w:tcPr>
          <w:p>
            <w:pPr>
              <w:jc w:val="center"/>
              <w:rPr>
                <w:rFonts w:hint="eastAsia" w:cs="宋体"/>
                <w:szCs w:val="21"/>
              </w:rPr>
            </w:pPr>
            <w:r>
              <w:rPr>
                <w:rFonts w:hint="eastAsia" w:cs="宋体"/>
                <w:szCs w:val="21"/>
              </w:rPr>
              <w:t>《电子病历与医院信息平台标准符合性测试规范》</w:t>
            </w:r>
          </w:p>
        </w:tc>
        <w:tc>
          <w:tcPr>
            <w:tcW w:w="2763" w:type="dxa"/>
            <w:tcBorders>
              <w:tl2br w:val="nil"/>
              <w:tr2bl w:val="nil"/>
            </w:tcBorders>
            <w:shd w:val="clear" w:color="auto" w:fill="auto"/>
            <w:noWrap/>
            <w:vAlign w:val="center"/>
          </w:tcPr>
          <w:p>
            <w:pPr>
              <w:jc w:val="center"/>
              <w:rPr>
                <w:rFonts w:hint="eastAsia" w:cs="宋体"/>
                <w:szCs w:val="21"/>
              </w:rPr>
            </w:pPr>
            <w:r>
              <w:rPr>
                <w:rFonts w:hint="eastAsia" w:cs="宋体"/>
                <w:szCs w:val="21"/>
              </w:rPr>
              <w:t>WS-T 501－2016</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43" w:type="dxa"/>
            <w:tcBorders>
              <w:tl2br w:val="nil"/>
              <w:tr2bl w:val="nil"/>
            </w:tcBorders>
            <w:shd w:val="clear" w:color="auto" w:fill="auto"/>
            <w:noWrap/>
            <w:vAlign w:val="center"/>
          </w:tcPr>
          <w:p>
            <w:pPr>
              <w:pStyle w:val="43"/>
              <w:numPr>
                <w:ilvl w:val="0"/>
                <w:numId w:val="46"/>
              </w:numPr>
              <w:tabs>
                <w:tab w:val="left" w:pos="72"/>
              </w:tabs>
              <w:wordWrap w:val="0"/>
              <w:spacing w:line="360" w:lineRule="auto"/>
              <w:ind w:firstLineChars="0"/>
              <w:jc w:val="center"/>
              <w:rPr>
                <w:szCs w:val="24"/>
              </w:rPr>
            </w:pPr>
          </w:p>
        </w:tc>
        <w:tc>
          <w:tcPr>
            <w:tcW w:w="6186" w:type="dxa"/>
            <w:tcBorders>
              <w:tl2br w:val="nil"/>
              <w:tr2bl w:val="nil"/>
            </w:tcBorders>
            <w:shd w:val="clear" w:color="auto" w:fill="auto"/>
            <w:vAlign w:val="center"/>
          </w:tcPr>
          <w:p>
            <w:pPr>
              <w:jc w:val="center"/>
              <w:rPr>
                <w:rFonts w:hint="eastAsia" w:cs="宋体"/>
                <w:szCs w:val="21"/>
              </w:rPr>
            </w:pPr>
            <w:r>
              <w:rPr>
                <w:rFonts w:hint="eastAsia" w:cs="宋体"/>
                <w:szCs w:val="21"/>
              </w:rPr>
              <w:t>《湖北省区域医疗信息平台信息交换技术规范和数据集标准规范》</w:t>
            </w:r>
          </w:p>
        </w:tc>
        <w:tc>
          <w:tcPr>
            <w:tcW w:w="2763" w:type="dxa"/>
            <w:tcBorders>
              <w:tl2br w:val="nil"/>
              <w:tr2bl w:val="nil"/>
            </w:tcBorders>
            <w:shd w:val="clear" w:color="auto" w:fill="auto"/>
            <w:noWrap/>
            <w:vAlign w:val="center"/>
          </w:tcPr>
          <w:p>
            <w:pPr>
              <w:jc w:val="center"/>
              <w:rPr>
                <w:rFonts w:hint="eastAsia" w:cs="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43" w:type="dxa"/>
            <w:tcBorders>
              <w:tl2br w:val="nil"/>
              <w:tr2bl w:val="nil"/>
            </w:tcBorders>
            <w:shd w:val="clear" w:color="auto" w:fill="auto"/>
            <w:noWrap/>
            <w:vAlign w:val="center"/>
          </w:tcPr>
          <w:p>
            <w:pPr>
              <w:pStyle w:val="43"/>
              <w:numPr>
                <w:ilvl w:val="0"/>
                <w:numId w:val="46"/>
              </w:numPr>
              <w:tabs>
                <w:tab w:val="left" w:pos="72"/>
              </w:tabs>
              <w:wordWrap w:val="0"/>
              <w:spacing w:line="360" w:lineRule="auto"/>
              <w:ind w:firstLineChars="0"/>
              <w:jc w:val="center"/>
              <w:rPr>
                <w:szCs w:val="24"/>
              </w:rPr>
            </w:pPr>
          </w:p>
        </w:tc>
        <w:tc>
          <w:tcPr>
            <w:tcW w:w="6186" w:type="dxa"/>
            <w:tcBorders>
              <w:tl2br w:val="nil"/>
              <w:tr2bl w:val="nil"/>
            </w:tcBorders>
            <w:shd w:val="clear" w:color="auto" w:fill="auto"/>
            <w:vAlign w:val="center"/>
          </w:tcPr>
          <w:p>
            <w:pPr>
              <w:jc w:val="center"/>
              <w:rPr>
                <w:rFonts w:hint="eastAsia" w:cs="宋体"/>
                <w:szCs w:val="21"/>
              </w:rPr>
            </w:pPr>
            <w:r>
              <w:rPr>
                <w:rFonts w:hint="eastAsia" w:cs="宋体"/>
                <w:szCs w:val="21"/>
              </w:rPr>
              <w:t>《医院智慧服务分级评估标准体系（试行）》</w:t>
            </w:r>
          </w:p>
        </w:tc>
        <w:tc>
          <w:tcPr>
            <w:tcW w:w="2763" w:type="dxa"/>
            <w:tcBorders>
              <w:tl2br w:val="nil"/>
              <w:tr2bl w:val="nil"/>
            </w:tcBorders>
            <w:shd w:val="clear" w:color="auto" w:fill="auto"/>
            <w:noWrap/>
            <w:vAlign w:val="center"/>
          </w:tcPr>
          <w:p>
            <w:pPr>
              <w:jc w:val="center"/>
              <w:rPr>
                <w:rFonts w:hint="eastAsia" w:cs="宋体"/>
                <w:szCs w:val="21"/>
              </w:rPr>
            </w:pPr>
            <w:r>
              <w:rPr>
                <w:rFonts w:hint="eastAsia" w:cs="宋体"/>
                <w:szCs w:val="21"/>
              </w:rPr>
              <w:t>国家卫健委〔2019〕236号</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43" w:type="dxa"/>
            <w:tcBorders>
              <w:tl2br w:val="nil"/>
              <w:tr2bl w:val="nil"/>
            </w:tcBorders>
            <w:shd w:val="clear" w:color="auto" w:fill="auto"/>
            <w:noWrap/>
            <w:vAlign w:val="center"/>
          </w:tcPr>
          <w:p>
            <w:pPr>
              <w:pStyle w:val="43"/>
              <w:numPr>
                <w:ilvl w:val="0"/>
                <w:numId w:val="46"/>
              </w:numPr>
              <w:tabs>
                <w:tab w:val="left" w:pos="72"/>
              </w:tabs>
              <w:wordWrap w:val="0"/>
              <w:spacing w:line="360" w:lineRule="auto"/>
              <w:ind w:firstLineChars="0"/>
              <w:jc w:val="center"/>
              <w:rPr>
                <w:szCs w:val="24"/>
              </w:rPr>
            </w:pPr>
          </w:p>
        </w:tc>
        <w:tc>
          <w:tcPr>
            <w:tcW w:w="6186" w:type="dxa"/>
            <w:tcBorders>
              <w:tl2br w:val="nil"/>
              <w:tr2bl w:val="nil"/>
            </w:tcBorders>
            <w:shd w:val="clear" w:color="auto" w:fill="auto"/>
            <w:vAlign w:val="center"/>
          </w:tcPr>
          <w:p>
            <w:pPr>
              <w:jc w:val="center"/>
              <w:rPr>
                <w:rFonts w:hint="eastAsia" w:cs="宋体"/>
                <w:szCs w:val="21"/>
              </w:rPr>
            </w:pPr>
            <w:r>
              <w:rPr>
                <w:rFonts w:hint="eastAsia" w:cs="宋体"/>
                <w:szCs w:val="21"/>
              </w:rPr>
              <w:t>《关于印发“十四五”中医药信息化发展规划的通知》</w:t>
            </w:r>
          </w:p>
        </w:tc>
        <w:tc>
          <w:tcPr>
            <w:tcW w:w="2763" w:type="dxa"/>
            <w:tcBorders>
              <w:tl2br w:val="nil"/>
              <w:tr2bl w:val="nil"/>
            </w:tcBorders>
            <w:shd w:val="clear" w:color="auto" w:fill="auto"/>
            <w:noWrap/>
            <w:vAlign w:val="center"/>
          </w:tcPr>
          <w:p>
            <w:pPr>
              <w:jc w:val="center"/>
              <w:rPr>
                <w:rFonts w:hint="eastAsia" w:cs="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43" w:type="dxa"/>
            <w:tcBorders>
              <w:tl2br w:val="nil"/>
              <w:tr2bl w:val="nil"/>
            </w:tcBorders>
            <w:shd w:val="clear" w:color="auto" w:fill="auto"/>
            <w:noWrap/>
            <w:vAlign w:val="center"/>
          </w:tcPr>
          <w:p>
            <w:pPr>
              <w:pStyle w:val="43"/>
              <w:numPr>
                <w:ilvl w:val="0"/>
                <w:numId w:val="46"/>
              </w:numPr>
              <w:tabs>
                <w:tab w:val="left" w:pos="72"/>
              </w:tabs>
              <w:wordWrap w:val="0"/>
              <w:spacing w:line="360" w:lineRule="auto"/>
              <w:ind w:firstLineChars="0"/>
              <w:jc w:val="center"/>
              <w:rPr>
                <w:szCs w:val="24"/>
              </w:rPr>
            </w:pPr>
          </w:p>
        </w:tc>
        <w:tc>
          <w:tcPr>
            <w:tcW w:w="6186" w:type="dxa"/>
            <w:tcBorders>
              <w:tl2br w:val="nil"/>
              <w:tr2bl w:val="nil"/>
            </w:tcBorders>
            <w:shd w:val="clear" w:color="auto" w:fill="auto"/>
            <w:vAlign w:val="center"/>
          </w:tcPr>
          <w:p>
            <w:pPr>
              <w:jc w:val="center"/>
              <w:rPr>
                <w:rFonts w:hint="eastAsia" w:cs="宋体"/>
                <w:szCs w:val="21"/>
              </w:rPr>
            </w:pPr>
            <w:r>
              <w:rPr>
                <w:rFonts w:hint="eastAsia" w:cs="宋体"/>
                <w:szCs w:val="21"/>
              </w:rPr>
              <w:t>《中医病历书写基本规范》</w:t>
            </w:r>
          </w:p>
        </w:tc>
        <w:tc>
          <w:tcPr>
            <w:tcW w:w="2763" w:type="dxa"/>
            <w:tcBorders>
              <w:tl2br w:val="nil"/>
              <w:tr2bl w:val="nil"/>
            </w:tcBorders>
            <w:shd w:val="clear" w:color="auto" w:fill="auto"/>
            <w:noWrap/>
            <w:vAlign w:val="center"/>
          </w:tcPr>
          <w:p>
            <w:pPr>
              <w:jc w:val="center"/>
              <w:rPr>
                <w:rFonts w:hint="eastAsia" w:cs="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43" w:type="dxa"/>
            <w:tcBorders>
              <w:tl2br w:val="nil"/>
              <w:tr2bl w:val="nil"/>
            </w:tcBorders>
            <w:shd w:val="clear" w:color="auto" w:fill="auto"/>
            <w:noWrap/>
            <w:vAlign w:val="center"/>
          </w:tcPr>
          <w:p>
            <w:pPr>
              <w:pStyle w:val="43"/>
              <w:numPr>
                <w:ilvl w:val="0"/>
                <w:numId w:val="46"/>
              </w:numPr>
              <w:tabs>
                <w:tab w:val="left" w:pos="72"/>
              </w:tabs>
              <w:wordWrap w:val="0"/>
              <w:spacing w:line="360" w:lineRule="auto"/>
              <w:ind w:firstLineChars="0"/>
              <w:jc w:val="center"/>
              <w:rPr>
                <w:szCs w:val="24"/>
              </w:rPr>
            </w:pPr>
          </w:p>
        </w:tc>
        <w:tc>
          <w:tcPr>
            <w:tcW w:w="6186" w:type="dxa"/>
            <w:tcBorders>
              <w:tl2br w:val="nil"/>
              <w:tr2bl w:val="nil"/>
            </w:tcBorders>
            <w:shd w:val="clear" w:color="auto" w:fill="auto"/>
            <w:vAlign w:val="center"/>
          </w:tcPr>
          <w:p>
            <w:pPr>
              <w:jc w:val="center"/>
              <w:rPr>
                <w:rFonts w:hint="eastAsia" w:cs="宋体"/>
                <w:szCs w:val="21"/>
              </w:rPr>
            </w:pPr>
            <w:r>
              <w:rPr>
                <w:rFonts w:hint="eastAsia" w:cs="宋体"/>
                <w:szCs w:val="21"/>
              </w:rPr>
              <w:t>《中药处方格式及书写规范》</w:t>
            </w:r>
          </w:p>
        </w:tc>
        <w:tc>
          <w:tcPr>
            <w:tcW w:w="2763" w:type="dxa"/>
            <w:tcBorders>
              <w:tl2br w:val="nil"/>
              <w:tr2bl w:val="nil"/>
            </w:tcBorders>
            <w:shd w:val="clear" w:color="auto" w:fill="auto"/>
            <w:noWrap/>
            <w:vAlign w:val="center"/>
          </w:tcPr>
          <w:p>
            <w:pPr>
              <w:jc w:val="center"/>
              <w:rPr>
                <w:rFonts w:hint="eastAsia" w:cs="宋体"/>
                <w:szCs w:val="21"/>
              </w:rPr>
            </w:pPr>
          </w:p>
        </w:tc>
      </w:tr>
    </w:tbl>
    <w:p>
      <w:pPr>
        <w:pStyle w:val="3"/>
        <w:numPr>
          <w:ilvl w:val="0"/>
          <w:numId w:val="44"/>
        </w:numPr>
        <w:wordWrap w:val="0"/>
        <w:spacing w:before="0" w:after="0" w:line="360" w:lineRule="auto"/>
        <w:ind w:left="616" w:hanging="616"/>
        <w:jc w:val="left"/>
        <w:rPr>
          <w:rFonts w:ascii="宋体" w:hAnsi="宋体" w:eastAsia="宋体" w:cs="Times New Roman"/>
          <w:bCs w:val="0"/>
          <w:sz w:val="28"/>
          <w:szCs w:val="28"/>
          <w:lang w:val="zh-CN"/>
        </w:rPr>
      </w:pPr>
      <w:bookmarkStart w:id="413" w:name="_Toc107561288"/>
      <w:bookmarkStart w:id="414" w:name="_Toc10008"/>
      <w:bookmarkStart w:id="415" w:name="_Toc117244485"/>
      <w:bookmarkStart w:id="416" w:name="_Toc117244370"/>
      <w:bookmarkStart w:id="417" w:name="_Toc30076"/>
      <w:r>
        <w:rPr>
          <w:rFonts w:hint="eastAsia" w:ascii="宋体" w:hAnsi="宋体" w:eastAsia="宋体" w:cs="Times New Roman"/>
          <w:bCs w:val="0"/>
          <w:sz w:val="28"/>
          <w:szCs w:val="28"/>
          <w:lang w:val="zh-CN"/>
        </w:rPr>
        <w:t>技术要求</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pPr>
        <w:spacing w:line="360" w:lineRule="auto"/>
        <w:ind w:firstLine="482" w:firstLineChars="200"/>
        <w:rPr>
          <w:rFonts w:hint="eastAsia"/>
          <w:b/>
          <w:bCs/>
          <w:lang w:val="zh-CN"/>
        </w:rPr>
      </w:pPr>
      <w:r>
        <w:rPr>
          <w:rFonts w:hint="eastAsia"/>
          <w:b/>
          <w:bCs/>
          <w:lang w:val="zh-CN"/>
        </w:rPr>
        <w:t>（一）建设内容</w:t>
      </w:r>
    </w:p>
    <w:tbl>
      <w:tblPr>
        <w:tblStyle w:val="29"/>
        <w:tblW w:w="9815" w:type="dxa"/>
        <w:jc w:val="center"/>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Layout w:type="fixed"/>
        <w:tblCellMar>
          <w:top w:w="0" w:type="dxa"/>
          <w:left w:w="108" w:type="dxa"/>
          <w:bottom w:w="0" w:type="dxa"/>
          <w:right w:w="108" w:type="dxa"/>
        </w:tblCellMar>
      </w:tblPr>
      <w:tblGrid>
        <w:gridCol w:w="859"/>
        <w:gridCol w:w="2578"/>
        <w:gridCol w:w="6378"/>
      </w:tblGrid>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15" w:hRule="atLeast"/>
          <w:jc w:val="center"/>
        </w:trPr>
        <w:tc>
          <w:tcPr>
            <w:tcW w:w="859" w:type="dxa"/>
            <w:tcBorders>
              <w:tl2br w:val="nil"/>
              <w:tr2bl w:val="nil"/>
            </w:tcBorders>
            <w:shd w:val="pct10" w:color="C3BD96" w:themeColor="background2" w:themeShade="BF" w:fill="DCD8C2" w:themeFill="background2" w:themeFillShade="E5"/>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b/>
                <w:bCs/>
                <w:color w:val="auto"/>
                <w:sz w:val="24"/>
                <w:szCs w:val="24"/>
                <w:highlight w:val="none"/>
                <w:lang w:val="en-US" w:eastAsia="zh-CN"/>
              </w:rPr>
            </w:pPr>
            <w:r>
              <w:rPr>
                <w:rFonts w:hint="eastAsia" w:ascii="宋体" w:hAnsi="宋体" w:eastAsia="宋体" w:cs="Times New Roman"/>
                <w:b/>
                <w:bCs/>
                <w:color w:val="auto"/>
                <w:sz w:val="24"/>
                <w:szCs w:val="24"/>
                <w:highlight w:val="none"/>
                <w:lang w:val="en-US" w:eastAsia="zh-CN"/>
              </w:rPr>
              <w:t>序号</w:t>
            </w:r>
          </w:p>
        </w:tc>
        <w:tc>
          <w:tcPr>
            <w:tcW w:w="2578" w:type="dxa"/>
            <w:tcBorders>
              <w:tl2br w:val="nil"/>
              <w:tr2bl w:val="nil"/>
            </w:tcBorders>
            <w:shd w:val="pct10" w:color="C3BD96" w:themeColor="background2" w:themeShade="BF" w:fill="DCD8C2" w:themeFill="background2" w:themeFillShade="E5"/>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b/>
                <w:bCs/>
                <w:color w:val="auto"/>
                <w:sz w:val="24"/>
                <w:szCs w:val="24"/>
                <w:highlight w:val="none"/>
                <w:lang w:val="en-US" w:eastAsia="zh-CN"/>
              </w:rPr>
            </w:pPr>
            <w:r>
              <w:rPr>
                <w:rFonts w:hint="eastAsia" w:ascii="宋体" w:hAnsi="宋体" w:eastAsia="宋体" w:cs="Times New Roman"/>
                <w:b/>
                <w:bCs/>
                <w:color w:val="auto"/>
                <w:sz w:val="24"/>
                <w:szCs w:val="24"/>
                <w:highlight w:val="none"/>
                <w:lang w:val="en-US" w:eastAsia="zh-CN"/>
              </w:rPr>
              <w:t>系统名称</w:t>
            </w:r>
          </w:p>
        </w:tc>
        <w:tc>
          <w:tcPr>
            <w:tcW w:w="6378" w:type="dxa"/>
            <w:tcBorders>
              <w:tl2br w:val="nil"/>
              <w:tr2bl w:val="nil"/>
            </w:tcBorders>
            <w:shd w:val="pct10" w:color="C3BD96" w:themeColor="background2" w:themeShade="BF" w:fill="DCD8C2" w:themeFill="background2" w:themeFillShade="E5"/>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b/>
                <w:bCs/>
                <w:color w:val="auto"/>
                <w:sz w:val="24"/>
                <w:szCs w:val="24"/>
                <w:highlight w:val="none"/>
                <w:lang w:val="en-US" w:eastAsia="zh-CN"/>
              </w:rPr>
            </w:pPr>
            <w:r>
              <w:rPr>
                <w:rFonts w:hint="eastAsia" w:ascii="宋体" w:hAnsi="宋体" w:eastAsia="宋体" w:cs="Times New Roman"/>
                <w:b/>
                <w:bCs/>
                <w:color w:val="auto"/>
                <w:sz w:val="24"/>
                <w:szCs w:val="24"/>
                <w:highlight w:val="none"/>
                <w:lang w:val="en-US" w:eastAsia="zh-CN"/>
              </w:rPr>
              <w:t>备注</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1</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信息系统集成平台接口</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各</w:t>
            </w:r>
            <w:r>
              <w:rPr>
                <w:rFonts w:hint="eastAsia" w:ascii="宋体" w:hAnsi="宋体" w:cs="Times New Roman"/>
                <w:color w:val="auto"/>
                <w:sz w:val="24"/>
                <w:szCs w:val="24"/>
                <w:highlight w:val="none"/>
                <w:lang w:val="en-US" w:eastAsia="zh-CN"/>
              </w:rPr>
              <w:t>医院信息</w:t>
            </w:r>
            <w:r>
              <w:rPr>
                <w:rFonts w:hint="eastAsia" w:ascii="宋体" w:hAnsi="宋体" w:eastAsia="宋体" w:cs="Times New Roman"/>
                <w:color w:val="auto"/>
                <w:sz w:val="24"/>
                <w:szCs w:val="24"/>
                <w:highlight w:val="none"/>
                <w:lang w:val="en-US" w:eastAsia="zh-CN"/>
              </w:rPr>
              <w:t>系统按照集成平台接口标准接入到黄冈市中心医院集成平台当中</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2</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基础信息系统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菜单管理、权限管理等</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3</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物价管理系统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支持多级别物价定义，对院内物价信息进行统一管理</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4</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操作日志审计</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记录系统操作日志信息，并提供统一浏览审核</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5</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患者基本信息管理</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含患者实名认证</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6</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电子健康卡接入</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支持通过身份证、医保卡、人口信息库等自动获取患者信息后，自动生成电子健康码，实现全院“一码通”，减少就诊卡使用成本</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7</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电子发票接入</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按电子发票系统接口进行改造，将票据信息发送到财政局票据系统，支持门诊发票、住院发票等多种票据类型，支持发票项目各种映射，支持电子发票查询及重新生成</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8</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互联网服务系统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含移动支付、各类查询等</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90"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9</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门诊挂号系统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根据号种计算挂号费用的功能，支持退号和改号业务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10</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统一预约系统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含就诊、检查、治疗、体检等预约</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11</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排队叫号系统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系统通过挂号、叫号、动态数据实时监控和效率管理等方法，可以起到医生按序叫号</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12</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诊间支付系统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实现在门诊医生处即可完成患者缴费，方便患者就医</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13</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满意度评价系统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可通过满意度评价分别进行患者向医院满意度打分，及医院内部满意度打分</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14</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信息公示系统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通过网络液晶一体机可以把医院介绍、健康知识、实时新闻、药物公开等信息内容实时展现在人们群众眼前</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15</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信息推送系统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支持对院内、院外消息进行推送，通过多种消息类型，可推送至PC、手机、平板等设备</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16</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门诊医师系统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满足门诊医生日常工作应用，对其他辅助检查系统，病历系统进行一体化集成</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17</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门诊电子病历系统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提供门急诊病历统一书写、浏览、数据引用界面，与门诊医生一体化集成</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18</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急诊管理系统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提供对留观患者实现病历、医嘱、会诊、转科、转院等处理</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19</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急诊留观系统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提供对留观患者实现病历、医嘱、会诊、转科、转院等处理</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20</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门诊输液系统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提供病人登记后，输液单，注射单，治疗单、皮试单的管理</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04"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21</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住院医师系统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基本功能包括处理处方、检查、检验、治疗处置、手术、护理、卫生材料以及会诊、转科、出院等</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22</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住院电子病历系统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以患者为中心进行设计，将传统的质子病历完全电子化、结构化</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23</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临床路径系统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遵照循证医学的方法，根据某种疾病或某种手术方法，建立一套标准化治疗模式与治疗程序</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24</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住院护理记录</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提供护理记录统一定义和书写界面，并进行打印、浏览</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25</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护理医嘱执行</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根据医生医嘱信息，进行医嘱提取，由护士进行医嘱审核、执行</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26</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护理医嘱提醒</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医生新开、修改、停止等操作，对护士进行及时提醒</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27</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移动查房系统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利用全院移动网络，实现医生通过移动端完成床旁应用</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28</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移动护理系统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结合移动计算技术在医院无线局域网覆盖的任何地方，在手持PDA上实时查看核对病人的基本信息，并完成医嘱执行等各项功能</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29</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移动术前访视</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通过术前访视，护士可掌握患者的情况，制定护理计划，以便在围术期实施正确的护理</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30</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手术信息系统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对手术患者信息进行统一浏览，并根据情况对患者进行手术安排、计费、发药等操作</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3</w:t>
            </w:r>
            <w:r>
              <w:rPr>
                <w:rFonts w:hint="eastAsia" w:cs="Times New Roman"/>
                <w:color w:val="auto"/>
                <w:kern w:val="0"/>
                <w:sz w:val="24"/>
                <w:szCs w:val="24"/>
                <w:highlight w:val="none"/>
                <w:lang w:val="en-US" w:eastAsia="zh-CN" w:bidi="ar-SA"/>
              </w:rPr>
              <w:t>1</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合理用血信息系统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内置输血指标，从不同角度与维度对医院的整体合理用血情况进行汇总分析和评价，其中包含：医院科室、临床医生、血液品种、临床病种、用血申请类型等，辅助管理者对全院合理用血情况进行全面监督与指导</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3</w:t>
            </w:r>
            <w:r>
              <w:rPr>
                <w:rFonts w:hint="eastAsia" w:cs="Times New Roman"/>
                <w:color w:val="auto"/>
                <w:kern w:val="0"/>
                <w:sz w:val="24"/>
                <w:szCs w:val="24"/>
                <w:highlight w:val="none"/>
                <w:lang w:val="en-US" w:eastAsia="zh-CN" w:bidi="ar-SA"/>
              </w:rPr>
              <w:t>2</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随访信息系统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患者资料收集整理、随访计划执行、和数据统计分析功能于一体的医患服务，提高随访效率，提升医疗水平，提高患者依从度，改善医风医德和医患关系，提升医院美誉度和经济效益</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3</w:t>
            </w:r>
            <w:r>
              <w:rPr>
                <w:rFonts w:hint="eastAsia" w:cs="Times New Roman"/>
                <w:color w:val="auto"/>
                <w:kern w:val="0"/>
                <w:sz w:val="24"/>
                <w:szCs w:val="24"/>
                <w:highlight w:val="none"/>
                <w:lang w:val="en-US" w:eastAsia="zh-CN" w:bidi="ar-SA"/>
              </w:rPr>
              <w:t>3</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临床检验系统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能实现临床检验信息化，将检验的实验仪器传出的数据</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3</w:t>
            </w:r>
            <w:r>
              <w:rPr>
                <w:rFonts w:hint="eastAsia" w:cs="Times New Roman"/>
                <w:color w:val="auto"/>
                <w:kern w:val="0"/>
                <w:sz w:val="24"/>
                <w:szCs w:val="24"/>
                <w:highlight w:val="none"/>
                <w:lang w:val="en-US" w:eastAsia="zh-CN" w:bidi="ar-SA"/>
              </w:rPr>
              <w:t>4</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医学影像系统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对患者信息进行收集、登记，对图像信息进行图像存储与传输，并提供报告书写</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3</w:t>
            </w:r>
            <w:r>
              <w:rPr>
                <w:rFonts w:hint="eastAsia" w:cs="Times New Roman"/>
                <w:color w:val="auto"/>
                <w:kern w:val="0"/>
                <w:sz w:val="24"/>
                <w:szCs w:val="24"/>
                <w:highlight w:val="none"/>
                <w:lang w:val="en-US" w:eastAsia="zh-CN" w:bidi="ar-SA"/>
              </w:rPr>
              <w:t>5</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超声图文报告系统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对超声医学图像管理和浏览、报告书写等功能</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3</w:t>
            </w:r>
            <w:r>
              <w:rPr>
                <w:rFonts w:hint="eastAsia" w:cs="Times New Roman"/>
                <w:color w:val="auto"/>
                <w:kern w:val="0"/>
                <w:sz w:val="24"/>
                <w:szCs w:val="24"/>
                <w:highlight w:val="none"/>
                <w:lang w:val="en-US" w:eastAsia="zh-CN" w:bidi="ar-SA"/>
              </w:rPr>
              <w:t>6</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镜检图文报告系统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对镜检医学图像管理和浏览、报告书写等功能</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3</w:t>
            </w:r>
            <w:r>
              <w:rPr>
                <w:rFonts w:hint="eastAsia" w:cs="Times New Roman"/>
                <w:color w:val="auto"/>
                <w:kern w:val="0"/>
                <w:sz w:val="24"/>
                <w:szCs w:val="24"/>
                <w:highlight w:val="none"/>
                <w:lang w:val="en-US" w:eastAsia="zh-CN" w:bidi="ar-SA"/>
              </w:rPr>
              <w:t>7</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电生理信息系统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对各种心电电生理设备产生的检查数据及病人信息，按照统一的数据格式归档，并提供统一的数字化心电波形浏览、测量工具</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default" w:ascii="宋体" w:hAnsi="宋体" w:eastAsia="宋体" w:cs="Times New Roman"/>
                <w:color w:val="auto"/>
                <w:sz w:val="24"/>
                <w:szCs w:val="24"/>
                <w:highlight w:val="none"/>
                <w:lang w:val="en-US" w:eastAsia="zh-CN"/>
              </w:rPr>
            </w:pPr>
            <w:r>
              <w:rPr>
                <w:rFonts w:hint="eastAsia" w:cs="Times New Roman"/>
                <w:color w:val="auto"/>
                <w:kern w:val="0"/>
                <w:sz w:val="24"/>
                <w:szCs w:val="24"/>
                <w:highlight w:val="none"/>
                <w:lang w:val="en-US" w:eastAsia="zh-CN" w:bidi="ar-SA"/>
              </w:rPr>
              <w:t>38</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病理信息系统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对整个病理检查流程进行规范化，实现整个检查流程信息化，病理标本的全条码管理</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default" w:ascii="宋体" w:hAnsi="宋体" w:eastAsia="宋体" w:cs="Times New Roman"/>
                <w:color w:val="auto"/>
                <w:sz w:val="24"/>
                <w:szCs w:val="24"/>
                <w:highlight w:val="none"/>
                <w:lang w:val="en-US" w:eastAsia="zh-CN"/>
              </w:rPr>
            </w:pPr>
            <w:r>
              <w:rPr>
                <w:rFonts w:hint="eastAsia" w:cs="Times New Roman"/>
                <w:color w:val="auto"/>
                <w:kern w:val="0"/>
                <w:sz w:val="24"/>
                <w:szCs w:val="24"/>
                <w:highlight w:val="none"/>
                <w:lang w:val="en-US" w:eastAsia="zh-CN" w:bidi="ar-SA"/>
              </w:rPr>
              <w:t>39</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医务科管理系统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对医务科日常事务进行系统化管理</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4</w:t>
            </w:r>
            <w:r>
              <w:rPr>
                <w:rFonts w:hint="eastAsia" w:cs="Times New Roman"/>
                <w:color w:val="auto"/>
                <w:kern w:val="0"/>
                <w:sz w:val="24"/>
                <w:szCs w:val="24"/>
                <w:highlight w:val="none"/>
                <w:lang w:val="en-US" w:eastAsia="zh-CN" w:bidi="ar-SA"/>
              </w:rPr>
              <w:t>0</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电子病历质量管系统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支持病历时限质控、文档质控、终末质控、核心制度质控等多种质控模式</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4</w:t>
            </w:r>
            <w:r>
              <w:rPr>
                <w:rFonts w:hint="eastAsia" w:cs="Times New Roman"/>
                <w:color w:val="auto"/>
                <w:kern w:val="0"/>
                <w:sz w:val="24"/>
                <w:szCs w:val="24"/>
                <w:highlight w:val="none"/>
                <w:lang w:val="en-US" w:eastAsia="zh-CN" w:bidi="ar-SA"/>
              </w:rPr>
              <w:t>1</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医嘱闭环管理系统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可以根据医嘱类型、医嘱执行状态查询医嘱，并且清晰显示医嘱用法、用量、滴速、备注以及医嘱执行状态</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4</w:t>
            </w:r>
            <w:r>
              <w:rPr>
                <w:rFonts w:hint="eastAsia" w:cs="Times New Roman"/>
                <w:color w:val="auto"/>
                <w:kern w:val="0"/>
                <w:sz w:val="24"/>
                <w:szCs w:val="24"/>
                <w:highlight w:val="none"/>
                <w:lang w:val="en-US" w:eastAsia="zh-CN" w:bidi="ar-SA"/>
              </w:rPr>
              <w:t>2</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单病种管理系统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涵盖国家单病种上报平台所有病种，并完成数据采集上报</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4</w:t>
            </w:r>
            <w:r>
              <w:rPr>
                <w:rFonts w:hint="eastAsia" w:cs="Times New Roman"/>
                <w:color w:val="auto"/>
                <w:kern w:val="0"/>
                <w:sz w:val="24"/>
                <w:szCs w:val="24"/>
                <w:highlight w:val="none"/>
                <w:lang w:val="en-US" w:eastAsia="zh-CN" w:bidi="ar-SA"/>
              </w:rPr>
              <w:t>3</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不良事件上报系统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按照不良事件上报平台标准，完成数据采集，上报流程管理</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4</w:t>
            </w:r>
            <w:r>
              <w:rPr>
                <w:rFonts w:hint="eastAsia" w:cs="Times New Roman"/>
                <w:color w:val="auto"/>
                <w:kern w:val="0"/>
                <w:sz w:val="24"/>
                <w:szCs w:val="24"/>
                <w:highlight w:val="none"/>
                <w:lang w:val="en-US" w:eastAsia="zh-CN" w:bidi="ar-SA"/>
              </w:rPr>
              <w:t>4</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医疗准入管理系统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对医生权限进行统一管理，并提供审核</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4</w:t>
            </w:r>
            <w:r>
              <w:rPr>
                <w:rFonts w:hint="eastAsia" w:cs="Times New Roman"/>
                <w:color w:val="auto"/>
                <w:kern w:val="0"/>
                <w:sz w:val="24"/>
                <w:szCs w:val="24"/>
                <w:highlight w:val="none"/>
                <w:lang w:val="en-US" w:eastAsia="zh-CN" w:bidi="ar-SA"/>
              </w:rPr>
              <w:t>5</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危急值管理系统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对危急值范围进行定义，并对超过危急值范围的检查结果给与相应提醒，按照危急值处理流程进行处理</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4</w:t>
            </w:r>
            <w:r>
              <w:rPr>
                <w:rFonts w:hint="eastAsia" w:cs="Times New Roman"/>
                <w:color w:val="auto"/>
                <w:kern w:val="0"/>
                <w:sz w:val="24"/>
                <w:szCs w:val="24"/>
                <w:highlight w:val="none"/>
                <w:lang w:val="en-US" w:eastAsia="zh-CN" w:bidi="ar-SA"/>
              </w:rPr>
              <w:t>6</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病历首页质控系统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提供病案首页质控规则，按病案首页质控规则，对首页内容进行校验</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4</w:t>
            </w:r>
            <w:r>
              <w:rPr>
                <w:rFonts w:hint="eastAsia" w:cs="Times New Roman"/>
                <w:color w:val="auto"/>
                <w:kern w:val="0"/>
                <w:sz w:val="24"/>
                <w:szCs w:val="24"/>
                <w:highlight w:val="none"/>
                <w:lang w:val="en-US" w:eastAsia="zh-CN" w:bidi="ar-SA"/>
              </w:rPr>
              <w:t>7</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病案管理系统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对病案内容进行归档、示踪查询、及数据上报处理</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default" w:ascii="宋体" w:hAnsi="宋体" w:eastAsia="宋体" w:cs="Times New Roman"/>
                <w:color w:val="auto"/>
                <w:sz w:val="24"/>
                <w:szCs w:val="24"/>
                <w:highlight w:val="none"/>
                <w:lang w:val="en-US" w:eastAsia="zh-CN"/>
              </w:rPr>
            </w:pPr>
            <w:r>
              <w:rPr>
                <w:rFonts w:hint="eastAsia" w:cs="Times New Roman"/>
                <w:color w:val="auto"/>
                <w:kern w:val="0"/>
                <w:sz w:val="24"/>
                <w:szCs w:val="24"/>
                <w:highlight w:val="none"/>
                <w:lang w:val="en-US" w:eastAsia="zh-CN" w:bidi="ar-SA"/>
              </w:rPr>
              <w:t>48</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统计信息系统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根据医院实际情况，定义个性化统计报表，满足数据统计要求</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default" w:ascii="宋体" w:hAnsi="宋体" w:eastAsia="宋体" w:cs="Times New Roman"/>
                <w:color w:val="auto"/>
                <w:sz w:val="24"/>
                <w:szCs w:val="24"/>
                <w:highlight w:val="none"/>
                <w:lang w:val="en-US" w:eastAsia="zh-CN"/>
              </w:rPr>
            </w:pPr>
            <w:r>
              <w:rPr>
                <w:rFonts w:hint="eastAsia" w:cs="Times New Roman"/>
                <w:color w:val="auto"/>
                <w:kern w:val="0"/>
                <w:sz w:val="24"/>
                <w:szCs w:val="24"/>
                <w:highlight w:val="none"/>
                <w:lang w:val="en-US" w:eastAsia="zh-CN" w:bidi="ar-SA"/>
              </w:rPr>
              <w:t>49</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各类报卡系统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贯穿于HIS的应用模块中，充分利用了HIS的数据源，细化了整个采集步骤，使传染病报卡流程更规范化、标准化、信息化，提高了医院传染病报卡管理的工作效率</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5</w:t>
            </w:r>
            <w:r>
              <w:rPr>
                <w:rFonts w:hint="eastAsia" w:cs="Times New Roman"/>
                <w:color w:val="auto"/>
                <w:kern w:val="0"/>
                <w:sz w:val="24"/>
                <w:szCs w:val="24"/>
                <w:highlight w:val="none"/>
                <w:lang w:val="en-US" w:eastAsia="zh-CN" w:bidi="ar-SA"/>
              </w:rPr>
              <w:t>0</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护理部管理系统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包含护士排班、考试、培训等功能</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5</w:t>
            </w:r>
            <w:r>
              <w:rPr>
                <w:rFonts w:hint="eastAsia" w:cs="Times New Roman"/>
                <w:color w:val="auto"/>
                <w:kern w:val="0"/>
                <w:sz w:val="24"/>
                <w:szCs w:val="24"/>
                <w:highlight w:val="none"/>
                <w:lang w:val="en-US" w:eastAsia="zh-CN" w:bidi="ar-SA"/>
              </w:rPr>
              <w:t>1</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护理质量管理系统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三级护理质控管理模式，可跨平台使用</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5</w:t>
            </w:r>
            <w:r>
              <w:rPr>
                <w:rFonts w:hint="eastAsia" w:cs="Times New Roman"/>
                <w:color w:val="auto"/>
                <w:kern w:val="0"/>
                <w:sz w:val="24"/>
                <w:szCs w:val="24"/>
                <w:highlight w:val="none"/>
                <w:lang w:val="en-US" w:eastAsia="zh-CN" w:bidi="ar-SA"/>
              </w:rPr>
              <w:t>2</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病区护理白板系统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通过对临床护理信息和医疗物联设备信息的抓取、整合、分析、重组，实现信息可视化显示并搭建人机交互的平台</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5</w:t>
            </w:r>
            <w:r>
              <w:rPr>
                <w:rFonts w:hint="eastAsia" w:cs="Times New Roman"/>
                <w:color w:val="auto"/>
                <w:kern w:val="0"/>
                <w:sz w:val="24"/>
                <w:szCs w:val="24"/>
                <w:highlight w:val="none"/>
                <w:lang w:val="en-US" w:eastAsia="zh-CN" w:bidi="ar-SA"/>
              </w:rPr>
              <w:t>3</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抗菌药物管理系统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抗菌药物权限管理，对医生权限、药品等级进行定义</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5</w:t>
            </w:r>
            <w:r>
              <w:rPr>
                <w:rFonts w:hint="eastAsia" w:cs="Times New Roman"/>
                <w:color w:val="auto"/>
                <w:kern w:val="0"/>
                <w:sz w:val="24"/>
                <w:szCs w:val="24"/>
                <w:highlight w:val="none"/>
                <w:lang w:val="en-US" w:eastAsia="zh-CN" w:bidi="ar-SA"/>
              </w:rPr>
              <w:t>4</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药库管理系统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按照医院情况进行药库划分。主要包括：入出库管理、药品调拨、盘存、数据维护、数据查询</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5</w:t>
            </w:r>
            <w:r>
              <w:rPr>
                <w:rFonts w:hint="eastAsia" w:cs="Times New Roman"/>
                <w:color w:val="auto"/>
                <w:kern w:val="0"/>
                <w:sz w:val="24"/>
                <w:szCs w:val="24"/>
                <w:highlight w:val="none"/>
                <w:lang w:val="en-US" w:eastAsia="zh-CN" w:bidi="ar-SA"/>
              </w:rPr>
              <w:t>5</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药房管理系统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按照医院情况进行药房划分。主要功能包括：药房管理、门诊业务、住院发药、数据维护、数据查询</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5</w:t>
            </w:r>
            <w:r>
              <w:rPr>
                <w:rFonts w:hint="eastAsia" w:cs="Times New Roman"/>
                <w:color w:val="auto"/>
                <w:kern w:val="0"/>
                <w:sz w:val="24"/>
                <w:szCs w:val="24"/>
                <w:highlight w:val="none"/>
                <w:lang w:val="en-US" w:eastAsia="zh-CN" w:bidi="ar-SA"/>
              </w:rPr>
              <w:t>6</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人事管理系统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对医院人力资源信息、档案信息进行统一管理</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5</w:t>
            </w:r>
            <w:r>
              <w:rPr>
                <w:rFonts w:hint="eastAsia" w:cs="Times New Roman"/>
                <w:color w:val="auto"/>
                <w:kern w:val="0"/>
                <w:sz w:val="24"/>
                <w:szCs w:val="24"/>
                <w:highlight w:val="none"/>
                <w:lang w:val="en-US" w:eastAsia="zh-CN" w:bidi="ar-SA"/>
              </w:rPr>
              <w:t>7</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薪资管理系统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对各科室人员晋升、薪资发放、调整记录进行统一维护</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default" w:ascii="宋体" w:hAnsi="宋体" w:eastAsia="宋体" w:cs="Times New Roman"/>
                <w:color w:val="auto"/>
                <w:sz w:val="24"/>
                <w:szCs w:val="24"/>
                <w:highlight w:val="none"/>
                <w:lang w:val="en-US" w:eastAsia="zh-CN"/>
              </w:rPr>
            </w:pPr>
            <w:r>
              <w:rPr>
                <w:rFonts w:hint="eastAsia" w:cs="Times New Roman"/>
                <w:color w:val="auto"/>
                <w:kern w:val="0"/>
                <w:sz w:val="24"/>
                <w:szCs w:val="24"/>
                <w:highlight w:val="none"/>
                <w:lang w:val="en-US" w:eastAsia="zh-CN" w:bidi="ar-SA"/>
              </w:rPr>
              <w:t>58</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材料管理系统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实现对材料的入出库管理、调拨、盘存、数据维护、数据查询</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default" w:ascii="宋体" w:hAnsi="宋体" w:eastAsia="宋体" w:cs="Times New Roman"/>
                <w:color w:val="auto"/>
                <w:sz w:val="24"/>
                <w:szCs w:val="24"/>
                <w:highlight w:val="none"/>
                <w:lang w:val="en-US" w:eastAsia="zh-CN"/>
              </w:rPr>
            </w:pPr>
            <w:r>
              <w:rPr>
                <w:rFonts w:hint="eastAsia" w:cs="Times New Roman"/>
                <w:color w:val="auto"/>
                <w:kern w:val="0"/>
                <w:sz w:val="24"/>
                <w:szCs w:val="24"/>
                <w:highlight w:val="none"/>
                <w:lang w:val="en-US" w:eastAsia="zh-CN" w:bidi="ar-SA"/>
              </w:rPr>
              <w:t>59</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高值耗材管理系统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包含高值耗材入库、出库、追溯全流程条码化管理</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default" w:ascii="宋体" w:hAnsi="宋体" w:eastAsia="宋体" w:cs="Times New Roman"/>
                <w:color w:val="auto"/>
                <w:sz w:val="24"/>
                <w:szCs w:val="24"/>
                <w:highlight w:val="none"/>
                <w:lang w:val="en-US" w:eastAsia="zh-CN"/>
              </w:rPr>
            </w:pPr>
            <w:r>
              <w:rPr>
                <w:rFonts w:hint="eastAsia" w:cs="Times New Roman"/>
                <w:color w:val="auto"/>
                <w:kern w:val="0"/>
                <w:sz w:val="24"/>
                <w:szCs w:val="24"/>
                <w:highlight w:val="none"/>
                <w:lang w:val="en-US" w:eastAsia="zh-CN" w:bidi="ar-SA"/>
              </w:rPr>
              <w:t>60</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科室标材二级库管理</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对科室耗材库存进行管理，库存管理方式可松可紧</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6</w:t>
            </w:r>
            <w:r>
              <w:rPr>
                <w:rFonts w:hint="eastAsia" w:cs="Times New Roman"/>
                <w:color w:val="auto"/>
                <w:kern w:val="0"/>
                <w:sz w:val="24"/>
                <w:szCs w:val="24"/>
                <w:highlight w:val="none"/>
                <w:lang w:val="en-US" w:eastAsia="zh-CN" w:bidi="ar-SA"/>
              </w:rPr>
              <w:t>1</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固定资产管理系统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医院对院里的固定资产进行管理等级</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6</w:t>
            </w:r>
            <w:r>
              <w:rPr>
                <w:rFonts w:hint="eastAsia" w:cs="Times New Roman"/>
                <w:color w:val="auto"/>
                <w:kern w:val="0"/>
                <w:sz w:val="24"/>
                <w:szCs w:val="24"/>
                <w:highlight w:val="none"/>
                <w:lang w:val="en-US" w:eastAsia="zh-CN" w:bidi="ar-SA"/>
              </w:rPr>
              <w:t>2</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门诊收费结算系统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医院对院里的设备进行管理等级</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6</w:t>
            </w:r>
            <w:r>
              <w:rPr>
                <w:rFonts w:hint="eastAsia" w:cs="Times New Roman"/>
                <w:color w:val="auto"/>
                <w:kern w:val="0"/>
                <w:sz w:val="24"/>
                <w:szCs w:val="24"/>
                <w:highlight w:val="none"/>
                <w:lang w:val="en-US" w:eastAsia="zh-CN" w:bidi="ar-SA"/>
              </w:rPr>
              <w:t>3</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住院收费结算系统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用于医院住院患者出院结算、收费日报等功能</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6</w:t>
            </w:r>
            <w:r>
              <w:rPr>
                <w:rFonts w:hint="eastAsia" w:cs="Times New Roman"/>
                <w:color w:val="auto"/>
                <w:kern w:val="0"/>
                <w:sz w:val="24"/>
                <w:szCs w:val="24"/>
                <w:highlight w:val="none"/>
                <w:lang w:val="en-US" w:eastAsia="zh-CN" w:bidi="ar-SA"/>
              </w:rPr>
              <w:t>4</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医保结算管理系统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按照各省医保接口标准进行系统对接，提供医保结算功能</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193"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6</w:t>
            </w:r>
            <w:r>
              <w:rPr>
                <w:rFonts w:hint="eastAsia" w:cs="Times New Roman"/>
                <w:color w:val="auto"/>
                <w:kern w:val="0"/>
                <w:sz w:val="24"/>
                <w:szCs w:val="24"/>
                <w:highlight w:val="none"/>
                <w:lang w:val="en-US" w:eastAsia="zh-CN" w:bidi="ar-SA"/>
              </w:rPr>
              <w:t>5</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数据挖掘分析</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各类数据分析展示，含移动端</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6</w:t>
            </w:r>
            <w:r>
              <w:rPr>
                <w:rFonts w:hint="eastAsia" w:cs="Times New Roman"/>
                <w:color w:val="auto"/>
                <w:kern w:val="0"/>
                <w:sz w:val="24"/>
                <w:szCs w:val="24"/>
                <w:highlight w:val="none"/>
                <w:lang w:val="en-US" w:eastAsia="zh-CN" w:bidi="ar-SA"/>
              </w:rPr>
              <w:t>6</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各类上级数据报送</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涵盖医院各类数据上报接口</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kern w:val="0"/>
                <w:sz w:val="24"/>
                <w:szCs w:val="24"/>
                <w:highlight w:val="none"/>
                <w:lang w:val="en-US" w:eastAsia="zh-CN" w:bidi="ar-SA"/>
              </w:rPr>
              <w:t>6</w:t>
            </w:r>
            <w:r>
              <w:rPr>
                <w:rFonts w:hint="eastAsia" w:cs="Times New Roman"/>
                <w:color w:val="auto"/>
                <w:kern w:val="0"/>
                <w:sz w:val="24"/>
                <w:szCs w:val="24"/>
                <w:highlight w:val="none"/>
                <w:lang w:val="en-US" w:eastAsia="zh-CN" w:bidi="ar-SA"/>
              </w:rPr>
              <w:t>7</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三级医院评审统计指标</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按等级医院评审第七章要求，进行指标统计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default" w:ascii="宋体" w:hAnsi="宋体" w:eastAsia="宋体" w:cs="Times New Roman"/>
                <w:color w:val="auto"/>
                <w:sz w:val="24"/>
                <w:szCs w:val="24"/>
                <w:highlight w:val="none"/>
                <w:lang w:val="en-US" w:eastAsia="zh-CN"/>
              </w:rPr>
            </w:pPr>
            <w:r>
              <w:rPr>
                <w:rFonts w:hint="eastAsia" w:cs="Times New Roman"/>
                <w:color w:val="auto"/>
                <w:kern w:val="0"/>
                <w:sz w:val="24"/>
                <w:szCs w:val="24"/>
                <w:highlight w:val="none"/>
                <w:lang w:val="en-US" w:eastAsia="zh-CN" w:bidi="ar-SA"/>
              </w:rPr>
              <w:t>68</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等级医院评审管理系统</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提供等级医院评审管理功能</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rPr>
          <w:trHeight w:val="332" w:hRule="atLeast"/>
          <w:jc w:val="center"/>
        </w:trPr>
        <w:tc>
          <w:tcPr>
            <w:tcW w:w="859" w:type="dxa"/>
            <w:tcBorders>
              <w:tl2br w:val="nil"/>
              <w:tr2bl w:val="nil"/>
            </w:tcBorders>
            <w:shd w:val="clear" w:color="auto" w:fill="auto"/>
            <w:vAlign w:val="center"/>
          </w:tcPr>
          <w:p>
            <w:pPr>
              <w:widowControl/>
              <w:numPr>
                <w:ilvl w:val="-1"/>
                <w:numId w:val="0"/>
              </w:numPr>
              <w:wordWrap w:val="0"/>
              <w:spacing w:line="360" w:lineRule="auto"/>
              <w:ind w:right="-89" w:rightChars="-37"/>
              <w:jc w:val="center"/>
              <w:textAlignment w:val="auto"/>
              <w:rPr>
                <w:rFonts w:hint="default" w:ascii="宋体" w:hAnsi="宋体" w:eastAsia="宋体" w:cs="Times New Roman"/>
                <w:color w:val="auto"/>
                <w:sz w:val="24"/>
                <w:szCs w:val="24"/>
                <w:highlight w:val="none"/>
                <w:lang w:val="en-US" w:eastAsia="zh-CN"/>
              </w:rPr>
            </w:pPr>
            <w:r>
              <w:rPr>
                <w:rFonts w:hint="eastAsia" w:cs="Times New Roman"/>
                <w:color w:val="auto"/>
                <w:sz w:val="24"/>
                <w:szCs w:val="24"/>
                <w:highlight w:val="none"/>
                <w:lang w:val="en-US" w:eastAsia="zh-CN"/>
              </w:rPr>
              <w:t>69</w:t>
            </w:r>
          </w:p>
        </w:tc>
        <w:tc>
          <w:tcPr>
            <w:tcW w:w="25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电子病历评级指导</w:t>
            </w:r>
          </w:p>
        </w:tc>
        <w:tc>
          <w:tcPr>
            <w:tcW w:w="6378" w:type="dxa"/>
            <w:tcBorders>
              <w:tl2br w:val="nil"/>
              <w:tr2bl w:val="nil"/>
            </w:tcBorders>
            <w:shd w:val="clear" w:color="auto" w:fill="auto"/>
            <w:vAlign w:val="center"/>
          </w:tcPr>
          <w:p>
            <w:pPr>
              <w:keepNext w:val="0"/>
              <w:keepLines w:val="0"/>
              <w:pageBreakBefore w:val="0"/>
              <w:widowControl/>
              <w:kinsoku/>
              <w:wordWrap w:val="0"/>
              <w:overflowPunct/>
              <w:topLinePunct w:val="0"/>
              <w:autoSpaceDE/>
              <w:autoSpaceDN/>
              <w:bidi w:val="0"/>
              <w:adjustRightInd/>
              <w:snapToGrid/>
              <w:spacing w:line="360" w:lineRule="auto"/>
              <w:ind w:right="-89" w:rightChars="-37"/>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电子病历评级提供指导服务</w:t>
            </w:r>
          </w:p>
        </w:tc>
      </w:tr>
    </w:tbl>
    <w:p>
      <w:pPr>
        <w:spacing w:line="360" w:lineRule="auto"/>
        <w:ind w:firstLine="482" w:firstLineChars="200"/>
        <w:rPr>
          <w:rFonts w:hint="eastAsia"/>
          <w:b/>
          <w:bCs/>
          <w:lang w:val="zh-CN"/>
        </w:rPr>
      </w:pPr>
      <w:r>
        <w:rPr>
          <w:rFonts w:hint="eastAsia"/>
          <w:b/>
          <w:bCs/>
          <w:lang w:val="zh-CN"/>
        </w:rPr>
        <w:t>（二）建设要求</w:t>
      </w:r>
    </w:p>
    <w:p>
      <w:pPr>
        <w:spacing w:line="360" w:lineRule="auto"/>
        <w:ind w:firstLine="480" w:firstLineChars="200"/>
        <w:rPr>
          <w:rFonts w:hint="default" w:eastAsia="宋体"/>
          <w:szCs w:val="24"/>
          <w:lang w:val="en-US" w:eastAsia="zh-CN"/>
        </w:rPr>
      </w:pPr>
      <w:r>
        <w:rPr>
          <w:rFonts w:hint="eastAsia"/>
          <w:szCs w:val="24"/>
          <w:lang w:val="en-US" w:eastAsia="zh-CN"/>
        </w:rPr>
        <w:t>1.</w:t>
      </w:r>
      <w:r>
        <w:rPr>
          <w:rFonts w:hint="eastAsia"/>
          <w:lang w:val="zh-CN"/>
        </w:rPr>
        <w:t>安全可靠测评要求</w:t>
      </w:r>
    </w:p>
    <w:p>
      <w:pPr>
        <w:spacing w:line="360" w:lineRule="auto"/>
        <w:ind w:firstLine="480" w:firstLineChars="200"/>
        <w:rPr>
          <w:rFonts w:hint="eastAsia"/>
          <w:lang w:val="zh-CN"/>
        </w:rPr>
      </w:pPr>
      <w:r>
        <w:rPr>
          <w:rFonts w:hint="eastAsia"/>
          <w:szCs w:val="24"/>
        </w:rPr>
        <w:t>市医疗集团信息系统建设（一期）</w:t>
      </w:r>
      <w:r>
        <w:rPr>
          <w:rFonts w:hint="eastAsia"/>
          <w:szCs w:val="24"/>
          <w:lang w:eastAsia="zh-CN"/>
        </w:rPr>
        <w:t>应符合国家有关</w:t>
      </w:r>
      <w:r>
        <w:rPr>
          <w:rFonts w:hint="eastAsia"/>
          <w:lang w:val="zh-CN"/>
        </w:rPr>
        <w:t>信息系统安全可靠测评要求：</w:t>
      </w:r>
    </w:p>
    <w:p>
      <w:pPr>
        <w:pStyle w:val="11"/>
        <w:spacing w:line="360" w:lineRule="auto"/>
        <w:ind w:firstLine="480"/>
      </w:pPr>
      <w:r>
        <w:rPr>
          <w:rFonts w:hint="eastAsia"/>
          <w:lang w:val="en-US" w:eastAsia="zh-CN"/>
        </w:rPr>
        <w:t>1.1</w:t>
      </w:r>
      <w:r>
        <w:t>安全性：系统能通过数据加密、备份、恢复和隐私保护等措施来保护数据的安全，确保数据的完整性、可用性和保密性。通过对应用程序进行安全测试、代码审查和漏洞扫描等措施，以确保应用程序没有安全漏洞和恶意代码。同时，应采取适当的身份验证、授权和访问控制措施来保护数据和资源。</w:t>
      </w:r>
    </w:p>
    <w:p>
      <w:pPr>
        <w:pStyle w:val="11"/>
        <w:spacing w:line="360" w:lineRule="auto"/>
        <w:ind w:firstLine="480"/>
      </w:pPr>
      <w:r>
        <w:rPr>
          <w:rFonts w:hint="eastAsia"/>
          <w:lang w:val="en-US" w:eastAsia="zh-CN"/>
        </w:rPr>
        <w:t>1.2</w:t>
      </w:r>
      <w:r>
        <w:t>兼容性：确保信息系统能与国产服务器、操作系统、数据库、中间件等各个组件的兼容性。需要进行充分的测试，确保系统能在国产服务器上的正常运行和性能稳定。</w:t>
      </w:r>
    </w:p>
    <w:p>
      <w:pPr>
        <w:pStyle w:val="11"/>
        <w:spacing w:line="360" w:lineRule="auto"/>
        <w:ind w:firstLine="482"/>
      </w:pPr>
      <w:r>
        <w:rPr>
          <w:rFonts w:hint="eastAsia"/>
          <w:lang w:val="en-US" w:eastAsia="zh-CN"/>
        </w:rPr>
        <w:t>1.3</w:t>
      </w:r>
      <w:r>
        <w:t>配置调整：能根据国产服务器的特点和性能，对信息系统的配置进行相应的调整及优化，以满足系统的最佳运行条件。包括但不限于内存分配、处理器优化、网络设置等方面的调整。</w:t>
      </w:r>
    </w:p>
    <w:p>
      <w:pPr>
        <w:pStyle w:val="11"/>
        <w:spacing w:line="360" w:lineRule="auto"/>
        <w:ind w:firstLine="482"/>
        <w:rPr>
          <w:rFonts w:hint="eastAsia"/>
        </w:rPr>
      </w:pPr>
      <w:r>
        <w:rPr>
          <w:rFonts w:hint="eastAsia"/>
          <w:lang w:val="en-US" w:eastAsia="zh-CN"/>
        </w:rPr>
        <w:t>1.4</w:t>
      </w:r>
      <w:r>
        <w:t>CPU架构支持：支持多种CPU架构，如鲲鹏系列、飞腾系列、龙芯系列等，以便于系统在不同硬件平台上的部署和应用。</w:t>
      </w:r>
    </w:p>
    <w:p>
      <w:pPr>
        <w:spacing w:line="360" w:lineRule="auto"/>
        <w:ind w:firstLine="480" w:firstLineChars="200"/>
        <w:rPr>
          <w:rFonts w:hint="eastAsia" w:eastAsia="宋体" w:cs="宋体"/>
          <w:b w:val="0"/>
          <w:bCs/>
          <w:szCs w:val="24"/>
          <w:lang w:eastAsia="zh-CN"/>
        </w:rPr>
      </w:pPr>
      <w:r>
        <w:rPr>
          <w:rFonts w:hint="eastAsia" w:cs="宋体"/>
          <w:b w:val="0"/>
          <w:bCs/>
          <w:szCs w:val="24"/>
          <w:lang w:val="en-US" w:eastAsia="zh-CN"/>
        </w:rPr>
        <w:t>2.</w:t>
      </w:r>
      <w:r>
        <w:rPr>
          <w:rFonts w:hint="eastAsia" w:cs="宋体"/>
          <w:b w:val="0"/>
          <w:bCs/>
          <w:szCs w:val="24"/>
        </w:rPr>
        <w:t>系统整体结构</w:t>
      </w:r>
      <w:r>
        <w:rPr>
          <w:rFonts w:hint="eastAsia" w:cs="宋体"/>
          <w:b w:val="0"/>
          <w:bCs/>
          <w:szCs w:val="24"/>
          <w:lang w:eastAsia="zh-CN"/>
        </w:rPr>
        <w:t>要求</w:t>
      </w:r>
    </w:p>
    <w:p>
      <w:pPr>
        <w:spacing w:line="360" w:lineRule="auto"/>
        <w:ind w:firstLine="480" w:firstLineChars="200"/>
        <w:rPr>
          <w:rFonts w:hint="eastAsia" w:cs="宋体"/>
          <w:b w:val="0"/>
          <w:bCs/>
          <w:szCs w:val="24"/>
        </w:rPr>
      </w:pPr>
      <w:r>
        <w:rPr>
          <w:rFonts w:hint="eastAsia" w:cs="宋体"/>
          <w:b w:val="0"/>
          <w:bCs/>
          <w:szCs w:val="24"/>
          <w:lang w:val="en-US" w:eastAsia="zh-CN"/>
        </w:rPr>
        <w:t>2</w:t>
      </w:r>
      <w:r>
        <w:rPr>
          <w:rFonts w:hint="eastAsia" w:cs="宋体"/>
          <w:b w:val="0"/>
          <w:bCs/>
          <w:szCs w:val="24"/>
        </w:rPr>
        <w:t>.1B/S（浏览器/服务器）架构</w:t>
      </w:r>
    </w:p>
    <w:p>
      <w:pPr>
        <w:spacing w:line="360" w:lineRule="auto"/>
        <w:ind w:firstLine="480" w:firstLineChars="200"/>
        <w:rPr>
          <w:rFonts w:hint="eastAsia" w:cs="宋体"/>
          <w:b w:val="0"/>
          <w:bCs/>
          <w:szCs w:val="24"/>
        </w:rPr>
      </w:pPr>
      <w:r>
        <w:rPr>
          <w:rFonts w:hint="eastAsia" w:cs="宋体"/>
          <w:b w:val="0"/>
          <w:bCs/>
          <w:szCs w:val="24"/>
        </w:rPr>
        <w:t>B/S为浏览器/服务器架构，中间增加应用层，为三层结构。B/S三层架构可移动性好，为医疗服务场景的多样性打下很好的技术基础。同时，由于中间应用层的标准化，三层架构更便于构建医院信息系统集成平台。</w:t>
      </w:r>
    </w:p>
    <w:p>
      <w:pPr>
        <w:spacing w:line="360" w:lineRule="auto"/>
        <w:ind w:firstLine="480" w:firstLineChars="200"/>
        <w:rPr>
          <w:rFonts w:hint="eastAsia" w:cs="宋体"/>
          <w:b w:val="0"/>
          <w:bCs/>
          <w:szCs w:val="24"/>
        </w:rPr>
      </w:pPr>
      <w:r>
        <w:rPr>
          <w:rFonts w:hint="eastAsia" w:cs="宋体"/>
          <w:b w:val="0"/>
          <w:bCs/>
          <w:szCs w:val="24"/>
        </w:rPr>
        <w:t>要求多数系统可跨平台布置，即全面移动化布置，不论是PC机、平板电脑，还是手机等设备上均可安装和运行；包括Windows、Android、鸿蒙、Linux、iOS上均可运行；HIS、EMR、LIS、PACS、心电图系统等全部采用B/S结构。</w:t>
      </w:r>
    </w:p>
    <w:p>
      <w:pPr>
        <w:spacing w:line="360" w:lineRule="auto"/>
        <w:ind w:firstLine="480" w:firstLineChars="200"/>
        <w:rPr>
          <w:rFonts w:hint="eastAsia" w:cs="宋体"/>
          <w:b w:val="0"/>
          <w:bCs/>
          <w:szCs w:val="24"/>
        </w:rPr>
      </w:pPr>
      <w:r>
        <w:rPr>
          <w:rFonts w:hint="eastAsia" w:cs="宋体"/>
          <w:b w:val="0"/>
          <w:bCs/>
          <w:szCs w:val="24"/>
          <w:lang w:val="en-US" w:eastAsia="zh-CN"/>
        </w:rPr>
        <w:t>2</w:t>
      </w:r>
      <w:r>
        <w:rPr>
          <w:rFonts w:hint="eastAsia" w:cs="宋体"/>
          <w:b w:val="0"/>
          <w:bCs/>
          <w:szCs w:val="24"/>
        </w:rPr>
        <w:t>.2面向服务（SOA）架构</w:t>
      </w:r>
    </w:p>
    <w:p>
      <w:pPr>
        <w:spacing w:line="360" w:lineRule="auto"/>
        <w:ind w:firstLine="480" w:firstLineChars="200"/>
        <w:rPr>
          <w:rFonts w:hint="eastAsia" w:cs="宋体"/>
          <w:b w:val="0"/>
          <w:bCs/>
          <w:szCs w:val="24"/>
        </w:rPr>
      </w:pPr>
      <w:r>
        <w:rPr>
          <w:rFonts w:hint="eastAsia" w:cs="宋体"/>
          <w:b w:val="0"/>
          <w:bCs/>
          <w:szCs w:val="24"/>
        </w:rPr>
        <w:t>为实现系统间“高内聚低耦合”，将中间逻辑层部分过程标准化，以服务的形式提供给不同的系统调用；面向服务的开发结构可以实现跨平台、多系统、多层次对接。</w:t>
      </w:r>
    </w:p>
    <w:p>
      <w:pPr>
        <w:spacing w:line="360" w:lineRule="auto"/>
        <w:ind w:firstLine="480" w:firstLineChars="200"/>
        <w:rPr>
          <w:rFonts w:hint="eastAsia" w:cs="宋体"/>
          <w:b w:val="0"/>
          <w:bCs/>
          <w:szCs w:val="24"/>
        </w:rPr>
      </w:pPr>
      <w:r>
        <w:rPr>
          <w:rFonts w:hint="eastAsia" w:cs="宋体"/>
          <w:b w:val="0"/>
          <w:bCs/>
          <w:szCs w:val="24"/>
          <w:lang w:val="en-US" w:eastAsia="zh-CN"/>
        </w:rPr>
        <w:t>2</w:t>
      </w:r>
      <w:r>
        <w:rPr>
          <w:rFonts w:hint="eastAsia" w:cs="宋体"/>
          <w:b w:val="0"/>
          <w:bCs/>
          <w:szCs w:val="24"/>
        </w:rPr>
        <w:t>.3集团架构</w:t>
      </w:r>
    </w:p>
    <w:p>
      <w:pPr>
        <w:spacing w:line="360" w:lineRule="auto"/>
        <w:ind w:firstLine="480" w:firstLineChars="200"/>
        <w:rPr>
          <w:rFonts w:hint="eastAsia" w:cs="宋体"/>
          <w:b w:val="0"/>
          <w:bCs/>
          <w:szCs w:val="24"/>
        </w:rPr>
      </w:pPr>
      <w:r>
        <w:rPr>
          <w:rFonts w:hint="eastAsia" w:cs="宋体"/>
          <w:b w:val="0"/>
          <w:bCs/>
          <w:szCs w:val="24"/>
        </w:rPr>
        <w:t>集团架构设计的核心技术要点如下：</w:t>
      </w:r>
    </w:p>
    <w:p>
      <w:pPr>
        <w:spacing w:line="360" w:lineRule="auto"/>
        <w:ind w:firstLine="480" w:firstLineChars="200"/>
        <w:rPr>
          <w:rFonts w:hint="eastAsia" w:cs="宋体"/>
          <w:b w:val="0"/>
          <w:bCs/>
          <w:szCs w:val="24"/>
        </w:rPr>
      </w:pPr>
      <w:r>
        <w:rPr>
          <w:rFonts w:hint="eastAsia" w:cs="宋体"/>
          <w:b w:val="0"/>
          <w:bCs/>
          <w:szCs w:val="24"/>
          <w:lang w:val="en-US" w:eastAsia="zh-CN"/>
        </w:rPr>
        <w:t>2</w:t>
      </w:r>
      <w:r>
        <w:rPr>
          <w:rFonts w:hint="eastAsia" w:cs="宋体"/>
          <w:b w:val="0"/>
          <w:bCs/>
          <w:szCs w:val="24"/>
        </w:rPr>
        <w:t>.3.1统一数据标准约束。各数据项（或数据元）由医疗集团数据中心统一注册管理，各单位共同使用，以方便单位间数据交换。</w:t>
      </w:r>
    </w:p>
    <w:p>
      <w:pPr>
        <w:spacing w:line="360" w:lineRule="auto"/>
        <w:ind w:firstLine="480" w:firstLineChars="200"/>
        <w:rPr>
          <w:rFonts w:hint="eastAsia" w:cs="宋体"/>
          <w:b w:val="0"/>
          <w:bCs/>
          <w:szCs w:val="24"/>
        </w:rPr>
      </w:pPr>
      <w:r>
        <w:rPr>
          <w:rFonts w:hint="eastAsia" w:cs="宋体"/>
          <w:b w:val="0"/>
          <w:bCs/>
          <w:szCs w:val="24"/>
          <w:lang w:val="en-US" w:eastAsia="zh-CN"/>
        </w:rPr>
        <w:t>2</w:t>
      </w:r>
      <w:r>
        <w:rPr>
          <w:rFonts w:hint="eastAsia" w:cs="宋体"/>
          <w:b w:val="0"/>
          <w:bCs/>
          <w:szCs w:val="24"/>
        </w:rPr>
        <w:t>.3.2统一主数据管理。各类字典、机构、人员、患者主索引等由系统集中管理，机构间数据引用更简单流畅。</w:t>
      </w:r>
    </w:p>
    <w:p>
      <w:pPr>
        <w:spacing w:line="360" w:lineRule="auto"/>
        <w:ind w:firstLine="480" w:firstLineChars="200"/>
        <w:rPr>
          <w:rFonts w:hint="eastAsia" w:cs="宋体"/>
          <w:b w:val="0"/>
          <w:bCs/>
          <w:szCs w:val="24"/>
        </w:rPr>
      </w:pPr>
      <w:r>
        <w:rPr>
          <w:rFonts w:hint="eastAsia" w:cs="宋体"/>
          <w:b w:val="0"/>
          <w:bCs/>
          <w:szCs w:val="24"/>
          <w:lang w:val="en-US" w:eastAsia="zh-CN"/>
        </w:rPr>
        <w:t>2</w:t>
      </w:r>
      <w:r>
        <w:rPr>
          <w:rFonts w:hint="eastAsia" w:cs="宋体"/>
          <w:b w:val="0"/>
          <w:bCs/>
          <w:szCs w:val="24"/>
        </w:rPr>
        <w:t>.3.3统一数据中心管理。医疗集团的数据集中存储于数据中心，但其应用服务器可分散（或远程）放置；可有多个副数据中心，但主数据中心只有一个，主数据中心管理（或备份部分）主数据。</w:t>
      </w:r>
    </w:p>
    <w:p>
      <w:pPr>
        <w:spacing w:line="360" w:lineRule="auto"/>
        <w:ind w:firstLine="480" w:firstLineChars="200"/>
        <w:rPr>
          <w:rFonts w:hint="eastAsia" w:cs="宋体"/>
          <w:b w:val="0"/>
          <w:bCs/>
          <w:szCs w:val="24"/>
        </w:rPr>
      </w:pPr>
      <w:r>
        <w:rPr>
          <w:rFonts w:hint="eastAsia" w:cs="宋体"/>
          <w:b w:val="0"/>
          <w:bCs/>
          <w:szCs w:val="24"/>
          <w:lang w:val="en-US" w:eastAsia="zh-CN"/>
        </w:rPr>
        <w:t>2</w:t>
      </w:r>
      <w:r>
        <w:rPr>
          <w:rFonts w:hint="eastAsia" w:cs="宋体"/>
          <w:b w:val="0"/>
          <w:bCs/>
          <w:szCs w:val="24"/>
        </w:rPr>
        <w:t>.3.4数据分层管理。应用系统产生的数据按医疗单元分别标识，医疗单元可分层登记，数据可分层管理及汇总。</w:t>
      </w:r>
    </w:p>
    <w:p>
      <w:pPr>
        <w:spacing w:line="360" w:lineRule="auto"/>
        <w:ind w:firstLine="480" w:firstLineChars="200"/>
        <w:rPr>
          <w:rFonts w:hint="eastAsia" w:cs="宋体"/>
          <w:b w:val="0"/>
          <w:bCs/>
          <w:szCs w:val="24"/>
        </w:rPr>
      </w:pPr>
      <w:r>
        <w:rPr>
          <w:rFonts w:hint="eastAsia" w:cs="宋体"/>
          <w:b w:val="0"/>
          <w:bCs/>
          <w:szCs w:val="24"/>
          <w:lang w:val="en-US" w:eastAsia="zh-CN"/>
        </w:rPr>
        <w:t>2</w:t>
      </w:r>
      <w:r>
        <w:rPr>
          <w:rFonts w:hint="eastAsia" w:cs="宋体"/>
          <w:b w:val="0"/>
          <w:bCs/>
          <w:szCs w:val="24"/>
        </w:rPr>
        <w:t>.3.5统一关键字管理。为确保数据交换及数据合并不会产生唯一性问题。</w:t>
      </w:r>
    </w:p>
    <w:p>
      <w:pPr>
        <w:spacing w:line="360" w:lineRule="auto"/>
        <w:ind w:firstLine="480" w:firstLineChars="200"/>
        <w:rPr>
          <w:rFonts w:hint="eastAsia" w:cs="宋体"/>
          <w:b w:val="0"/>
          <w:bCs/>
          <w:szCs w:val="24"/>
        </w:rPr>
      </w:pPr>
      <w:r>
        <w:rPr>
          <w:rFonts w:hint="eastAsia" w:cs="宋体"/>
          <w:b w:val="0"/>
          <w:bCs/>
          <w:szCs w:val="24"/>
          <w:lang w:val="en-US" w:eastAsia="zh-CN"/>
        </w:rPr>
        <w:t>2.</w:t>
      </w:r>
      <w:r>
        <w:rPr>
          <w:rFonts w:hint="eastAsia" w:cs="宋体"/>
          <w:b w:val="0"/>
          <w:bCs/>
          <w:szCs w:val="24"/>
        </w:rPr>
        <w:t>3.6医疗集团内闭环医嘱。可以医疗集团内走闭环医嘱，省去了协同医疗及远程会诊中的麻烦。</w:t>
      </w:r>
    </w:p>
    <w:p>
      <w:pPr>
        <w:spacing w:line="360" w:lineRule="auto"/>
        <w:ind w:firstLine="480" w:firstLineChars="200"/>
        <w:rPr>
          <w:rFonts w:hint="eastAsia" w:cs="宋体"/>
          <w:b w:val="0"/>
          <w:bCs/>
          <w:szCs w:val="24"/>
        </w:rPr>
      </w:pPr>
      <w:r>
        <w:rPr>
          <w:rFonts w:hint="eastAsia" w:cs="宋体"/>
          <w:b w:val="0"/>
          <w:bCs/>
          <w:szCs w:val="24"/>
          <w:lang w:val="en-US" w:eastAsia="zh-CN"/>
        </w:rPr>
        <w:t>2</w:t>
      </w:r>
      <w:r>
        <w:rPr>
          <w:rFonts w:hint="eastAsia" w:cs="宋体"/>
          <w:b w:val="0"/>
          <w:bCs/>
          <w:szCs w:val="24"/>
        </w:rPr>
        <w:t>.3.7共用集成平台。多家医疗机构可共用集成平台，以确保数据交换的及时性。共用集成平台并不排除多集成平台。</w:t>
      </w:r>
    </w:p>
    <w:p>
      <w:pPr>
        <w:spacing w:line="360" w:lineRule="auto"/>
        <w:ind w:firstLine="480" w:firstLineChars="200"/>
        <w:rPr>
          <w:rFonts w:hint="eastAsia" w:cs="宋体"/>
          <w:b w:val="0"/>
          <w:bCs/>
          <w:szCs w:val="24"/>
        </w:rPr>
      </w:pPr>
      <w:r>
        <w:rPr>
          <w:rFonts w:hint="eastAsia" w:cs="宋体"/>
          <w:b w:val="0"/>
          <w:bCs/>
          <w:szCs w:val="24"/>
          <w:lang w:val="en-US" w:eastAsia="zh-CN"/>
        </w:rPr>
        <w:t>2</w:t>
      </w:r>
      <w:r>
        <w:rPr>
          <w:rFonts w:hint="eastAsia" w:cs="宋体"/>
          <w:b w:val="0"/>
          <w:bCs/>
          <w:szCs w:val="24"/>
        </w:rPr>
        <w:t>.3.8统一业务管理。在数据集中管理的基础上，除协同医疗外，还可以有财务管理中心、药品采购调拨中心、财产物资管理中心、人力资源管理中心等。</w:t>
      </w:r>
    </w:p>
    <w:p>
      <w:pPr>
        <w:spacing w:line="360" w:lineRule="auto"/>
        <w:ind w:firstLine="480" w:firstLineChars="200"/>
        <w:rPr>
          <w:rFonts w:hint="eastAsia" w:cs="宋体"/>
          <w:b w:val="0"/>
          <w:bCs/>
          <w:szCs w:val="24"/>
        </w:rPr>
      </w:pPr>
      <w:r>
        <w:rPr>
          <w:rFonts w:hint="eastAsia" w:cs="宋体"/>
          <w:b w:val="0"/>
          <w:bCs/>
          <w:szCs w:val="24"/>
          <w:lang w:val="en-US" w:eastAsia="zh-CN"/>
        </w:rPr>
        <w:t>2</w:t>
      </w:r>
      <w:r>
        <w:rPr>
          <w:rFonts w:hint="eastAsia" w:cs="宋体"/>
          <w:b w:val="0"/>
          <w:bCs/>
          <w:szCs w:val="24"/>
        </w:rPr>
        <w:t>.3.9医技业务协同</w:t>
      </w:r>
    </w:p>
    <w:p>
      <w:pPr>
        <w:spacing w:line="360" w:lineRule="auto"/>
        <w:ind w:firstLine="480" w:firstLineChars="200"/>
        <w:rPr>
          <w:rFonts w:hint="eastAsia" w:cs="宋体"/>
          <w:b w:val="0"/>
          <w:bCs/>
          <w:szCs w:val="24"/>
        </w:rPr>
      </w:pPr>
      <w:r>
        <w:rPr>
          <w:rFonts w:hint="eastAsia" w:cs="宋体"/>
          <w:b w:val="0"/>
          <w:bCs/>
          <w:szCs w:val="24"/>
        </w:rPr>
        <w:t>a.多点医学影像中心：任一有能力的影像科均可作为影像中心，可接受集团内任一单位的申请，并为其作诊断服务；</w:t>
      </w:r>
    </w:p>
    <w:p>
      <w:pPr>
        <w:spacing w:line="360" w:lineRule="auto"/>
        <w:ind w:firstLine="480" w:firstLineChars="200"/>
        <w:rPr>
          <w:rFonts w:hint="eastAsia" w:cs="宋体"/>
          <w:b w:val="0"/>
          <w:bCs/>
          <w:szCs w:val="24"/>
        </w:rPr>
      </w:pPr>
      <w:r>
        <w:rPr>
          <w:rFonts w:hint="eastAsia" w:cs="宋体"/>
          <w:b w:val="0"/>
          <w:bCs/>
          <w:szCs w:val="24"/>
        </w:rPr>
        <w:t>b.多点临床检验中心：任一有能力的检验科均可作为检验中心，可接受集团内任一单位的申请及标本，并为其作检验服务；</w:t>
      </w:r>
    </w:p>
    <w:p>
      <w:pPr>
        <w:spacing w:line="360" w:lineRule="auto"/>
        <w:ind w:firstLine="480" w:firstLineChars="200"/>
        <w:rPr>
          <w:rFonts w:hint="eastAsia" w:cs="宋体"/>
          <w:b w:val="0"/>
          <w:bCs/>
          <w:szCs w:val="24"/>
        </w:rPr>
      </w:pPr>
      <w:r>
        <w:rPr>
          <w:rFonts w:hint="eastAsia" w:cs="宋体"/>
          <w:b w:val="0"/>
          <w:bCs/>
          <w:szCs w:val="24"/>
        </w:rPr>
        <w:t>c.多点病理诊断中心：任一有能力的病理科均可作为病理中心，可接受集团内任一单位的病理申请，并为其作病理诊断服务；</w:t>
      </w:r>
    </w:p>
    <w:p>
      <w:pPr>
        <w:spacing w:line="360" w:lineRule="auto"/>
        <w:ind w:firstLine="480" w:firstLineChars="200"/>
        <w:rPr>
          <w:rFonts w:hint="eastAsia" w:cs="宋体"/>
          <w:b w:val="0"/>
          <w:bCs/>
          <w:szCs w:val="24"/>
        </w:rPr>
      </w:pPr>
      <w:r>
        <w:rPr>
          <w:rFonts w:hint="eastAsia" w:cs="宋体"/>
          <w:b w:val="0"/>
          <w:bCs/>
          <w:szCs w:val="24"/>
        </w:rPr>
        <w:t>d.多点心电诊断中心：任一有能力的心电图室均可作为心电中心，可接受集团内任一单位的心电申请，并为其作心电诊断服务；</w:t>
      </w:r>
    </w:p>
    <w:p>
      <w:pPr>
        <w:spacing w:line="360" w:lineRule="auto"/>
        <w:ind w:firstLine="480" w:firstLineChars="200"/>
        <w:rPr>
          <w:rFonts w:hint="eastAsia" w:cs="宋体"/>
          <w:b w:val="0"/>
          <w:bCs/>
          <w:szCs w:val="24"/>
        </w:rPr>
      </w:pPr>
      <w:r>
        <w:rPr>
          <w:rFonts w:hint="eastAsia" w:cs="宋体"/>
          <w:b w:val="0"/>
          <w:bCs/>
          <w:szCs w:val="24"/>
          <w:lang w:val="en-US" w:eastAsia="zh-CN"/>
        </w:rPr>
        <w:t>2</w:t>
      </w:r>
      <w:r>
        <w:rPr>
          <w:rFonts w:hint="eastAsia" w:cs="宋体"/>
          <w:b w:val="0"/>
          <w:bCs/>
          <w:szCs w:val="24"/>
        </w:rPr>
        <w:t>.3.10临床业务协同</w:t>
      </w:r>
    </w:p>
    <w:p>
      <w:pPr>
        <w:spacing w:line="360" w:lineRule="auto"/>
        <w:ind w:firstLine="480" w:firstLineChars="200"/>
        <w:rPr>
          <w:rFonts w:hint="eastAsia" w:cs="宋体"/>
          <w:b w:val="0"/>
          <w:bCs/>
          <w:szCs w:val="24"/>
        </w:rPr>
      </w:pPr>
      <w:r>
        <w:rPr>
          <w:rFonts w:hint="eastAsia" w:cs="宋体"/>
          <w:b w:val="0"/>
          <w:bCs/>
          <w:szCs w:val="24"/>
        </w:rPr>
        <w:t>a.多点远程查房或远程病历协助管理：通过在系统内赋权，上级医院医生可对下级医院患者实施远程查房，通过移动端和患者与其它医师音视频，可直接下达医嘱，或给与下级医院指导意见，也可直接书写部分病历。任一上级医院均可与任一下级医院实施远程协助医疗，亦可由外地外省市专家实施类似协助医疗。</w:t>
      </w:r>
    </w:p>
    <w:p>
      <w:pPr>
        <w:spacing w:line="360" w:lineRule="auto"/>
        <w:ind w:firstLine="480" w:firstLineChars="200"/>
        <w:rPr>
          <w:rFonts w:hint="eastAsia" w:cs="宋体"/>
          <w:b w:val="0"/>
          <w:bCs/>
          <w:szCs w:val="24"/>
        </w:rPr>
      </w:pPr>
      <w:r>
        <w:rPr>
          <w:rFonts w:hint="eastAsia" w:cs="宋体"/>
          <w:b w:val="0"/>
          <w:bCs/>
          <w:szCs w:val="24"/>
        </w:rPr>
        <w:t>b.多点远程会诊：可以集团内发起由多家医院、多个医生、跨学科的远程音视频会诊，可通过移动端将患者端加入会诊音视频通话会诊中；会诊医师成员可完全共享患者电子病历、医学影像、检验结果、心电分分析、护理记录等各项病历文档，可直接书写会诊意见。</w:t>
      </w:r>
    </w:p>
    <w:p>
      <w:pPr>
        <w:spacing w:line="360" w:lineRule="auto"/>
        <w:ind w:firstLine="480" w:firstLineChars="200"/>
        <w:rPr>
          <w:rFonts w:hint="eastAsia" w:cs="宋体"/>
          <w:b w:val="0"/>
          <w:bCs/>
          <w:szCs w:val="24"/>
          <w:lang w:val="en-US" w:eastAsia="zh-CN"/>
        </w:rPr>
      </w:pPr>
      <w:r>
        <w:rPr>
          <w:rFonts w:hint="eastAsia" w:cs="宋体"/>
          <w:b w:val="0"/>
          <w:bCs/>
          <w:szCs w:val="24"/>
          <w:lang w:val="en-US" w:eastAsia="zh-CN"/>
        </w:rPr>
        <w:t>3.系统建设技术参数要求</w:t>
      </w:r>
    </w:p>
    <w:p>
      <w:pPr>
        <w:spacing w:line="360" w:lineRule="auto"/>
        <w:ind w:firstLine="480" w:firstLineChars="200"/>
        <w:rPr>
          <w:rFonts w:hint="eastAsia" w:cs="宋体"/>
          <w:b w:val="0"/>
          <w:bCs/>
          <w:szCs w:val="24"/>
        </w:rPr>
      </w:pPr>
      <w:r>
        <w:rPr>
          <w:rFonts w:hint="eastAsia" w:cs="宋体"/>
          <w:b w:val="0"/>
          <w:bCs/>
          <w:szCs w:val="24"/>
          <w:lang w:val="en-US" w:eastAsia="zh-CN"/>
        </w:rPr>
        <w:t>3.1</w:t>
      </w:r>
      <w:r>
        <w:rPr>
          <w:rFonts w:hint="eastAsia" w:cs="宋体"/>
          <w:b w:val="0"/>
          <w:bCs/>
          <w:szCs w:val="24"/>
        </w:rPr>
        <w:t>信息系统集成平台接口</w:t>
      </w:r>
    </w:p>
    <w:p>
      <w:pPr>
        <w:spacing w:line="360" w:lineRule="auto"/>
        <w:ind w:firstLine="480" w:firstLineChars="200"/>
        <w:rPr>
          <w:rFonts w:hint="eastAsia" w:cs="宋体"/>
          <w:b w:val="0"/>
          <w:bCs/>
          <w:szCs w:val="24"/>
        </w:rPr>
      </w:pPr>
      <w:r>
        <w:rPr>
          <w:rFonts w:hint="eastAsia" w:cs="宋体"/>
          <w:b w:val="0"/>
          <w:bCs/>
          <w:szCs w:val="24"/>
        </w:rPr>
        <w:t>各系统按照集成平台接口标准接入到黄冈市中心医院集成平台当中。根据《国家医疗健康信息医院信息互联互通标准化成熟度（医院信息互联互通）测评方案》要求进行改造。</w:t>
      </w:r>
    </w:p>
    <w:p>
      <w:pPr>
        <w:spacing w:line="360" w:lineRule="auto"/>
        <w:ind w:firstLine="480" w:firstLineChars="200"/>
        <w:rPr>
          <w:rFonts w:hint="eastAsia" w:cs="宋体"/>
          <w:b w:val="0"/>
          <w:bCs/>
          <w:szCs w:val="24"/>
        </w:rPr>
      </w:pPr>
      <w:r>
        <w:rPr>
          <w:rFonts w:hint="eastAsia" w:cs="宋体"/>
          <w:b w:val="0"/>
          <w:bCs/>
          <w:szCs w:val="24"/>
          <w:lang w:val="en-US" w:eastAsia="zh-CN"/>
        </w:rPr>
        <w:t>3.1.1</w:t>
      </w:r>
      <w:r>
        <w:rPr>
          <w:rFonts w:hint="eastAsia" w:cs="宋体"/>
          <w:b w:val="0"/>
          <w:bCs/>
          <w:szCs w:val="24"/>
        </w:rPr>
        <w:t>互联互通交互服务</w:t>
      </w:r>
    </w:p>
    <w:tbl>
      <w:tblPr>
        <w:tblStyle w:val="29"/>
        <w:tblW w:w="9837" w:type="dxa"/>
        <w:jc w:val="center"/>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Layout w:type="fixed"/>
        <w:tblCellMar>
          <w:top w:w="0" w:type="dxa"/>
          <w:left w:w="0" w:type="dxa"/>
          <w:bottom w:w="0" w:type="dxa"/>
          <w:right w:w="0" w:type="dxa"/>
        </w:tblCellMar>
      </w:tblPr>
      <w:tblGrid>
        <w:gridCol w:w="970"/>
        <w:gridCol w:w="3162"/>
        <w:gridCol w:w="5705"/>
      </w:tblGrid>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PrEx>
        <w:trPr>
          <w:trHeight w:val="23" w:hRule="atLeast"/>
          <w:jc w:val="center"/>
        </w:trPr>
        <w:tc>
          <w:tcPr>
            <w:tcW w:w="970" w:type="dxa"/>
            <w:tcBorders>
              <w:tl2br w:val="nil"/>
              <w:tr2bl w:val="nil"/>
            </w:tcBorders>
            <w:shd w:val="pct10" w:color="C3BD96" w:themeColor="background2" w:themeShade="BF" w:fill="DCD8C2" w:themeFill="background2" w:themeFillShade="E5"/>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b w:val="0"/>
                <w:bCs w:val="0"/>
                <w:color w:val="auto"/>
                <w:sz w:val="24"/>
                <w:szCs w:val="24"/>
                <w:highlight w:val="none"/>
                <w:lang w:val="en-US" w:eastAsia="zh-CN"/>
              </w:rPr>
            </w:pPr>
            <w:r>
              <w:rPr>
                <w:rFonts w:hint="eastAsia" w:ascii="宋体" w:hAnsi="宋体" w:eastAsia="宋体" w:cs="Times New Roman"/>
                <w:b w:val="0"/>
                <w:bCs w:val="0"/>
                <w:color w:val="auto"/>
                <w:sz w:val="24"/>
                <w:szCs w:val="24"/>
                <w:highlight w:val="none"/>
                <w:lang w:val="en-US" w:eastAsia="zh-CN"/>
              </w:rPr>
              <w:t>序号</w:t>
            </w:r>
          </w:p>
        </w:tc>
        <w:tc>
          <w:tcPr>
            <w:tcW w:w="3162" w:type="dxa"/>
            <w:tcBorders>
              <w:tl2br w:val="nil"/>
              <w:tr2bl w:val="nil"/>
            </w:tcBorders>
            <w:shd w:val="pct10" w:color="C3BD96" w:themeColor="background2" w:themeShade="BF" w:fill="DCD8C2" w:themeFill="background2" w:themeFillShade="E5"/>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b w:val="0"/>
                <w:bCs w:val="0"/>
                <w:color w:val="auto"/>
                <w:sz w:val="24"/>
                <w:szCs w:val="24"/>
                <w:highlight w:val="none"/>
                <w:lang w:val="en-US" w:eastAsia="zh-CN"/>
              </w:rPr>
            </w:pPr>
            <w:r>
              <w:rPr>
                <w:rFonts w:hint="eastAsia" w:ascii="宋体" w:hAnsi="宋体" w:eastAsia="宋体" w:cs="Times New Roman"/>
                <w:b w:val="0"/>
                <w:bCs w:val="0"/>
                <w:color w:val="auto"/>
                <w:sz w:val="24"/>
                <w:szCs w:val="24"/>
                <w:highlight w:val="none"/>
                <w:lang w:val="en-US" w:eastAsia="zh-CN"/>
              </w:rPr>
              <w:t>内容</w:t>
            </w:r>
          </w:p>
        </w:tc>
        <w:tc>
          <w:tcPr>
            <w:tcW w:w="5705" w:type="dxa"/>
            <w:tcBorders>
              <w:tl2br w:val="nil"/>
              <w:tr2bl w:val="nil"/>
            </w:tcBorders>
            <w:shd w:val="pct10" w:color="C3BD96" w:themeColor="background2" w:themeShade="BF" w:fill="DCD8C2" w:themeFill="background2" w:themeFillShade="E5"/>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b w:val="0"/>
                <w:bCs w:val="0"/>
                <w:color w:val="auto"/>
                <w:sz w:val="24"/>
                <w:szCs w:val="24"/>
                <w:highlight w:val="none"/>
                <w:lang w:val="en-US" w:eastAsia="zh-CN"/>
              </w:rPr>
            </w:pPr>
            <w:r>
              <w:rPr>
                <w:rFonts w:hint="eastAsia" w:ascii="宋体" w:hAnsi="宋体" w:eastAsia="宋体" w:cs="Times New Roman"/>
                <w:b w:val="0"/>
                <w:bCs w:val="0"/>
                <w:color w:val="auto"/>
                <w:sz w:val="24"/>
                <w:szCs w:val="24"/>
                <w:highlight w:val="none"/>
                <w:lang w:val="en-US" w:eastAsia="zh-CN"/>
              </w:rPr>
              <w:t>交互服务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46"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w:t>
            </w:r>
          </w:p>
        </w:tc>
        <w:tc>
          <w:tcPr>
            <w:tcW w:w="3162" w:type="dxa"/>
            <w:vMerge w:val="restart"/>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文档注册、查询服务</w:t>
            </w: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电子病历文档注册服务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电子病历文档检索服务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电子病历文档调阅服务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w:t>
            </w:r>
          </w:p>
        </w:tc>
        <w:tc>
          <w:tcPr>
            <w:tcW w:w="3162" w:type="dxa"/>
            <w:vMerge w:val="restart"/>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个人信息注册、查询服务</w:t>
            </w: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个人信息注册服务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5</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个人信息更新服务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6</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个人信息合并服务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7</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个人信息查询服务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8</w:t>
            </w:r>
          </w:p>
        </w:tc>
        <w:tc>
          <w:tcPr>
            <w:tcW w:w="3162" w:type="dxa"/>
            <w:vMerge w:val="restart"/>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医疗卫生机构注册、查询服务</w:t>
            </w: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医疗卫生机构(科室)信息注册服务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9</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医疗卫生机构(科室)信息更新服务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10</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医疗卫生机构(科室)信息查询服务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11</w:t>
            </w:r>
          </w:p>
        </w:tc>
        <w:tc>
          <w:tcPr>
            <w:tcW w:w="3162" w:type="dxa"/>
            <w:vMerge w:val="restart"/>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医疗卫生人员注册、查询服务</w:t>
            </w: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医疗卫生人员信息注册服务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12</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医疗卫生人员信息更新服务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13</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医疗卫生人员信息查询服务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14</w:t>
            </w:r>
          </w:p>
        </w:tc>
        <w:tc>
          <w:tcPr>
            <w:tcW w:w="3162" w:type="dxa"/>
            <w:vMerge w:val="restart"/>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就诊信息交互服务</w:t>
            </w: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就诊卡信息新增服务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15</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就诊卡信息更新服务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16</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就诊卡信息查询服务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17</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门诊挂号信息新增服务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18</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门诊挂号信息更新服务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19</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门诊挂号信息查询服务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20</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住院就诊信息新增服务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21</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住院就诊信息更新服务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22</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住院就诊信息查询服务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23</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住院转科信息新增服务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24</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住院转科信息更新服务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25</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住院转科信息查询服务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26</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出院登记信息新增服务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27</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出院登记信息更新服务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28</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出院登记信息查询服务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29</w:t>
            </w:r>
          </w:p>
        </w:tc>
        <w:tc>
          <w:tcPr>
            <w:tcW w:w="3162" w:type="dxa"/>
            <w:vMerge w:val="restart"/>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医嘱信息交互服务</w:t>
            </w: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医嘱信息新增服务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30</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医嘱信息更新服务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31</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医嘱信息查询服务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32</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检验申请信息新增服务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33</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检验申请信息更新服务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34</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检验申请信息查询服务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35</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检查申请信息新增服务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36</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检查申请信息更新服务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37</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检查申请信息查询服务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38</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病理申请信息新增服务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39</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病理申请信息更新服务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40</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病理申请信息查询服务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41</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输血申请信息新增服务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42</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输血申请信息更新服务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43</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输血申请信息查询服务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44</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手术申请信息新增服务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45</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手术申请信息更新服务</w:t>
            </w:r>
          </w:p>
        </w:tc>
      </w:tr>
      <w:tr>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970"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46</w:t>
            </w:r>
          </w:p>
        </w:tc>
        <w:tc>
          <w:tcPr>
            <w:tcW w:w="3162" w:type="dxa"/>
            <w:vMerge w:val="continue"/>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5" w:type="dxa"/>
            <w:tcBorders>
              <w:tl2br w:val="nil"/>
              <w:tr2bl w:val="nil"/>
            </w:tcBorders>
            <w:noWrap/>
            <w:tcMar>
              <w:top w:w="12" w:type="dxa"/>
              <w:left w:w="12" w:type="dxa"/>
              <w:right w:w="12" w:type="dxa"/>
            </w:tcMar>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手术申请信息查询服务</w:t>
            </w:r>
          </w:p>
        </w:tc>
      </w:tr>
    </w:tbl>
    <w:p>
      <w:pPr>
        <w:spacing w:line="360" w:lineRule="auto"/>
        <w:ind w:firstLine="480" w:firstLineChars="200"/>
        <w:rPr>
          <w:rFonts w:hint="eastAsia" w:cs="Times New Roman"/>
          <w:b w:val="0"/>
          <w:szCs w:val="20"/>
          <w:lang w:val="zh-CN"/>
        </w:rPr>
      </w:pPr>
      <w:r>
        <w:rPr>
          <w:rFonts w:hint="eastAsia" w:ascii="宋体" w:hAnsi="宋体" w:eastAsia="宋体" w:cs="Times New Roman"/>
          <w:b w:val="0"/>
          <w:szCs w:val="20"/>
          <w:lang w:val="en-US" w:eastAsia="zh-CN"/>
        </w:rPr>
        <w:t>3.1</w:t>
      </w:r>
      <w:r>
        <w:rPr>
          <w:rFonts w:hint="eastAsia" w:cs="Times New Roman"/>
          <w:b w:val="0"/>
          <w:szCs w:val="20"/>
          <w:lang w:val="zh-CN"/>
        </w:rPr>
        <w:t>.2数据集标准化</w:t>
      </w:r>
    </w:p>
    <w:tbl>
      <w:tblPr>
        <w:tblStyle w:val="30"/>
        <w:tblW w:w="9839"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933"/>
        <w:gridCol w:w="3205"/>
        <w:gridCol w:w="5701"/>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shd w:val="pct10" w:color="C3BD96" w:themeColor="background2" w:themeShade="BF" w:fill="DCD8C2" w:themeFill="background2" w:themeFillShade="E5"/>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b w:val="0"/>
                <w:bCs w:val="0"/>
                <w:color w:val="auto"/>
                <w:sz w:val="24"/>
                <w:szCs w:val="24"/>
                <w:highlight w:val="none"/>
                <w:lang w:val="en-US" w:eastAsia="zh-CN"/>
              </w:rPr>
            </w:pPr>
            <w:r>
              <w:rPr>
                <w:rFonts w:hint="eastAsia" w:ascii="宋体" w:hAnsi="宋体" w:eastAsia="宋体" w:cs="Times New Roman"/>
                <w:b w:val="0"/>
                <w:bCs w:val="0"/>
                <w:color w:val="auto"/>
                <w:sz w:val="24"/>
                <w:szCs w:val="24"/>
                <w:highlight w:val="none"/>
                <w:lang w:val="en-US" w:eastAsia="zh-CN"/>
              </w:rPr>
              <w:t>序号</w:t>
            </w:r>
          </w:p>
        </w:tc>
        <w:tc>
          <w:tcPr>
            <w:tcW w:w="3205" w:type="dxa"/>
            <w:tcBorders>
              <w:tl2br w:val="nil"/>
              <w:tr2bl w:val="nil"/>
            </w:tcBorders>
            <w:shd w:val="pct10" w:color="C3BD96" w:themeColor="background2" w:themeShade="BF" w:fill="DCD8C2" w:themeFill="background2" w:themeFillShade="E5"/>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b w:val="0"/>
                <w:bCs w:val="0"/>
                <w:color w:val="auto"/>
                <w:sz w:val="24"/>
                <w:szCs w:val="24"/>
                <w:highlight w:val="none"/>
                <w:lang w:val="en-US" w:eastAsia="zh-CN"/>
              </w:rPr>
            </w:pPr>
            <w:r>
              <w:rPr>
                <w:rFonts w:hint="eastAsia" w:ascii="宋体" w:hAnsi="宋体" w:eastAsia="宋体" w:cs="Times New Roman"/>
                <w:b w:val="0"/>
                <w:bCs w:val="0"/>
                <w:color w:val="auto"/>
                <w:sz w:val="24"/>
                <w:szCs w:val="24"/>
                <w:highlight w:val="none"/>
                <w:lang w:val="en-US" w:eastAsia="zh-CN"/>
              </w:rPr>
              <w:t>内容</w:t>
            </w:r>
          </w:p>
        </w:tc>
        <w:tc>
          <w:tcPr>
            <w:tcW w:w="5701" w:type="dxa"/>
            <w:tcBorders>
              <w:tl2br w:val="nil"/>
              <w:tr2bl w:val="nil"/>
            </w:tcBorders>
            <w:shd w:val="pct10" w:color="C3BD96" w:themeColor="background2" w:themeShade="BF" w:fill="DCD8C2" w:themeFill="background2" w:themeFillShade="E5"/>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b w:val="0"/>
                <w:bCs w:val="0"/>
                <w:color w:val="auto"/>
                <w:sz w:val="24"/>
                <w:szCs w:val="24"/>
                <w:highlight w:val="none"/>
                <w:lang w:val="en-US" w:eastAsia="zh-CN"/>
              </w:rPr>
            </w:pPr>
            <w:r>
              <w:rPr>
                <w:rFonts w:hint="eastAsia" w:ascii="宋体" w:hAnsi="宋体" w:eastAsia="宋体" w:cs="Times New Roman"/>
                <w:b w:val="0"/>
                <w:bCs w:val="0"/>
                <w:color w:val="auto"/>
                <w:sz w:val="24"/>
                <w:szCs w:val="24"/>
                <w:highlight w:val="none"/>
                <w:lang w:val="en-US" w:eastAsia="zh-CN"/>
              </w:rPr>
              <w:t>数据集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w:t>
            </w:r>
          </w:p>
        </w:tc>
        <w:tc>
          <w:tcPr>
            <w:tcW w:w="3205" w:type="dxa"/>
            <w:vMerge w:val="restart"/>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2.1.1电子病历基本数据集</w:t>
            </w:r>
          </w:p>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第1部分：病历概要</w:t>
            </w: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患者基本信息子集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基本健康信息子集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卫生事件摘要子集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医疗费用记录子集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5</w:t>
            </w:r>
          </w:p>
        </w:tc>
        <w:tc>
          <w:tcPr>
            <w:tcW w:w="3205" w:type="dxa"/>
            <w:vMerge w:val="restart"/>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2.1.2电子病历基本数据集</w:t>
            </w:r>
          </w:p>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第2部分：门（急）诊病历</w:t>
            </w: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门急诊病历子集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6</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急诊留观病历子集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7</w:t>
            </w:r>
          </w:p>
        </w:tc>
        <w:tc>
          <w:tcPr>
            <w:tcW w:w="3205" w:type="dxa"/>
            <w:vMerge w:val="restart"/>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2.1.3电子病历基本数据集</w:t>
            </w:r>
          </w:p>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第3部分：门（急）诊处方</w:t>
            </w: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西药处方子集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8</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中药处方子集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9</w:t>
            </w:r>
          </w:p>
        </w:tc>
        <w:tc>
          <w:tcPr>
            <w:tcW w:w="3205" w:type="dxa"/>
            <w:vMerge w:val="restart"/>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2.1.4电子病历基本数据集</w:t>
            </w:r>
          </w:p>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第4部分：检查检验记录</w:t>
            </w: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检查记录子集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10</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检验记录子集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11</w:t>
            </w:r>
          </w:p>
        </w:tc>
        <w:tc>
          <w:tcPr>
            <w:tcW w:w="3205" w:type="dxa"/>
            <w:vMerge w:val="restart"/>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2.1.5电子病历基本数据集</w:t>
            </w:r>
          </w:p>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第5部分：治疗处置-一般治疗处置记录</w:t>
            </w: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治疗记录子集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12</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一般手术记录子集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13</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麻醉术前访视记录子集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14</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麻醉记录子集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15</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麻醉术后访视记录子集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16</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输血记录子集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17</w:t>
            </w:r>
          </w:p>
        </w:tc>
        <w:tc>
          <w:tcPr>
            <w:tcW w:w="3205" w:type="dxa"/>
            <w:vMerge w:val="restart"/>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2.1.6电子病历基本数据集</w:t>
            </w:r>
          </w:p>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第6部分：治疗处置-助产记录</w:t>
            </w: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待产记录子集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18</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阴道分娩记录子集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19</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剖宫产手术记录子集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20</w:t>
            </w:r>
          </w:p>
        </w:tc>
        <w:tc>
          <w:tcPr>
            <w:tcW w:w="3205" w:type="dxa"/>
            <w:vMerge w:val="restart"/>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2.1.7电子病历基本数据集</w:t>
            </w:r>
          </w:p>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第7部分：护理-护理操作记录</w:t>
            </w: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一般护理记录子集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21</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病危（重）护理记录子集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22</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手术护理记录子集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23</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生命体征测量记录子集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24</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出入量记录子集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25</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高值耗材使用记录子集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26</w:t>
            </w:r>
          </w:p>
        </w:tc>
        <w:tc>
          <w:tcPr>
            <w:tcW w:w="3205" w:type="dxa"/>
            <w:vMerge w:val="restart"/>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2.1.8电子病历基本数据集</w:t>
            </w:r>
          </w:p>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第8部分：护理-护理评估与计划</w:t>
            </w: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入院评估记录子集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27</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护理计划记录子集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28</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出院评估与指导记录子集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29</w:t>
            </w:r>
          </w:p>
        </w:tc>
        <w:tc>
          <w:tcPr>
            <w:tcW w:w="3205" w:type="dxa"/>
            <w:vMerge w:val="restart"/>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2.1.9电子病历基本数据集</w:t>
            </w:r>
          </w:p>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第9部分：知情告知信息</w:t>
            </w: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手术同意书子集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30</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麻醉知情同意书子集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31</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输血治疗同意书子集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32</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特殊检查及特殊治疗同意书子集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33</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病危（重）通知书子集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34</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其他知情同意书子集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35</w:t>
            </w:r>
          </w:p>
        </w:tc>
        <w:tc>
          <w:tcPr>
            <w:tcW w:w="3205"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2.1.10电子病历基本数据集</w:t>
            </w:r>
          </w:p>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第10部分：住院病案首页</w:t>
            </w: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住院病案首页子集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36</w:t>
            </w:r>
          </w:p>
        </w:tc>
        <w:tc>
          <w:tcPr>
            <w:tcW w:w="3205"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2.1.11电子病历基本数据集</w:t>
            </w:r>
          </w:p>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第11部分：中医住院病案首页</w:t>
            </w: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中医住院病案首页子集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37</w:t>
            </w:r>
          </w:p>
        </w:tc>
        <w:tc>
          <w:tcPr>
            <w:tcW w:w="3205" w:type="dxa"/>
            <w:vMerge w:val="restart"/>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2.1.12电子病历基本数据集</w:t>
            </w:r>
          </w:p>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第12部分：入院记录</w:t>
            </w: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入院记录子集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38</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24h 内入出院记录子集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39</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24h 内入院死亡记录子集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40</w:t>
            </w:r>
          </w:p>
        </w:tc>
        <w:tc>
          <w:tcPr>
            <w:tcW w:w="3205" w:type="dxa"/>
            <w:vMerge w:val="restart"/>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2.1.13电子病历基本数据集</w:t>
            </w:r>
          </w:p>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第13部分：住院病程记录</w:t>
            </w: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首次病程记录子集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41</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日常病程记录子集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42</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上级医师查房记录子集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43</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疑难病例讨论子集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44</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交接班记录子集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45</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转科记录子集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46</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阶段小结子集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47</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抢救记录子集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48</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会诊记录子集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49</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术前小结子集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50</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术前讨论子集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51</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术后首次病程记录子集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52</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出院记录子集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53</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死亡记录子集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54</w:t>
            </w:r>
          </w:p>
        </w:tc>
        <w:tc>
          <w:tcPr>
            <w:tcW w:w="3205" w:type="dxa"/>
            <w:vMerge w:val="continue"/>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死亡病例讨论记录子集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55</w:t>
            </w:r>
          </w:p>
        </w:tc>
        <w:tc>
          <w:tcPr>
            <w:tcW w:w="3205"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2.1.14电子病历基本数据集第14部分：住院医嘱</w:t>
            </w: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住院医嘱子集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56</w:t>
            </w:r>
          </w:p>
        </w:tc>
        <w:tc>
          <w:tcPr>
            <w:tcW w:w="3205"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2.1.15电子病历基本数据集第15部分：出院小结</w:t>
            </w: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出院小结子集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57</w:t>
            </w:r>
          </w:p>
        </w:tc>
        <w:tc>
          <w:tcPr>
            <w:tcW w:w="3205"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2.1.16电子病历基本数据集</w:t>
            </w:r>
          </w:p>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第16部分：转诊（院）记录</w:t>
            </w: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转诊（院）记录子集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933"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58</w:t>
            </w:r>
          </w:p>
        </w:tc>
        <w:tc>
          <w:tcPr>
            <w:tcW w:w="3205"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2.1.17电子病历基本数据集 第17部分：医疗机构信息</w:t>
            </w:r>
          </w:p>
        </w:tc>
        <w:tc>
          <w:tcPr>
            <w:tcW w:w="5701" w:type="dxa"/>
            <w:tcBorders>
              <w:tl2br w:val="nil"/>
              <w:tr2bl w:val="nil"/>
            </w:tcBorders>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医疗机构信息子集</w:t>
            </w:r>
          </w:p>
        </w:tc>
      </w:tr>
    </w:tbl>
    <w:p>
      <w:pPr>
        <w:spacing w:line="360" w:lineRule="auto"/>
        <w:ind w:firstLine="480" w:firstLineChars="200"/>
        <w:rPr>
          <w:rFonts w:hint="eastAsia" w:cs="Times New Roman"/>
          <w:b w:val="0"/>
          <w:szCs w:val="20"/>
          <w:lang w:val="zh-CN"/>
        </w:rPr>
      </w:pPr>
      <w:r>
        <w:rPr>
          <w:rFonts w:hint="eastAsia" w:ascii="宋体" w:hAnsi="宋体" w:eastAsia="宋体" w:cs="Times New Roman"/>
          <w:lang w:val="en-US" w:eastAsia="zh-CN"/>
        </w:rPr>
        <w:t>3.1</w:t>
      </w:r>
      <w:r>
        <w:rPr>
          <w:rFonts w:hint="eastAsia"/>
          <w:lang w:val="zh-CN"/>
        </w:rPr>
        <w:t>.3共享文档标准化</w:t>
      </w:r>
    </w:p>
    <w:tbl>
      <w:tblPr>
        <w:tblStyle w:val="29"/>
        <w:tblW w:w="9872"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37"/>
        <w:gridCol w:w="893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shd w:val="pct10" w:color="C3BD96" w:themeColor="background2" w:themeShade="BF" w:fill="DCD8C2" w:themeFill="background2" w:themeFillShade="E5"/>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b w:val="0"/>
                <w:bCs w:val="0"/>
                <w:color w:val="auto"/>
                <w:sz w:val="24"/>
                <w:szCs w:val="24"/>
                <w:highlight w:val="none"/>
                <w:lang w:val="en-US" w:eastAsia="zh-CN"/>
              </w:rPr>
            </w:pPr>
            <w:r>
              <w:rPr>
                <w:rFonts w:hint="eastAsia" w:ascii="宋体" w:hAnsi="宋体" w:eastAsia="宋体" w:cs="Times New Roman"/>
                <w:b w:val="0"/>
                <w:bCs w:val="0"/>
                <w:color w:val="auto"/>
                <w:sz w:val="24"/>
                <w:szCs w:val="24"/>
                <w:highlight w:val="none"/>
                <w:lang w:val="en-US" w:eastAsia="zh-CN"/>
              </w:rPr>
              <w:t>序号</w:t>
            </w:r>
          </w:p>
        </w:tc>
        <w:tc>
          <w:tcPr>
            <w:tcW w:w="8935" w:type="dxa"/>
            <w:tcBorders>
              <w:tl2br w:val="nil"/>
              <w:tr2bl w:val="nil"/>
            </w:tcBorders>
            <w:shd w:val="pct10" w:color="C3BD96" w:themeColor="background2" w:themeShade="BF" w:fill="DCD8C2" w:themeFill="background2" w:themeFillShade="E5"/>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jc w:val="center"/>
              <w:textAlignment w:val="auto"/>
              <w:rPr>
                <w:rFonts w:hint="eastAsia" w:ascii="宋体" w:hAnsi="宋体" w:eastAsia="宋体" w:cs="Times New Roman"/>
                <w:b w:val="0"/>
                <w:bCs w:val="0"/>
                <w:color w:val="auto"/>
                <w:sz w:val="24"/>
                <w:szCs w:val="24"/>
                <w:highlight w:val="none"/>
                <w:lang w:val="en-US" w:eastAsia="zh-CN"/>
              </w:rPr>
            </w:pPr>
            <w:r>
              <w:rPr>
                <w:rFonts w:hint="eastAsia" w:ascii="宋体" w:hAnsi="宋体" w:eastAsia="宋体" w:cs="Times New Roman"/>
                <w:b w:val="0"/>
                <w:bCs w:val="0"/>
                <w:color w:val="auto"/>
                <w:sz w:val="24"/>
                <w:szCs w:val="24"/>
                <w:highlight w:val="none"/>
                <w:lang w:val="en-US" w:eastAsia="zh-CN"/>
              </w:rPr>
              <w:t>文档名称</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第1部分：病历概要</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第2部分：门（急）诊病历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第3部分：急诊留观病历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第4部分：西药处方</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5</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第5部分：中药处方（选测）</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6</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第6部分：检查记录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7</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第7部分：检验记录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8</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第8部分：治疗记录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9</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第9部分：一般手术记录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10</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第10部分：麻醉术前访视记录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11</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第11部分：麻醉记录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12</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第12部分：麻醉术后访视记录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13</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第13部分：输血记录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14</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第14部分：待产记录（选测）</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15</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第15部分：阴道分娩记录（选测）</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16</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第16部分：剖宫产记录（选测）</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17</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第17部分：一般护理记录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18</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第18部分：病重（病危）护理记录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19</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第19部分：手术护理记录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20</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第20部分：生命体征测量记录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21</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第21部分：出入量记录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22</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第22部分：高值耗材使用记录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23</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第23部分：入院评估</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24</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第24部分：护理计划</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25</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第25部分：出院评估与指导</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26</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第26部分：手术知情同意书</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27</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第27部分：麻醉知情同意书</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28</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第28部分：输血治疗同意书</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29</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第29部分：特殊检查及特殊治疗同意书</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30</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第30部分：病危（重）通知书</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31</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第31部分：其他知情告知同意书</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32</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第32部分：住院病案首页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33</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第33部分：中医住院病案首页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34</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第34部分：入院记录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35</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第35部分：24小时内入出院记录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36</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第36部分：24小时内入院死亡记录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37</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第37部分：住院病程记录首次病程记录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38</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第38部分：住院病程记录日常病程记录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39</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第39部分：住院病程记录上级医师查房记录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40</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第40部分：住院病程记录疑难病例讨论记录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41</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第41部分：住院病程记录交接班记录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42</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第42部分：住院病程记录转科记录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43</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第43部分：住院病程记录阶段小结</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44</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第44部分：住院病程记录抢救记录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45</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第45部分：住院病程记录会诊记录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46</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第46部分：住院病程记录术前小结</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47</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第47部分：住院病程记录术前讨论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48</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第48部分：住院病程记录术后首次病程记录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49</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第49部分：住院病程记录出院记录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50</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第50部分：住院病程记录死亡记录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51</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第51部分：住院病程记录死亡病例讨论记录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52</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第52部分：住院医嘱</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37" w:type="dxa"/>
            <w:tcBorders>
              <w:tl2br w:val="nil"/>
              <w:tr2bl w:val="nil"/>
            </w:tcBorders>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53</w:t>
            </w:r>
          </w:p>
        </w:tc>
        <w:tc>
          <w:tcPr>
            <w:tcW w:w="8935" w:type="dxa"/>
            <w:tcBorders>
              <w:tl2br w:val="nil"/>
              <w:tr2bl w:val="nil"/>
            </w:tcBorders>
            <w:shd w:val="clear" w:color="auto" w:fill="auto"/>
            <w:noWrap/>
            <w:vAlign w:val="center"/>
          </w:tcPr>
          <w:p>
            <w:pPr>
              <w:keepNext w:val="0"/>
              <w:keepLines w:val="0"/>
              <w:pageBreakBefore w:val="0"/>
              <w:widowControl/>
              <w:numPr>
                <w:ilvl w:val="0"/>
                <w:numId w:val="0"/>
              </w:numPr>
              <w:kinsoku/>
              <w:wordWrap w:val="0"/>
              <w:overflowPunct/>
              <w:topLinePunct w:val="0"/>
              <w:autoSpaceDE/>
              <w:autoSpaceDN/>
              <w:bidi w:val="0"/>
              <w:adjustRightInd/>
              <w:snapToGrid/>
              <w:spacing w:line="360" w:lineRule="auto"/>
              <w:ind w:right="-89" w:rightChars="-37" w:firstLine="0" w:firstLineChars="0"/>
              <w:jc w:val="center"/>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电子病历共享文档规范 第53部分：出院小结</w:t>
            </w:r>
          </w:p>
        </w:tc>
      </w:tr>
    </w:tbl>
    <w:p>
      <w:pPr>
        <w:wordWrap/>
        <w:spacing w:line="360" w:lineRule="auto"/>
        <w:ind w:left="0" w:leftChars="0" w:firstLine="480" w:firstLineChars="200"/>
        <w:rPr>
          <w:rFonts w:hint="eastAsia" w:cs="宋体"/>
          <w:b w:val="0"/>
          <w:bCs/>
          <w:szCs w:val="24"/>
        </w:rPr>
      </w:pPr>
      <w:r>
        <w:rPr>
          <w:rFonts w:hint="eastAsia" w:ascii="宋体" w:hAnsi="宋体" w:eastAsia="宋体" w:cs="宋体"/>
          <w:b w:val="0"/>
          <w:bCs/>
          <w:szCs w:val="24"/>
          <w:lang w:val="en-US" w:eastAsia="zh-CN"/>
        </w:rPr>
        <w:t>3.2</w:t>
      </w:r>
      <w:r>
        <w:rPr>
          <w:rFonts w:hint="eastAsia" w:cs="宋体"/>
          <w:b w:val="0"/>
          <w:bCs/>
          <w:szCs w:val="24"/>
        </w:rPr>
        <w:t>基础信息系统</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ascii="宋体" w:hAnsi="宋体" w:eastAsia="宋体" w:cs="宋体"/>
          <w:b w:val="0"/>
          <w:bCs/>
          <w:szCs w:val="24"/>
          <w:lang w:val="en-US" w:eastAsia="zh-CN"/>
        </w:rPr>
        <w:t>2.</w:t>
      </w:r>
      <w:r>
        <w:rPr>
          <w:rFonts w:hint="eastAsia" w:cs="宋体"/>
          <w:b w:val="0"/>
          <w:bCs/>
          <w:szCs w:val="24"/>
        </w:rPr>
        <w:t>1字典参数配置</w:t>
      </w:r>
    </w:p>
    <w:p>
      <w:pPr>
        <w:wordWrap/>
        <w:spacing w:line="360" w:lineRule="auto"/>
        <w:ind w:left="0" w:leftChars="0" w:firstLine="480" w:firstLineChars="200"/>
        <w:rPr>
          <w:rFonts w:hint="eastAsia" w:cs="宋体"/>
          <w:b w:val="0"/>
          <w:bCs/>
          <w:szCs w:val="24"/>
        </w:rPr>
      </w:pPr>
      <w:r>
        <w:rPr>
          <w:rFonts w:hint="eastAsia" w:ascii="宋体" w:hAnsi="宋体" w:eastAsia="宋体" w:cs="宋体"/>
          <w:b w:val="0"/>
          <w:bCs/>
          <w:szCs w:val="24"/>
        </w:rPr>
        <w:t>▲</w:t>
      </w:r>
      <w:r>
        <w:rPr>
          <w:rFonts w:hint="eastAsia" w:cs="宋体"/>
          <w:b w:val="0"/>
          <w:bCs/>
          <w:szCs w:val="24"/>
        </w:rPr>
        <w:t>a.支持多级参数设置（医联体级、人民医院级、乡镇卫生院级等）。</w:t>
      </w:r>
    </w:p>
    <w:p>
      <w:pPr>
        <w:wordWrap/>
        <w:spacing w:line="360" w:lineRule="auto"/>
        <w:ind w:left="0" w:leftChars="0" w:firstLine="480" w:firstLineChars="200"/>
        <w:rPr>
          <w:rFonts w:hint="eastAsia" w:cs="宋体"/>
          <w:b w:val="0"/>
          <w:bCs/>
          <w:szCs w:val="24"/>
        </w:rPr>
      </w:pPr>
      <w:r>
        <w:rPr>
          <w:rFonts w:hint="eastAsia" w:cs="宋体"/>
          <w:b w:val="0"/>
          <w:bCs/>
          <w:szCs w:val="24"/>
        </w:rPr>
        <w:t>b.支持根据参数优先级判断是否生效。</w:t>
      </w:r>
    </w:p>
    <w:p>
      <w:pPr>
        <w:wordWrap/>
        <w:spacing w:line="360" w:lineRule="auto"/>
        <w:ind w:left="0" w:leftChars="0" w:firstLine="480" w:firstLineChars="200"/>
        <w:rPr>
          <w:rFonts w:hint="eastAsia" w:cs="宋体"/>
          <w:b w:val="0"/>
          <w:bCs/>
          <w:szCs w:val="24"/>
        </w:rPr>
      </w:pPr>
      <w:r>
        <w:rPr>
          <w:rFonts w:hint="eastAsia" w:cs="宋体"/>
          <w:b w:val="0"/>
          <w:bCs/>
          <w:szCs w:val="24"/>
        </w:rPr>
        <w:t>c.支持根据拼音码、五笔码、汉字检索参数。</w:t>
      </w:r>
    </w:p>
    <w:p>
      <w:pPr>
        <w:wordWrap/>
        <w:spacing w:line="360" w:lineRule="auto"/>
        <w:ind w:left="0" w:leftChars="0" w:firstLine="480" w:firstLineChars="200"/>
        <w:rPr>
          <w:rFonts w:hint="eastAsia" w:cs="宋体"/>
          <w:b w:val="0"/>
          <w:bCs/>
          <w:szCs w:val="24"/>
        </w:rPr>
      </w:pPr>
      <w:r>
        <w:rPr>
          <w:rFonts w:hint="eastAsia" w:cs="宋体"/>
          <w:b w:val="0"/>
          <w:bCs/>
          <w:szCs w:val="24"/>
        </w:rPr>
        <w:t>d.支持修改参数排序。</w:t>
      </w:r>
    </w:p>
    <w:p>
      <w:pPr>
        <w:wordWrap/>
        <w:spacing w:line="360" w:lineRule="auto"/>
        <w:ind w:left="0" w:leftChars="0" w:firstLine="480" w:firstLineChars="200"/>
        <w:rPr>
          <w:rFonts w:hint="eastAsia" w:cs="宋体"/>
          <w:b w:val="0"/>
          <w:bCs/>
          <w:szCs w:val="24"/>
        </w:rPr>
      </w:pPr>
      <w:r>
        <w:rPr>
          <w:rFonts w:hint="eastAsia" w:cs="宋体"/>
          <w:b w:val="0"/>
          <w:bCs/>
          <w:szCs w:val="24"/>
        </w:rPr>
        <w:t>e.支持参数导入导出。</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ascii="宋体" w:hAnsi="宋体" w:eastAsia="宋体" w:cs="宋体"/>
          <w:b w:val="0"/>
          <w:bCs/>
          <w:szCs w:val="24"/>
          <w:lang w:val="en-US" w:eastAsia="zh-CN"/>
        </w:rPr>
        <w:t>2.</w:t>
      </w:r>
      <w:r>
        <w:rPr>
          <w:rFonts w:hint="eastAsia" w:cs="宋体"/>
          <w:b w:val="0"/>
          <w:bCs/>
          <w:szCs w:val="24"/>
        </w:rPr>
        <w:t>2系统菜单管理</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ascii="宋体" w:hAnsi="宋体" w:eastAsia="宋体" w:cs="宋体"/>
          <w:b w:val="0"/>
          <w:bCs/>
          <w:szCs w:val="24"/>
          <w:lang w:val="en-US" w:eastAsia="zh-CN"/>
        </w:rPr>
        <w:t>2.</w:t>
      </w:r>
      <w:r>
        <w:rPr>
          <w:rFonts w:hint="eastAsia" w:cs="宋体"/>
          <w:b w:val="0"/>
          <w:bCs/>
          <w:szCs w:val="24"/>
        </w:rPr>
        <w:t>2.1系统模板定义</w:t>
      </w:r>
    </w:p>
    <w:p>
      <w:pPr>
        <w:wordWrap/>
        <w:spacing w:line="360" w:lineRule="auto"/>
        <w:ind w:left="0" w:leftChars="0" w:firstLine="480" w:firstLineChars="200"/>
        <w:rPr>
          <w:rFonts w:hint="eastAsia" w:cs="宋体"/>
          <w:b w:val="0"/>
          <w:bCs/>
          <w:szCs w:val="24"/>
        </w:rPr>
      </w:pPr>
      <w:r>
        <w:rPr>
          <w:rFonts w:hint="eastAsia" w:cs="宋体"/>
          <w:b w:val="0"/>
          <w:bCs/>
          <w:szCs w:val="24"/>
        </w:rPr>
        <w:t>a.支持系统标准菜单模板定义。</w:t>
      </w:r>
    </w:p>
    <w:p>
      <w:pPr>
        <w:wordWrap/>
        <w:spacing w:line="360" w:lineRule="auto"/>
        <w:ind w:left="0" w:leftChars="0" w:firstLine="480" w:firstLineChars="200"/>
        <w:rPr>
          <w:rFonts w:hint="eastAsia" w:cs="宋体"/>
          <w:b w:val="0"/>
          <w:bCs/>
          <w:szCs w:val="24"/>
        </w:rPr>
      </w:pPr>
      <w:r>
        <w:rPr>
          <w:rFonts w:hint="eastAsia" w:cs="宋体"/>
          <w:b w:val="0"/>
          <w:bCs/>
          <w:szCs w:val="24"/>
        </w:rPr>
        <w:t>b.支持标准菜单模板导入导出。</w:t>
      </w:r>
    </w:p>
    <w:p>
      <w:pPr>
        <w:wordWrap/>
        <w:spacing w:line="360" w:lineRule="auto"/>
        <w:ind w:left="0" w:leftChars="0" w:firstLine="480" w:firstLineChars="200"/>
        <w:rPr>
          <w:rFonts w:hint="eastAsia" w:cs="宋体"/>
          <w:b w:val="0"/>
          <w:bCs/>
          <w:szCs w:val="24"/>
        </w:rPr>
      </w:pPr>
      <w:r>
        <w:rPr>
          <w:rFonts w:hint="eastAsia" w:cs="宋体"/>
          <w:b w:val="0"/>
          <w:bCs/>
          <w:szCs w:val="24"/>
        </w:rPr>
        <w:t>c.支持标准菜单模板添加、删除、修改。</w:t>
      </w:r>
    </w:p>
    <w:p>
      <w:pPr>
        <w:wordWrap/>
        <w:spacing w:line="360" w:lineRule="auto"/>
        <w:ind w:left="0" w:leftChars="0" w:firstLine="480" w:firstLineChars="200"/>
        <w:rPr>
          <w:rFonts w:hint="eastAsia" w:cs="宋体"/>
          <w:b w:val="0"/>
          <w:bCs/>
          <w:szCs w:val="24"/>
        </w:rPr>
      </w:pPr>
      <w:r>
        <w:rPr>
          <w:rFonts w:hint="eastAsia" w:cs="宋体"/>
          <w:b w:val="0"/>
          <w:bCs/>
          <w:szCs w:val="24"/>
        </w:rPr>
        <w:t>d.支持标准菜单模板复制模板。</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ascii="宋体" w:hAnsi="宋体" w:eastAsia="宋体" w:cs="宋体"/>
          <w:b w:val="0"/>
          <w:bCs/>
          <w:szCs w:val="24"/>
          <w:lang w:val="en-US" w:eastAsia="zh-CN"/>
        </w:rPr>
        <w:t>2.</w:t>
      </w:r>
      <w:r>
        <w:rPr>
          <w:rFonts w:hint="eastAsia" w:cs="宋体"/>
          <w:b w:val="0"/>
          <w:bCs/>
          <w:szCs w:val="24"/>
        </w:rPr>
        <w:t>2.2模板菜单定义</w:t>
      </w:r>
    </w:p>
    <w:p>
      <w:pPr>
        <w:wordWrap/>
        <w:spacing w:line="360" w:lineRule="auto"/>
        <w:ind w:left="0" w:leftChars="0" w:firstLine="480" w:firstLineChars="200"/>
        <w:rPr>
          <w:rFonts w:hint="eastAsia" w:cs="宋体"/>
          <w:b w:val="0"/>
          <w:bCs/>
          <w:szCs w:val="24"/>
        </w:rPr>
      </w:pPr>
      <w:r>
        <w:rPr>
          <w:rFonts w:hint="eastAsia" w:cs="宋体"/>
          <w:b w:val="0"/>
          <w:bCs/>
          <w:szCs w:val="24"/>
        </w:rPr>
        <w:t>a.支持菜单三级目录管理。</w:t>
      </w:r>
    </w:p>
    <w:p>
      <w:pPr>
        <w:wordWrap/>
        <w:spacing w:line="360" w:lineRule="auto"/>
        <w:ind w:left="0" w:leftChars="0" w:firstLine="480" w:firstLineChars="200"/>
        <w:rPr>
          <w:rFonts w:hint="eastAsia" w:cs="宋体"/>
          <w:b w:val="0"/>
          <w:bCs/>
          <w:szCs w:val="24"/>
        </w:rPr>
      </w:pPr>
      <w:r>
        <w:rPr>
          <w:rFonts w:hint="eastAsia" w:cs="宋体"/>
          <w:b w:val="0"/>
          <w:bCs/>
          <w:szCs w:val="24"/>
        </w:rPr>
        <w:t>b.支持各级模板新增、修改、删除、排序。</w:t>
      </w:r>
    </w:p>
    <w:p>
      <w:pPr>
        <w:wordWrap/>
        <w:spacing w:line="360" w:lineRule="auto"/>
        <w:ind w:left="0" w:leftChars="0" w:firstLine="480" w:firstLineChars="200"/>
        <w:rPr>
          <w:rFonts w:hint="eastAsia" w:cs="宋体"/>
          <w:b w:val="0"/>
          <w:bCs/>
          <w:szCs w:val="24"/>
        </w:rPr>
      </w:pPr>
      <w:r>
        <w:rPr>
          <w:rFonts w:hint="eastAsia" w:cs="宋体"/>
          <w:b w:val="0"/>
          <w:bCs/>
          <w:szCs w:val="24"/>
        </w:rPr>
        <w:t>c.支持菜单名称、URL连接修改，图标更换。</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ascii="宋体" w:hAnsi="宋体" w:eastAsia="宋体" w:cs="宋体"/>
          <w:b w:val="0"/>
          <w:bCs/>
          <w:szCs w:val="24"/>
          <w:lang w:val="en-US" w:eastAsia="zh-CN"/>
        </w:rPr>
        <w:t>2.</w:t>
      </w:r>
      <w:r>
        <w:rPr>
          <w:rFonts w:hint="eastAsia" w:cs="宋体"/>
          <w:b w:val="0"/>
          <w:bCs/>
          <w:szCs w:val="24"/>
        </w:rPr>
        <w:t>2.3医疗单位选择模板</w:t>
      </w:r>
    </w:p>
    <w:p>
      <w:pPr>
        <w:wordWrap/>
        <w:spacing w:line="360" w:lineRule="auto"/>
        <w:ind w:left="0" w:leftChars="0" w:firstLine="480" w:firstLineChars="200"/>
        <w:rPr>
          <w:rFonts w:hint="eastAsia" w:cs="宋体"/>
          <w:b w:val="0"/>
          <w:bCs/>
          <w:szCs w:val="24"/>
        </w:rPr>
      </w:pPr>
      <w:r>
        <w:rPr>
          <w:rFonts w:hint="eastAsia" w:ascii="宋体" w:hAnsi="宋体" w:eastAsia="宋体" w:cs="宋体"/>
          <w:b w:val="0"/>
          <w:bCs/>
          <w:szCs w:val="24"/>
        </w:rPr>
        <w:t>▲</w:t>
      </w:r>
      <w:r>
        <w:rPr>
          <w:rFonts w:hint="eastAsia" w:cs="宋体"/>
          <w:b w:val="0"/>
          <w:bCs/>
          <w:szCs w:val="24"/>
        </w:rPr>
        <w:t>a.支持根据医院级别（人民医院级、乡镇卫生院级、村卫生室级等）定义医院使用的菜单模板。</w:t>
      </w:r>
    </w:p>
    <w:p>
      <w:pPr>
        <w:wordWrap/>
        <w:spacing w:line="360" w:lineRule="auto"/>
        <w:ind w:left="0" w:leftChars="0" w:firstLine="480" w:firstLineChars="200"/>
        <w:rPr>
          <w:rFonts w:hint="eastAsia" w:cs="宋体"/>
          <w:b w:val="0"/>
          <w:bCs/>
          <w:szCs w:val="24"/>
        </w:rPr>
      </w:pPr>
      <w:r>
        <w:rPr>
          <w:rFonts w:hint="eastAsia" w:cs="宋体"/>
          <w:b w:val="0"/>
          <w:bCs/>
          <w:szCs w:val="24"/>
        </w:rPr>
        <w:t>b.支持选中医疗单位模板锁定。</w:t>
      </w:r>
    </w:p>
    <w:p>
      <w:pPr>
        <w:wordWrap/>
        <w:spacing w:line="360" w:lineRule="auto"/>
        <w:ind w:left="0" w:leftChars="0" w:firstLine="480" w:firstLineChars="200"/>
        <w:rPr>
          <w:rFonts w:hint="eastAsia" w:cs="宋体"/>
          <w:b w:val="0"/>
          <w:bCs/>
          <w:szCs w:val="24"/>
        </w:rPr>
      </w:pPr>
      <w:r>
        <w:rPr>
          <w:rFonts w:hint="eastAsia" w:cs="宋体"/>
          <w:b w:val="0"/>
          <w:bCs/>
          <w:szCs w:val="24"/>
        </w:rPr>
        <w:t>c.支持清除选中医疗单位使用的菜单模板。</w:t>
      </w:r>
    </w:p>
    <w:p>
      <w:pPr>
        <w:wordWrap/>
        <w:spacing w:line="360" w:lineRule="auto"/>
        <w:ind w:left="0" w:leftChars="0" w:firstLine="480" w:firstLineChars="200"/>
        <w:rPr>
          <w:rFonts w:hint="eastAsia" w:cs="宋体"/>
          <w:b w:val="0"/>
          <w:bCs/>
          <w:szCs w:val="24"/>
        </w:rPr>
      </w:pPr>
      <w:r>
        <w:rPr>
          <w:rFonts w:hint="eastAsia" w:cs="宋体"/>
          <w:b w:val="0"/>
          <w:bCs/>
          <w:szCs w:val="24"/>
        </w:rPr>
        <w:t>d.支持选中医疗单位菜单屏蔽。</w:t>
      </w:r>
    </w:p>
    <w:p>
      <w:pPr>
        <w:wordWrap/>
        <w:spacing w:line="360" w:lineRule="auto"/>
        <w:ind w:left="0" w:leftChars="0" w:firstLine="480" w:firstLineChars="200"/>
        <w:rPr>
          <w:rFonts w:hint="eastAsia" w:cs="宋体"/>
          <w:b w:val="0"/>
          <w:bCs/>
          <w:szCs w:val="24"/>
        </w:rPr>
      </w:pPr>
      <w:r>
        <w:rPr>
          <w:rFonts w:hint="eastAsia" w:cs="宋体"/>
          <w:b w:val="0"/>
          <w:bCs/>
          <w:szCs w:val="24"/>
        </w:rPr>
        <w:t>e.支持批量设置医院菜单模板。</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ascii="宋体" w:hAnsi="宋体" w:eastAsia="宋体" w:cs="宋体"/>
          <w:b w:val="0"/>
          <w:bCs/>
          <w:szCs w:val="24"/>
          <w:lang w:val="en-US" w:eastAsia="zh-CN"/>
        </w:rPr>
        <w:t>2.</w:t>
      </w:r>
      <w:r>
        <w:rPr>
          <w:rFonts w:hint="eastAsia" w:cs="宋体"/>
          <w:b w:val="0"/>
          <w:bCs/>
          <w:szCs w:val="24"/>
        </w:rPr>
        <w:t>3操作权限管理</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ascii="宋体" w:hAnsi="宋体" w:eastAsia="宋体" w:cs="宋体"/>
          <w:b w:val="0"/>
          <w:bCs/>
          <w:szCs w:val="24"/>
          <w:lang w:val="en-US" w:eastAsia="zh-CN"/>
        </w:rPr>
        <w:t>2.</w:t>
      </w:r>
      <w:r>
        <w:rPr>
          <w:rFonts w:hint="eastAsia" w:cs="宋体"/>
          <w:b w:val="0"/>
          <w:bCs/>
          <w:szCs w:val="24"/>
        </w:rPr>
        <w:t>3.1管理员角色登记</w:t>
      </w:r>
    </w:p>
    <w:p>
      <w:pPr>
        <w:wordWrap/>
        <w:spacing w:line="360" w:lineRule="auto"/>
        <w:ind w:left="0" w:leftChars="0" w:firstLine="480" w:firstLineChars="200"/>
        <w:rPr>
          <w:rFonts w:hint="eastAsia" w:cs="宋体"/>
          <w:b w:val="0"/>
          <w:bCs/>
          <w:szCs w:val="24"/>
        </w:rPr>
      </w:pPr>
      <w:r>
        <w:rPr>
          <w:rFonts w:hint="eastAsia" w:cs="宋体"/>
          <w:b w:val="0"/>
          <w:bCs/>
          <w:szCs w:val="24"/>
        </w:rPr>
        <w:t>a.支持设置医疗单位管理员名单。</w:t>
      </w:r>
    </w:p>
    <w:p>
      <w:pPr>
        <w:wordWrap/>
        <w:spacing w:line="360" w:lineRule="auto"/>
        <w:ind w:left="0" w:leftChars="0" w:firstLine="480" w:firstLineChars="200"/>
        <w:rPr>
          <w:rFonts w:hint="eastAsia" w:cs="宋体"/>
          <w:b w:val="0"/>
          <w:bCs/>
          <w:szCs w:val="24"/>
        </w:rPr>
      </w:pPr>
      <w:r>
        <w:rPr>
          <w:rFonts w:hint="eastAsia" w:cs="宋体"/>
          <w:b w:val="0"/>
          <w:bCs/>
          <w:szCs w:val="24"/>
        </w:rPr>
        <w:t>b.支持医疗单位管理员跨医院、跨院区。</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ascii="宋体" w:hAnsi="宋体" w:eastAsia="宋体" w:cs="宋体"/>
          <w:b w:val="0"/>
          <w:bCs/>
          <w:szCs w:val="24"/>
          <w:lang w:val="en-US" w:eastAsia="zh-CN"/>
        </w:rPr>
        <w:t>2.</w:t>
      </w:r>
      <w:r>
        <w:rPr>
          <w:rFonts w:hint="eastAsia" w:cs="宋体"/>
          <w:b w:val="0"/>
          <w:bCs/>
          <w:szCs w:val="24"/>
        </w:rPr>
        <w:t>3.2二级管理员授权</w:t>
      </w:r>
    </w:p>
    <w:p>
      <w:pPr>
        <w:wordWrap/>
        <w:spacing w:line="360" w:lineRule="auto"/>
        <w:ind w:left="0" w:leftChars="0" w:firstLine="480" w:firstLineChars="200"/>
        <w:rPr>
          <w:rFonts w:hint="eastAsia" w:cs="宋体"/>
          <w:b w:val="0"/>
          <w:bCs/>
          <w:szCs w:val="24"/>
        </w:rPr>
      </w:pPr>
      <w:r>
        <w:rPr>
          <w:rFonts w:hint="eastAsia" w:cs="宋体"/>
          <w:b w:val="0"/>
          <w:bCs/>
          <w:szCs w:val="24"/>
        </w:rPr>
        <w:t>a.支持设置二级管理员可管理人员名单。</w:t>
      </w:r>
    </w:p>
    <w:p>
      <w:pPr>
        <w:wordWrap/>
        <w:spacing w:line="360" w:lineRule="auto"/>
        <w:ind w:left="0" w:leftChars="0" w:firstLine="480" w:firstLineChars="200"/>
        <w:rPr>
          <w:rFonts w:hint="eastAsia" w:cs="宋体"/>
          <w:b w:val="0"/>
          <w:bCs/>
          <w:szCs w:val="24"/>
        </w:rPr>
      </w:pPr>
      <w:r>
        <w:rPr>
          <w:rFonts w:hint="eastAsia" w:cs="宋体"/>
          <w:b w:val="0"/>
          <w:bCs/>
          <w:szCs w:val="24"/>
        </w:rPr>
        <w:t>b.支持设置二级管理员可授权的角色清单。</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ascii="宋体" w:hAnsi="宋体" w:eastAsia="宋体" w:cs="宋体"/>
          <w:b w:val="0"/>
          <w:bCs/>
          <w:szCs w:val="24"/>
          <w:lang w:val="en-US" w:eastAsia="zh-CN"/>
        </w:rPr>
        <w:t>2.</w:t>
      </w:r>
      <w:r>
        <w:rPr>
          <w:rFonts w:hint="eastAsia" w:cs="宋体"/>
          <w:b w:val="0"/>
          <w:bCs/>
          <w:szCs w:val="24"/>
        </w:rPr>
        <w:t>3.3系统角色模板</w:t>
      </w:r>
    </w:p>
    <w:p>
      <w:pPr>
        <w:wordWrap/>
        <w:spacing w:line="360" w:lineRule="auto"/>
        <w:ind w:left="0" w:leftChars="0" w:firstLine="480" w:firstLineChars="200"/>
        <w:rPr>
          <w:rFonts w:hint="eastAsia" w:cs="宋体"/>
          <w:b w:val="0"/>
          <w:bCs/>
          <w:szCs w:val="24"/>
        </w:rPr>
      </w:pPr>
      <w:r>
        <w:rPr>
          <w:rFonts w:hint="eastAsia" w:cs="宋体"/>
          <w:b w:val="0"/>
          <w:bCs/>
          <w:szCs w:val="24"/>
        </w:rPr>
        <w:t>a.支持根据菜单模板设置系统角色权限。</w:t>
      </w:r>
    </w:p>
    <w:p>
      <w:pPr>
        <w:wordWrap/>
        <w:spacing w:line="360" w:lineRule="auto"/>
        <w:ind w:left="0" w:leftChars="0" w:firstLine="480" w:firstLineChars="200"/>
        <w:rPr>
          <w:rFonts w:hint="eastAsia" w:cs="宋体"/>
          <w:b w:val="0"/>
          <w:bCs/>
          <w:szCs w:val="24"/>
        </w:rPr>
      </w:pPr>
      <w:r>
        <w:rPr>
          <w:rFonts w:hint="eastAsia" w:cs="宋体"/>
          <w:b w:val="0"/>
          <w:bCs/>
          <w:szCs w:val="24"/>
        </w:rPr>
        <w:t>b.支持根据角色进行分类。</w:t>
      </w:r>
    </w:p>
    <w:p>
      <w:pPr>
        <w:wordWrap/>
        <w:spacing w:line="360" w:lineRule="auto"/>
        <w:ind w:left="0" w:leftChars="0" w:firstLine="480" w:firstLineChars="200"/>
        <w:rPr>
          <w:rFonts w:hint="eastAsia" w:cs="宋体"/>
          <w:b w:val="0"/>
          <w:bCs/>
          <w:szCs w:val="24"/>
        </w:rPr>
      </w:pPr>
      <w:r>
        <w:rPr>
          <w:rFonts w:hint="eastAsia" w:cs="宋体"/>
          <w:b w:val="0"/>
          <w:bCs/>
          <w:szCs w:val="24"/>
        </w:rPr>
        <w:t>c.支持添加、修改、删除、停用角色。</w:t>
      </w:r>
    </w:p>
    <w:p>
      <w:pPr>
        <w:wordWrap/>
        <w:spacing w:line="360" w:lineRule="auto"/>
        <w:ind w:left="0" w:leftChars="0" w:firstLine="480" w:firstLineChars="200"/>
        <w:rPr>
          <w:rFonts w:hint="eastAsia" w:cs="宋体"/>
          <w:b w:val="0"/>
          <w:bCs/>
          <w:szCs w:val="24"/>
        </w:rPr>
      </w:pPr>
      <w:r>
        <w:rPr>
          <w:rFonts w:hint="eastAsia" w:cs="宋体"/>
          <w:b w:val="0"/>
          <w:bCs/>
          <w:szCs w:val="24"/>
        </w:rPr>
        <w:t>d.支持设置角色排序。</w:t>
      </w:r>
    </w:p>
    <w:p>
      <w:pPr>
        <w:wordWrap/>
        <w:spacing w:line="360" w:lineRule="auto"/>
        <w:ind w:left="0" w:leftChars="0" w:firstLine="480" w:firstLineChars="200"/>
        <w:rPr>
          <w:rFonts w:hint="eastAsia" w:cs="宋体"/>
          <w:b w:val="0"/>
          <w:bCs/>
          <w:szCs w:val="24"/>
        </w:rPr>
      </w:pPr>
      <w:r>
        <w:rPr>
          <w:rFonts w:hint="eastAsia" w:cs="宋体"/>
          <w:b w:val="0"/>
          <w:bCs/>
          <w:szCs w:val="24"/>
        </w:rPr>
        <w:t>e.支持导入、导出角色模板。</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ascii="宋体" w:hAnsi="宋体" w:eastAsia="宋体" w:cs="宋体"/>
          <w:b w:val="0"/>
          <w:bCs/>
          <w:szCs w:val="24"/>
          <w:lang w:val="en-US" w:eastAsia="zh-CN"/>
        </w:rPr>
        <w:t>2.</w:t>
      </w:r>
      <w:r>
        <w:rPr>
          <w:rFonts w:hint="eastAsia" w:cs="宋体"/>
          <w:b w:val="0"/>
          <w:bCs/>
          <w:szCs w:val="24"/>
        </w:rPr>
        <w:t>3.4医疗单位角色</w:t>
      </w:r>
    </w:p>
    <w:p>
      <w:pPr>
        <w:wordWrap/>
        <w:spacing w:line="360" w:lineRule="auto"/>
        <w:ind w:left="0" w:leftChars="0" w:firstLine="480" w:firstLineChars="200"/>
        <w:rPr>
          <w:rFonts w:hint="eastAsia" w:cs="宋体"/>
          <w:b w:val="0"/>
          <w:bCs/>
          <w:szCs w:val="24"/>
        </w:rPr>
      </w:pPr>
      <w:r>
        <w:rPr>
          <w:rFonts w:hint="eastAsia" w:cs="宋体"/>
          <w:b w:val="0"/>
          <w:bCs/>
          <w:szCs w:val="24"/>
        </w:rPr>
        <w:t>a.支持将系统角色导入、自定义医疗单位角色两种模式。</w:t>
      </w:r>
    </w:p>
    <w:p>
      <w:pPr>
        <w:wordWrap/>
        <w:spacing w:line="360" w:lineRule="auto"/>
        <w:ind w:left="0" w:leftChars="0" w:firstLine="480" w:firstLineChars="200"/>
        <w:rPr>
          <w:rFonts w:hint="eastAsia" w:cs="宋体"/>
          <w:b w:val="0"/>
          <w:bCs/>
          <w:szCs w:val="24"/>
        </w:rPr>
      </w:pPr>
      <w:r>
        <w:rPr>
          <w:rFonts w:hint="eastAsia" w:cs="宋体"/>
          <w:b w:val="0"/>
          <w:bCs/>
          <w:szCs w:val="24"/>
        </w:rPr>
        <w:t>b.支持根据角色进行分类。</w:t>
      </w:r>
    </w:p>
    <w:p>
      <w:pPr>
        <w:wordWrap/>
        <w:spacing w:line="360" w:lineRule="auto"/>
        <w:ind w:left="0" w:leftChars="0" w:firstLine="480" w:firstLineChars="200"/>
        <w:rPr>
          <w:rFonts w:hint="eastAsia" w:cs="宋体"/>
          <w:b w:val="0"/>
          <w:bCs/>
          <w:szCs w:val="24"/>
        </w:rPr>
      </w:pPr>
      <w:r>
        <w:rPr>
          <w:rFonts w:hint="eastAsia" w:cs="宋体"/>
          <w:b w:val="0"/>
          <w:bCs/>
          <w:szCs w:val="24"/>
        </w:rPr>
        <w:t>c.支持添加、修改、删除、停用角色。</w:t>
      </w:r>
    </w:p>
    <w:p>
      <w:pPr>
        <w:wordWrap/>
        <w:spacing w:line="360" w:lineRule="auto"/>
        <w:ind w:left="0" w:leftChars="0" w:firstLine="480" w:firstLineChars="200"/>
        <w:rPr>
          <w:rFonts w:hint="eastAsia" w:cs="宋体"/>
          <w:b w:val="0"/>
          <w:bCs/>
          <w:szCs w:val="24"/>
        </w:rPr>
      </w:pPr>
      <w:r>
        <w:rPr>
          <w:rFonts w:hint="eastAsia" w:cs="宋体"/>
          <w:b w:val="0"/>
          <w:bCs/>
          <w:szCs w:val="24"/>
        </w:rPr>
        <w:t>d.支持设置角色排序。</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ascii="宋体" w:hAnsi="宋体" w:eastAsia="宋体" w:cs="宋体"/>
          <w:b w:val="0"/>
          <w:bCs/>
          <w:szCs w:val="24"/>
          <w:lang w:val="en-US" w:eastAsia="zh-CN"/>
        </w:rPr>
        <w:t>2.</w:t>
      </w:r>
      <w:r>
        <w:rPr>
          <w:rFonts w:hint="eastAsia" w:cs="宋体"/>
          <w:b w:val="0"/>
          <w:bCs/>
          <w:szCs w:val="24"/>
        </w:rPr>
        <w:t>3.5用户权限分配</w:t>
      </w:r>
    </w:p>
    <w:p>
      <w:pPr>
        <w:wordWrap/>
        <w:spacing w:line="360" w:lineRule="auto"/>
        <w:ind w:left="0" w:leftChars="0" w:firstLine="480" w:firstLineChars="200"/>
        <w:rPr>
          <w:rFonts w:hint="eastAsia" w:cs="宋体"/>
          <w:b w:val="0"/>
          <w:bCs/>
          <w:szCs w:val="24"/>
        </w:rPr>
      </w:pPr>
      <w:r>
        <w:rPr>
          <w:rFonts w:hint="eastAsia" w:cs="宋体"/>
          <w:b w:val="0"/>
          <w:bCs/>
          <w:szCs w:val="24"/>
        </w:rPr>
        <w:t>a.支持人员名单检索定位。</w:t>
      </w:r>
    </w:p>
    <w:p>
      <w:pPr>
        <w:wordWrap/>
        <w:spacing w:line="360" w:lineRule="auto"/>
        <w:ind w:left="0" w:leftChars="0" w:firstLine="480" w:firstLineChars="200"/>
        <w:rPr>
          <w:rFonts w:hint="eastAsia" w:cs="宋体"/>
          <w:b w:val="0"/>
          <w:bCs/>
          <w:szCs w:val="24"/>
        </w:rPr>
      </w:pPr>
      <w:r>
        <w:rPr>
          <w:rFonts w:hint="eastAsia" w:cs="宋体"/>
          <w:b w:val="0"/>
          <w:bCs/>
          <w:szCs w:val="24"/>
        </w:rPr>
        <w:t>b.支持赋予人员单个或多个角色。</w:t>
      </w:r>
    </w:p>
    <w:p>
      <w:pPr>
        <w:wordWrap/>
        <w:spacing w:line="360" w:lineRule="auto"/>
        <w:ind w:left="0" w:leftChars="0" w:firstLine="480" w:firstLineChars="200"/>
        <w:rPr>
          <w:rFonts w:hint="eastAsia" w:cs="宋体"/>
          <w:b w:val="0"/>
          <w:bCs/>
          <w:szCs w:val="24"/>
        </w:rPr>
      </w:pPr>
      <w:r>
        <w:rPr>
          <w:rFonts w:hint="eastAsia" w:cs="宋体"/>
          <w:b w:val="0"/>
          <w:bCs/>
          <w:szCs w:val="24"/>
        </w:rPr>
        <w:t>c.支持定义人员权限。</w:t>
      </w:r>
    </w:p>
    <w:p>
      <w:pPr>
        <w:wordWrap/>
        <w:spacing w:line="360" w:lineRule="auto"/>
        <w:ind w:left="0" w:leftChars="0" w:firstLine="480" w:firstLineChars="200"/>
        <w:rPr>
          <w:rFonts w:hint="eastAsia" w:cs="宋体"/>
          <w:b w:val="0"/>
          <w:bCs/>
          <w:szCs w:val="24"/>
        </w:rPr>
      </w:pPr>
      <w:r>
        <w:rPr>
          <w:rFonts w:hint="eastAsia" w:cs="宋体"/>
          <w:b w:val="0"/>
          <w:bCs/>
          <w:szCs w:val="24"/>
        </w:rPr>
        <w:t>d.支持批量复制人员权限或角色。</w:t>
      </w:r>
    </w:p>
    <w:p>
      <w:pPr>
        <w:wordWrap/>
        <w:spacing w:line="360" w:lineRule="auto"/>
        <w:ind w:left="0" w:leftChars="0" w:firstLine="480" w:firstLineChars="200"/>
        <w:rPr>
          <w:rFonts w:hint="eastAsia" w:cs="宋体"/>
          <w:b w:val="0"/>
          <w:bCs/>
          <w:szCs w:val="24"/>
        </w:rPr>
      </w:pPr>
      <w:r>
        <w:rPr>
          <w:rFonts w:hint="eastAsia" w:cs="宋体"/>
          <w:b w:val="0"/>
          <w:bCs/>
          <w:szCs w:val="24"/>
        </w:rPr>
        <w:t>e.支持设置人员角色开始时间和截止时间。</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ascii="宋体" w:hAnsi="宋体" w:eastAsia="宋体" w:cs="宋体"/>
          <w:b w:val="0"/>
          <w:bCs/>
          <w:szCs w:val="24"/>
          <w:lang w:val="en-US" w:eastAsia="zh-CN"/>
        </w:rPr>
        <w:t>2.</w:t>
      </w:r>
      <w:r>
        <w:rPr>
          <w:rFonts w:hint="eastAsia" w:cs="宋体"/>
          <w:b w:val="0"/>
          <w:bCs/>
          <w:szCs w:val="24"/>
        </w:rPr>
        <w:t>3.6工作站权限设置</w:t>
      </w:r>
    </w:p>
    <w:p>
      <w:pPr>
        <w:wordWrap/>
        <w:spacing w:line="360" w:lineRule="auto"/>
        <w:ind w:left="0" w:leftChars="0" w:firstLine="480" w:firstLineChars="200"/>
        <w:rPr>
          <w:rFonts w:hint="eastAsia" w:cs="宋体"/>
          <w:b w:val="0"/>
          <w:bCs/>
          <w:szCs w:val="24"/>
        </w:rPr>
      </w:pPr>
      <w:r>
        <w:rPr>
          <w:rFonts w:hint="eastAsia" w:cs="宋体"/>
          <w:b w:val="0"/>
          <w:bCs/>
          <w:szCs w:val="24"/>
        </w:rPr>
        <w:t>a.支持定义工作站权限。</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ascii="宋体" w:hAnsi="宋体" w:eastAsia="宋体" w:cs="宋体"/>
          <w:b w:val="0"/>
          <w:bCs/>
          <w:szCs w:val="24"/>
          <w:lang w:val="en-US" w:eastAsia="zh-CN"/>
        </w:rPr>
        <w:t>2.</w:t>
      </w:r>
      <w:r>
        <w:rPr>
          <w:rFonts w:hint="eastAsia" w:cs="宋体"/>
          <w:b w:val="0"/>
          <w:bCs/>
          <w:szCs w:val="24"/>
        </w:rPr>
        <w:t>4软件发布系统</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ascii="宋体" w:hAnsi="宋体" w:eastAsia="宋体" w:cs="宋体"/>
          <w:b w:val="0"/>
          <w:bCs/>
          <w:szCs w:val="24"/>
          <w:lang w:val="en-US" w:eastAsia="zh-CN"/>
        </w:rPr>
        <w:t>2.</w:t>
      </w:r>
      <w:r>
        <w:rPr>
          <w:rFonts w:hint="eastAsia" w:cs="宋体"/>
          <w:b w:val="0"/>
          <w:bCs/>
          <w:szCs w:val="24"/>
        </w:rPr>
        <w:t>4.1客户端</w:t>
      </w:r>
    </w:p>
    <w:p>
      <w:pPr>
        <w:wordWrap/>
        <w:spacing w:line="360" w:lineRule="auto"/>
        <w:ind w:left="0" w:leftChars="0" w:firstLine="480" w:firstLineChars="200"/>
        <w:rPr>
          <w:rFonts w:hint="eastAsia" w:cs="宋体"/>
          <w:b w:val="0"/>
          <w:bCs/>
          <w:szCs w:val="24"/>
        </w:rPr>
      </w:pPr>
      <w:r>
        <w:rPr>
          <w:rFonts w:hint="eastAsia" w:cs="宋体"/>
          <w:b w:val="0"/>
          <w:bCs/>
          <w:szCs w:val="24"/>
        </w:rPr>
        <w:t>a.同步中心</w:t>
      </w:r>
    </w:p>
    <w:p>
      <w:pPr>
        <w:wordWrap/>
        <w:spacing w:line="360" w:lineRule="auto"/>
        <w:ind w:left="0" w:leftChars="0" w:firstLine="480" w:firstLineChars="200"/>
        <w:rPr>
          <w:rFonts w:hint="eastAsia" w:cs="宋体"/>
          <w:b w:val="0"/>
          <w:bCs/>
          <w:szCs w:val="24"/>
        </w:rPr>
      </w:pPr>
      <w:r>
        <w:rPr>
          <w:rFonts w:hint="eastAsia" w:cs="宋体"/>
          <w:b w:val="0"/>
          <w:bCs/>
          <w:szCs w:val="24"/>
        </w:rPr>
        <w:t>①在线检测：用于测试中心端和医院端网络是否通畅；</w:t>
      </w:r>
    </w:p>
    <w:p>
      <w:pPr>
        <w:wordWrap/>
        <w:spacing w:line="360" w:lineRule="auto"/>
        <w:ind w:left="0" w:leftChars="0" w:firstLine="480" w:firstLineChars="200"/>
        <w:rPr>
          <w:rFonts w:hint="eastAsia" w:cs="宋体"/>
          <w:b w:val="0"/>
          <w:bCs/>
          <w:szCs w:val="24"/>
        </w:rPr>
      </w:pPr>
      <w:r>
        <w:rPr>
          <w:rFonts w:hint="eastAsia" w:cs="宋体"/>
          <w:b w:val="0"/>
          <w:bCs/>
          <w:szCs w:val="24"/>
        </w:rPr>
        <w:t>②线下数据同步：回传医院端发包数据、统计数据、更新状况回传到中心端；</w:t>
      </w:r>
    </w:p>
    <w:p>
      <w:pPr>
        <w:wordWrap/>
        <w:spacing w:line="360" w:lineRule="auto"/>
        <w:ind w:left="0" w:leftChars="0" w:firstLine="480" w:firstLineChars="200"/>
        <w:rPr>
          <w:rFonts w:hint="eastAsia" w:cs="宋体"/>
          <w:b w:val="0"/>
          <w:bCs/>
          <w:szCs w:val="24"/>
        </w:rPr>
      </w:pPr>
      <w:r>
        <w:rPr>
          <w:rFonts w:hint="eastAsia" w:cs="宋体"/>
          <w:b w:val="0"/>
          <w:bCs/>
          <w:szCs w:val="24"/>
        </w:rPr>
        <w:t>③同步文件包：仅将模块包文件从中心端拉到医院端；</w:t>
      </w:r>
    </w:p>
    <w:p>
      <w:pPr>
        <w:wordWrap/>
        <w:spacing w:line="360" w:lineRule="auto"/>
        <w:ind w:left="0" w:leftChars="0" w:firstLine="480" w:firstLineChars="200"/>
        <w:rPr>
          <w:rFonts w:hint="eastAsia" w:cs="宋体"/>
          <w:b w:val="0"/>
          <w:bCs/>
          <w:szCs w:val="24"/>
        </w:rPr>
      </w:pPr>
      <w:r>
        <w:rPr>
          <w:rFonts w:hint="eastAsia" w:cs="宋体"/>
          <w:b w:val="0"/>
          <w:bCs/>
          <w:szCs w:val="24"/>
        </w:rPr>
        <w:t>④上传数据：仅回传医院端的发包记录、更新状况等数据回传到中心端；</w:t>
      </w:r>
    </w:p>
    <w:p>
      <w:pPr>
        <w:wordWrap/>
        <w:spacing w:line="360" w:lineRule="auto"/>
        <w:ind w:left="0" w:leftChars="0" w:firstLine="480" w:firstLineChars="200"/>
        <w:rPr>
          <w:rFonts w:hint="eastAsia" w:cs="宋体"/>
          <w:b w:val="0"/>
          <w:bCs/>
          <w:szCs w:val="24"/>
        </w:rPr>
      </w:pPr>
      <w:r>
        <w:rPr>
          <w:rFonts w:hint="eastAsia" w:cs="宋体"/>
          <w:b w:val="0"/>
          <w:bCs/>
          <w:szCs w:val="24"/>
        </w:rPr>
        <w:t>⑤刷新数据：刷新客户端界面各个控件的值，包括列表，下拉框，树形控件等。</w:t>
      </w:r>
    </w:p>
    <w:p>
      <w:pPr>
        <w:wordWrap/>
        <w:spacing w:line="360" w:lineRule="auto"/>
        <w:ind w:left="0" w:leftChars="0" w:firstLine="480" w:firstLineChars="200"/>
        <w:rPr>
          <w:rFonts w:hint="eastAsia" w:cs="宋体"/>
          <w:b w:val="0"/>
          <w:bCs/>
          <w:szCs w:val="24"/>
        </w:rPr>
      </w:pPr>
      <w:r>
        <w:rPr>
          <w:rFonts w:hint="eastAsia" w:cs="宋体"/>
          <w:b w:val="0"/>
          <w:bCs/>
          <w:szCs w:val="24"/>
        </w:rPr>
        <w:t>b.模块更新</w:t>
      </w:r>
    </w:p>
    <w:p>
      <w:pPr>
        <w:wordWrap/>
        <w:spacing w:line="360" w:lineRule="auto"/>
        <w:ind w:left="0" w:leftChars="0" w:firstLine="480" w:firstLineChars="200"/>
        <w:rPr>
          <w:rFonts w:hint="eastAsia" w:cs="宋体"/>
          <w:b w:val="0"/>
          <w:bCs/>
          <w:szCs w:val="24"/>
        </w:rPr>
      </w:pPr>
      <w:r>
        <w:rPr>
          <w:rFonts w:hint="eastAsia" w:cs="宋体"/>
          <w:b w:val="0"/>
          <w:bCs/>
          <w:szCs w:val="24"/>
        </w:rPr>
        <w:t>①下载：可将模块包文件从医院端前置机文件服务器下载到CDM发布系统的临时目录；</w:t>
      </w:r>
    </w:p>
    <w:p>
      <w:pPr>
        <w:wordWrap/>
        <w:spacing w:line="360" w:lineRule="auto"/>
        <w:ind w:left="0" w:leftChars="0" w:firstLine="480" w:firstLineChars="200"/>
        <w:rPr>
          <w:rFonts w:hint="eastAsia" w:cs="宋体"/>
          <w:b w:val="0"/>
          <w:bCs/>
          <w:szCs w:val="24"/>
        </w:rPr>
      </w:pPr>
      <w:r>
        <w:rPr>
          <w:rFonts w:hint="eastAsia" w:cs="宋体"/>
          <w:b w:val="0"/>
          <w:bCs/>
          <w:szCs w:val="24"/>
        </w:rPr>
        <w:t>②加入待发布：应用站点选中需要发布的包为后续发布作准备；</w:t>
      </w:r>
    </w:p>
    <w:p>
      <w:pPr>
        <w:wordWrap/>
        <w:spacing w:line="360" w:lineRule="auto"/>
        <w:ind w:left="0" w:leftChars="0" w:firstLine="480" w:firstLineChars="200"/>
        <w:rPr>
          <w:rFonts w:hint="eastAsia" w:cs="宋体"/>
          <w:b w:val="0"/>
          <w:bCs/>
          <w:szCs w:val="24"/>
        </w:rPr>
      </w:pPr>
      <w:r>
        <w:rPr>
          <w:rFonts w:hint="eastAsia" w:cs="宋体"/>
          <w:b w:val="0"/>
          <w:bCs/>
          <w:szCs w:val="24"/>
        </w:rPr>
        <w:t>③查看详情：点击行内详情按钮，可打开中心端CDM发布系统页面查看此包的详细信息。</w:t>
      </w:r>
    </w:p>
    <w:p>
      <w:pPr>
        <w:wordWrap/>
        <w:spacing w:line="360" w:lineRule="auto"/>
        <w:ind w:left="0" w:leftChars="0" w:firstLine="480" w:firstLineChars="200"/>
        <w:rPr>
          <w:rFonts w:hint="eastAsia" w:cs="宋体"/>
          <w:b w:val="0"/>
          <w:bCs/>
          <w:szCs w:val="24"/>
        </w:rPr>
      </w:pPr>
      <w:r>
        <w:rPr>
          <w:rFonts w:hint="eastAsia" w:cs="宋体"/>
          <w:b w:val="0"/>
          <w:bCs/>
          <w:szCs w:val="24"/>
        </w:rPr>
        <w:t>c.里程碑更新</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①支持查看中心端推给医院端但还未更新到业务系统的里程碑包</w:t>
      </w:r>
      <w:r>
        <w:rPr>
          <w:rFonts w:hint="eastAsia" w:cs="宋体"/>
          <w:b w:val="0"/>
          <w:bCs/>
          <w:szCs w:val="24"/>
          <w:lang w:eastAsia="zh-CN"/>
        </w:rPr>
        <w:t>；</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②支持查看中心端推给医院端已经更新到业务系统的里程碑包</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d.IIS发布</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①支持将待发布列表中的包更新到指定应用的服务器上</w:t>
      </w:r>
      <w:r>
        <w:rPr>
          <w:rFonts w:hint="eastAsia" w:cs="宋体"/>
          <w:b w:val="0"/>
          <w:bCs/>
          <w:szCs w:val="24"/>
          <w:lang w:eastAsia="zh-CN"/>
        </w:rPr>
        <w:t>；</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②支持查看当前用户所有的发布历史清单</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e.CDN更新</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①支持查看中心端设置好的所有CDN版本信息，可选中某一版本的CDN配置应用到医院业务系统</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f.更新信息</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①支持按照应用站点和子系统维度查看模块包的发布记录</w:t>
      </w:r>
      <w:r>
        <w:rPr>
          <w:rFonts w:hint="eastAsia" w:cs="宋体"/>
          <w:b w:val="0"/>
          <w:bCs/>
          <w:szCs w:val="24"/>
          <w:lang w:eastAsia="zh-CN"/>
        </w:rPr>
        <w:t>；</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②支持按照应用站点和子系统维度查看里程碑包的发布记录</w:t>
      </w:r>
      <w:r>
        <w:rPr>
          <w:rFonts w:hint="eastAsia" w:cs="宋体"/>
          <w:b w:val="0"/>
          <w:bCs/>
          <w:szCs w:val="24"/>
          <w:lang w:eastAsia="zh-CN"/>
        </w:rPr>
        <w:t>；</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③支持按照时间段、应用、操作人查询现场绿色通道文件的更新记录</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g.其他配置</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①支持配置CDN前缀替换和服务器监控指标</w:t>
      </w:r>
      <w:r>
        <w:rPr>
          <w:rFonts w:hint="eastAsia" w:cs="宋体"/>
          <w:b w:val="0"/>
          <w:bCs/>
          <w:szCs w:val="24"/>
          <w:lang w:eastAsia="zh-CN"/>
        </w:rPr>
        <w:t>；</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②支持设置医院端服务器的发布优化级、权重等</w:t>
      </w:r>
      <w:r>
        <w:rPr>
          <w:rFonts w:hint="eastAsia" w:cs="宋体"/>
          <w:b w:val="0"/>
          <w:bCs/>
          <w:szCs w:val="24"/>
          <w:lang w:eastAsia="zh-CN"/>
        </w:rPr>
        <w:t>；</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③支持服务器内存、CPU、I/O等指标的动态监控</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h.服务更新配置</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①支持配置医院端windows Service的自动更新策略</w:t>
      </w:r>
      <w:r>
        <w:rPr>
          <w:rFonts w:hint="eastAsia" w:cs="宋体"/>
          <w:b w:val="0"/>
          <w:bCs/>
          <w:szCs w:val="24"/>
          <w:lang w:eastAsia="zh-CN"/>
        </w:rPr>
        <w:t>；</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②支持批量Service的自动更新，如消息推送服务、批量打印服务、字典同步服务等</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③支持批量更新医院服务器上的客户端exe程序，如影像客户端、外壳浏览器等。</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ascii="宋体" w:hAnsi="宋体" w:eastAsia="宋体" w:cs="宋体"/>
          <w:b w:val="0"/>
          <w:bCs/>
          <w:szCs w:val="24"/>
          <w:lang w:val="en-US" w:eastAsia="zh-CN"/>
        </w:rPr>
        <w:t>2.</w:t>
      </w:r>
      <w:r>
        <w:rPr>
          <w:rFonts w:hint="eastAsia" w:cs="宋体"/>
          <w:b w:val="0"/>
          <w:bCs/>
          <w:szCs w:val="24"/>
        </w:rPr>
        <w:t>4.2中心端</w:t>
      </w:r>
    </w:p>
    <w:p>
      <w:pPr>
        <w:wordWrap/>
        <w:spacing w:line="360" w:lineRule="auto"/>
        <w:ind w:left="0" w:leftChars="0" w:firstLine="480" w:firstLineChars="200"/>
        <w:rPr>
          <w:rFonts w:hint="eastAsia" w:cs="宋体"/>
          <w:b w:val="0"/>
          <w:bCs/>
          <w:szCs w:val="24"/>
        </w:rPr>
      </w:pPr>
      <w:r>
        <w:rPr>
          <w:rFonts w:hint="eastAsia" w:cs="宋体"/>
          <w:b w:val="0"/>
          <w:bCs/>
          <w:szCs w:val="24"/>
        </w:rPr>
        <w:t>a.医院客户端</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①支持最新产品信息的接收</w:t>
      </w:r>
      <w:r>
        <w:rPr>
          <w:rFonts w:hint="eastAsia" w:cs="宋体"/>
          <w:b w:val="0"/>
          <w:bCs/>
          <w:szCs w:val="24"/>
          <w:lang w:eastAsia="zh-CN"/>
        </w:rPr>
        <w:t>；</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②支持最新产品信息版本内容查看</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③支持最新的模块内容获取。</w:t>
      </w:r>
    </w:p>
    <w:p>
      <w:pPr>
        <w:wordWrap/>
        <w:spacing w:line="360" w:lineRule="auto"/>
        <w:ind w:left="0" w:leftChars="0" w:firstLine="480" w:firstLineChars="200"/>
        <w:rPr>
          <w:rFonts w:hint="eastAsia" w:cs="宋体"/>
          <w:b w:val="0"/>
          <w:bCs/>
          <w:szCs w:val="24"/>
        </w:rPr>
      </w:pPr>
      <w:r>
        <w:rPr>
          <w:rFonts w:hint="eastAsia" w:cs="宋体"/>
          <w:b w:val="0"/>
          <w:bCs/>
          <w:szCs w:val="24"/>
        </w:rPr>
        <w:t>b.研发端</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①支持开发上传模板程序</w:t>
      </w:r>
      <w:r>
        <w:rPr>
          <w:rFonts w:hint="eastAsia" w:cs="宋体"/>
          <w:b w:val="0"/>
          <w:bCs/>
          <w:szCs w:val="24"/>
          <w:lang w:eastAsia="zh-CN"/>
        </w:rPr>
        <w:t>；</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②支持设置对应客户范围发布设定</w:t>
      </w:r>
      <w:r>
        <w:rPr>
          <w:rFonts w:hint="eastAsia" w:cs="宋体"/>
          <w:b w:val="0"/>
          <w:bCs/>
          <w:szCs w:val="24"/>
          <w:lang w:eastAsia="zh-CN"/>
        </w:rPr>
        <w:t>；</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③支持开发批量上传模板程序</w:t>
      </w:r>
      <w:r>
        <w:rPr>
          <w:rFonts w:hint="eastAsia" w:cs="宋体"/>
          <w:b w:val="0"/>
          <w:bCs/>
          <w:szCs w:val="24"/>
          <w:lang w:eastAsia="zh-CN"/>
        </w:rPr>
        <w:t>；</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④支持查询模块关键指标校验日志</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c.测试端</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①支持里程碑测试，确认测试结果</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②支持对里程碑进行补推和归档。</w:t>
      </w:r>
    </w:p>
    <w:p>
      <w:pPr>
        <w:wordWrap/>
        <w:spacing w:line="360" w:lineRule="auto"/>
        <w:ind w:left="0" w:leftChars="0" w:firstLine="480" w:firstLineChars="200"/>
        <w:rPr>
          <w:rFonts w:hint="eastAsia" w:cs="宋体"/>
          <w:b w:val="0"/>
          <w:bCs/>
          <w:szCs w:val="24"/>
        </w:rPr>
      </w:pPr>
      <w:r>
        <w:rPr>
          <w:rFonts w:hint="eastAsia" w:cs="宋体"/>
          <w:b w:val="0"/>
          <w:bCs/>
          <w:szCs w:val="24"/>
        </w:rPr>
        <w:t>d.决策分析</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①支持对日常开发人员的开发质量分析</w:t>
      </w:r>
      <w:r>
        <w:rPr>
          <w:rFonts w:hint="eastAsia" w:cs="宋体"/>
          <w:b w:val="0"/>
          <w:bCs/>
          <w:szCs w:val="24"/>
          <w:lang w:eastAsia="zh-CN"/>
        </w:rPr>
        <w:t>；</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②支持针对系统部署到客户的版本情况查询分析</w:t>
      </w:r>
      <w:r>
        <w:rPr>
          <w:rFonts w:hint="eastAsia" w:cs="宋体"/>
          <w:b w:val="0"/>
          <w:bCs/>
          <w:szCs w:val="24"/>
          <w:lang w:eastAsia="zh-CN"/>
        </w:rPr>
        <w:t>；</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③支持日志记录</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④支持按照任务的执行情况，分析功能发布质量。</w:t>
      </w:r>
    </w:p>
    <w:p>
      <w:pPr>
        <w:wordWrap/>
        <w:spacing w:line="360" w:lineRule="auto"/>
        <w:ind w:left="0" w:leftChars="0" w:firstLine="480" w:firstLineChars="200"/>
        <w:rPr>
          <w:rFonts w:hint="eastAsia" w:cs="宋体"/>
          <w:b w:val="0"/>
          <w:bCs/>
          <w:szCs w:val="24"/>
        </w:rPr>
      </w:pPr>
      <w:r>
        <w:rPr>
          <w:rFonts w:hint="eastAsia" w:cs="宋体"/>
          <w:b w:val="0"/>
          <w:bCs/>
          <w:szCs w:val="24"/>
        </w:rPr>
        <w:t>e.基本设置</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①支持基础字典设定</w:t>
      </w:r>
      <w:r>
        <w:rPr>
          <w:rFonts w:hint="eastAsia" w:cs="宋体"/>
          <w:b w:val="0"/>
          <w:bCs/>
          <w:szCs w:val="24"/>
          <w:lang w:eastAsia="zh-CN"/>
        </w:rPr>
        <w:t>；</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②支持初始化客户发布程序数据字典</w:t>
      </w:r>
      <w:r>
        <w:rPr>
          <w:rFonts w:hint="eastAsia" w:cs="宋体"/>
          <w:b w:val="0"/>
          <w:bCs/>
          <w:szCs w:val="24"/>
          <w:lang w:eastAsia="zh-CN"/>
        </w:rPr>
        <w:t>；</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③支持对发布系统用户权限设置</w:t>
      </w:r>
      <w:r>
        <w:rPr>
          <w:rFonts w:hint="eastAsia" w:cs="宋体"/>
          <w:b w:val="0"/>
          <w:bCs/>
          <w:szCs w:val="24"/>
          <w:lang w:eastAsia="zh-CN"/>
        </w:rPr>
        <w:t>；</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④支持对发布系统页面功能设置维护</w:t>
      </w:r>
      <w:r>
        <w:rPr>
          <w:rFonts w:hint="eastAsia" w:cs="宋体"/>
          <w:b w:val="0"/>
          <w:bCs/>
          <w:szCs w:val="24"/>
          <w:lang w:eastAsia="zh-CN"/>
        </w:rPr>
        <w:t>；</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⑤支持查看钉钉消息推送日志</w:t>
      </w:r>
      <w:r>
        <w:rPr>
          <w:rFonts w:hint="eastAsia" w:cs="宋体"/>
          <w:b w:val="0"/>
          <w:bCs/>
          <w:szCs w:val="24"/>
          <w:lang w:eastAsia="zh-CN"/>
        </w:rPr>
        <w:t>；</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⑥支持系统参数配置</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3.3物价管理系统</w:t>
      </w:r>
    </w:p>
    <w:p>
      <w:pPr>
        <w:wordWrap/>
        <w:spacing w:line="360" w:lineRule="auto"/>
        <w:ind w:left="0" w:leftChars="0" w:firstLine="480" w:firstLineChars="200"/>
        <w:rPr>
          <w:rFonts w:hint="eastAsia" w:cs="宋体"/>
          <w:b w:val="0"/>
          <w:bCs/>
          <w:szCs w:val="24"/>
        </w:rPr>
      </w:pPr>
      <w:r>
        <w:rPr>
          <w:rFonts w:hint="eastAsia" w:cs="宋体"/>
          <w:b w:val="0"/>
          <w:bCs/>
          <w:szCs w:val="24"/>
        </w:rPr>
        <w:t>支持医院诊疗目录设置、核算类别设置、记账业务设置、会计科目设置、支付方式设置、往来项目设置、经管项目设置、往来单位设置等功能。</w:t>
      </w:r>
    </w:p>
    <w:p>
      <w:pPr>
        <w:wordWrap/>
        <w:spacing w:line="360" w:lineRule="auto"/>
        <w:ind w:left="0" w:leftChars="0" w:firstLine="480" w:firstLineChars="200"/>
        <w:rPr>
          <w:rFonts w:hint="eastAsia" w:cs="宋体"/>
          <w:b w:val="0"/>
          <w:bCs/>
          <w:szCs w:val="24"/>
        </w:rPr>
      </w:pPr>
      <w:r>
        <w:rPr>
          <w:rFonts w:hint="eastAsia" w:cs="宋体"/>
          <w:b w:val="0"/>
          <w:bCs/>
          <w:szCs w:val="24"/>
        </w:rPr>
        <w:t>3.4操作日志审计</w:t>
      </w:r>
    </w:p>
    <w:p>
      <w:pPr>
        <w:wordWrap/>
        <w:spacing w:line="360" w:lineRule="auto"/>
        <w:ind w:left="0" w:leftChars="0" w:firstLine="480" w:firstLineChars="200"/>
        <w:rPr>
          <w:rFonts w:hint="eastAsia" w:cs="宋体"/>
          <w:b w:val="0"/>
          <w:bCs/>
          <w:szCs w:val="24"/>
        </w:rPr>
      </w:pPr>
      <w:r>
        <w:rPr>
          <w:rFonts w:hint="eastAsia" w:cs="宋体"/>
          <w:b w:val="0"/>
          <w:bCs/>
          <w:szCs w:val="24"/>
        </w:rPr>
        <w:t>支持定义系统关键节点日志记录开关，支持查询系统关键节点日志记录。</w:t>
      </w:r>
    </w:p>
    <w:p>
      <w:pPr>
        <w:wordWrap/>
        <w:spacing w:line="360" w:lineRule="auto"/>
        <w:ind w:left="0" w:leftChars="0" w:firstLine="480" w:firstLineChars="200"/>
        <w:rPr>
          <w:rFonts w:hint="eastAsia" w:cs="宋体"/>
          <w:b w:val="0"/>
          <w:bCs/>
          <w:szCs w:val="24"/>
        </w:rPr>
      </w:pPr>
      <w:r>
        <w:rPr>
          <w:rFonts w:hint="eastAsia" w:cs="宋体"/>
          <w:b w:val="0"/>
          <w:bCs/>
          <w:szCs w:val="24"/>
        </w:rPr>
        <w:t>3.5患者基本信息管理</w:t>
      </w:r>
    </w:p>
    <w:p>
      <w:pPr>
        <w:wordWrap/>
        <w:spacing w:line="360" w:lineRule="auto"/>
        <w:ind w:left="0" w:leftChars="0" w:firstLine="480" w:firstLineChars="200"/>
        <w:rPr>
          <w:rFonts w:hint="eastAsia" w:cs="宋体"/>
          <w:b w:val="0"/>
          <w:bCs/>
          <w:szCs w:val="24"/>
        </w:rPr>
      </w:pPr>
      <w:r>
        <w:rPr>
          <w:rFonts w:hint="eastAsia" w:cs="宋体"/>
          <w:b w:val="0"/>
          <w:bCs/>
          <w:szCs w:val="24"/>
        </w:rPr>
        <w:t>支持患者基本信息支持读卡或手工录入，支持患者信息完整性控制。支持根据逻辑判断当患者小于指定岁数时，监护人信息必填，支持自定义患者列信息。</w:t>
      </w:r>
    </w:p>
    <w:p>
      <w:pPr>
        <w:wordWrap/>
        <w:spacing w:line="360" w:lineRule="auto"/>
        <w:ind w:left="0" w:leftChars="0" w:firstLine="480" w:firstLineChars="200"/>
        <w:rPr>
          <w:rFonts w:hint="eastAsia" w:cs="宋体"/>
          <w:b w:val="0"/>
          <w:bCs/>
          <w:szCs w:val="24"/>
        </w:rPr>
      </w:pPr>
      <w:r>
        <w:rPr>
          <w:rFonts w:hint="eastAsia" w:cs="宋体"/>
          <w:b w:val="0"/>
          <w:bCs/>
          <w:szCs w:val="24"/>
        </w:rPr>
        <w:t>3.6电子健康卡接入</w:t>
      </w:r>
    </w:p>
    <w:p>
      <w:pPr>
        <w:wordWrap/>
        <w:spacing w:line="360" w:lineRule="auto"/>
        <w:ind w:left="0" w:leftChars="0" w:firstLine="480" w:firstLineChars="200"/>
        <w:rPr>
          <w:rFonts w:hint="eastAsia" w:cs="宋体"/>
          <w:b w:val="0"/>
          <w:bCs/>
          <w:szCs w:val="24"/>
        </w:rPr>
      </w:pPr>
      <w:r>
        <w:rPr>
          <w:rFonts w:hint="eastAsia" w:cs="宋体"/>
          <w:b w:val="0"/>
          <w:bCs/>
          <w:szCs w:val="24"/>
        </w:rPr>
        <w:t>支持通过身份证、医保卡、人口信息库等自动获取患者信息后，自动生成电子健康码，实现全院“一码通”。</w:t>
      </w:r>
    </w:p>
    <w:p>
      <w:pPr>
        <w:wordWrap/>
        <w:spacing w:line="360" w:lineRule="auto"/>
        <w:ind w:left="0" w:leftChars="0" w:firstLine="480" w:firstLineChars="200"/>
        <w:rPr>
          <w:rFonts w:hint="eastAsia" w:cs="宋体"/>
          <w:b w:val="0"/>
          <w:bCs/>
          <w:szCs w:val="24"/>
        </w:rPr>
      </w:pPr>
      <w:r>
        <w:rPr>
          <w:rFonts w:hint="eastAsia" w:cs="宋体"/>
          <w:b w:val="0"/>
          <w:bCs/>
          <w:szCs w:val="24"/>
        </w:rPr>
        <w:t>3.7电子发票接入</w:t>
      </w:r>
    </w:p>
    <w:p>
      <w:pPr>
        <w:wordWrap/>
        <w:spacing w:line="360" w:lineRule="auto"/>
        <w:ind w:left="0" w:leftChars="0" w:firstLine="480" w:firstLineChars="200"/>
        <w:rPr>
          <w:rFonts w:hint="eastAsia" w:cs="宋体"/>
          <w:b w:val="0"/>
          <w:bCs/>
          <w:szCs w:val="24"/>
        </w:rPr>
      </w:pPr>
      <w:r>
        <w:rPr>
          <w:rFonts w:hint="eastAsia" w:cs="宋体"/>
          <w:b w:val="0"/>
          <w:bCs/>
          <w:szCs w:val="24"/>
        </w:rPr>
        <w:t>按电子发票系统接口进行改造，将票据信息发送到财政局票据系统。支持门诊发票、住院发票等多种票据类型。</w:t>
      </w:r>
    </w:p>
    <w:p>
      <w:pPr>
        <w:wordWrap/>
        <w:spacing w:line="360" w:lineRule="auto"/>
        <w:ind w:left="0" w:leftChars="0" w:firstLine="480" w:firstLineChars="200"/>
        <w:rPr>
          <w:rFonts w:hint="eastAsia" w:cs="宋体"/>
          <w:b w:val="0"/>
          <w:bCs/>
          <w:szCs w:val="24"/>
        </w:rPr>
      </w:pPr>
      <w:r>
        <w:rPr>
          <w:rFonts w:hint="eastAsia" w:cs="宋体"/>
          <w:b w:val="0"/>
          <w:bCs/>
          <w:szCs w:val="24"/>
        </w:rPr>
        <w:t>3.8互联网服务系统</w:t>
      </w:r>
    </w:p>
    <w:p>
      <w:pPr>
        <w:wordWrap/>
        <w:spacing w:line="360" w:lineRule="auto"/>
        <w:ind w:left="0" w:leftChars="0" w:firstLine="480" w:firstLineChars="200"/>
        <w:rPr>
          <w:rFonts w:hint="eastAsia" w:cs="宋体"/>
          <w:b w:val="0"/>
          <w:bCs/>
          <w:szCs w:val="24"/>
        </w:rPr>
      </w:pPr>
      <w:r>
        <w:rPr>
          <w:rFonts w:hint="eastAsia" w:cs="宋体"/>
          <w:b w:val="0"/>
          <w:bCs/>
          <w:szCs w:val="24"/>
        </w:rPr>
        <w:t>3.8.1预约挂号</w:t>
      </w:r>
    </w:p>
    <w:p>
      <w:pPr>
        <w:wordWrap/>
        <w:spacing w:line="360" w:lineRule="auto"/>
        <w:ind w:left="0" w:leftChars="0" w:firstLine="480" w:firstLineChars="200"/>
        <w:rPr>
          <w:rFonts w:hint="eastAsia" w:cs="宋体"/>
          <w:b w:val="0"/>
          <w:bCs/>
          <w:szCs w:val="24"/>
        </w:rPr>
      </w:pPr>
      <w:r>
        <w:rPr>
          <w:rFonts w:hint="eastAsia" w:cs="宋体"/>
          <w:b w:val="0"/>
          <w:bCs/>
          <w:szCs w:val="24"/>
        </w:rPr>
        <w:t>对未来一周门诊科室排班进行查询、预约、挂号并获取就诊号， 就诊日凭就诊号直接到科室就诊。</w:t>
      </w:r>
    </w:p>
    <w:p>
      <w:pPr>
        <w:wordWrap/>
        <w:spacing w:line="360" w:lineRule="auto"/>
        <w:ind w:left="0" w:leftChars="0" w:firstLine="480" w:firstLineChars="200"/>
        <w:rPr>
          <w:rFonts w:hint="eastAsia" w:cs="宋体"/>
          <w:b w:val="0"/>
          <w:bCs/>
          <w:szCs w:val="24"/>
        </w:rPr>
      </w:pPr>
      <w:r>
        <w:rPr>
          <w:rFonts w:hint="eastAsia" w:cs="宋体"/>
          <w:b w:val="0"/>
          <w:bCs/>
          <w:szCs w:val="24"/>
        </w:rPr>
        <w:t>3.8.2在线缴费</w:t>
      </w:r>
    </w:p>
    <w:p>
      <w:pPr>
        <w:wordWrap/>
        <w:spacing w:line="360" w:lineRule="auto"/>
        <w:ind w:left="0" w:leftChars="0" w:firstLine="480" w:firstLineChars="200"/>
        <w:rPr>
          <w:rFonts w:hint="eastAsia" w:cs="宋体"/>
          <w:b w:val="0"/>
          <w:bCs/>
          <w:szCs w:val="24"/>
        </w:rPr>
      </w:pPr>
      <w:r>
        <w:rPr>
          <w:rFonts w:hint="eastAsia" w:cs="宋体"/>
          <w:b w:val="0"/>
          <w:bCs/>
          <w:szCs w:val="24"/>
        </w:rPr>
        <w:t>支持支付门诊诊疗过程中的各种费用、住院预缴金、缴门诊诊查费、缴费查询。</w:t>
      </w:r>
    </w:p>
    <w:p>
      <w:pPr>
        <w:wordWrap/>
        <w:spacing w:line="360" w:lineRule="auto"/>
        <w:ind w:left="0" w:leftChars="0" w:firstLine="480" w:firstLineChars="200"/>
        <w:rPr>
          <w:rFonts w:hint="eastAsia" w:cs="宋体"/>
          <w:b w:val="0"/>
          <w:bCs/>
          <w:szCs w:val="24"/>
        </w:rPr>
      </w:pPr>
      <w:r>
        <w:rPr>
          <w:rFonts w:hint="eastAsia" w:cs="宋体"/>
          <w:b w:val="0"/>
          <w:bCs/>
          <w:szCs w:val="24"/>
        </w:rPr>
        <w:t>3.8.3信息查询</w:t>
      </w:r>
    </w:p>
    <w:p>
      <w:pPr>
        <w:wordWrap/>
        <w:spacing w:line="360" w:lineRule="auto"/>
        <w:ind w:left="0" w:leftChars="0" w:firstLine="480" w:firstLineChars="200"/>
        <w:rPr>
          <w:rFonts w:hint="eastAsia" w:cs="宋体"/>
          <w:b w:val="0"/>
          <w:bCs/>
          <w:szCs w:val="24"/>
        </w:rPr>
      </w:pPr>
      <w:r>
        <w:rPr>
          <w:rFonts w:hint="eastAsia" w:cs="宋体"/>
          <w:b w:val="0"/>
          <w:bCs/>
          <w:szCs w:val="24"/>
        </w:rPr>
        <w:t>支持查看检查报告、检验报告、体检报告、费用记录、预约记录、门诊病历。</w:t>
      </w:r>
    </w:p>
    <w:p>
      <w:pPr>
        <w:wordWrap/>
        <w:spacing w:line="360" w:lineRule="auto"/>
        <w:ind w:left="0" w:leftChars="0" w:firstLine="480" w:firstLineChars="200"/>
        <w:rPr>
          <w:rFonts w:hint="eastAsia" w:cs="宋体"/>
          <w:b w:val="0"/>
          <w:bCs/>
          <w:szCs w:val="24"/>
        </w:rPr>
      </w:pPr>
      <w:r>
        <w:rPr>
          <w:rFonts w:hint="eastAsia" w:cs="宋体"/>
          <w:b w:val="0"/>
          <w:bCs/>
          <w:szCs w:val="24"/>
        </w:rPr>
        <w:t>3.8.4就医指南</w:t>
      </w:r>
    </w:p>
    <w:p>
      <w:pPr>
        <w:wordWrap/>
        <w:spacing w:line="360" w:lineRule="auto"/>
        <w:ind w:left="0" w:leftChars="0" w:firstLine="480" w:firstLineChars="200"/>
        <w:rPr>
          <w:rFonts w:hint="eastAsia" w:cs="宋体"/>
          <w:b w:val="0"/>
          <w:bCs/>
          <w:szCs w:val="24"/>
        </w:rPr>
      </w:pPr>
      <w:r>
        <w:rPr>
          <w:rFonts w:hint="eastAsia" w:cs="宋体"/>
          <w:b w:val="0"/>
          <w:bCs/>
          <w:szCs w:val="24"/>
        </w:rPr>
        <w:t>支持医院简介、院内导航、院外导航、特色科室查询、专家介绍浏览、实时叫号查询。</w:t>
      </w:r>
    </w:p>
    <w:p>
      <w:pPr>
        <w:wordWrap/>
        <w:spacing w:line="360" w:lineRule="auto"/>
        <w:ind w:left="0" w:leftChars="0" w:firstLine="480" w:firstLineChars="200"/>
        <w:rPr>
          <w:rFonts w:hint="eastAsia" w:cs="宋体"/>
          <w:b w:val="0"/>
          <w:bCs/>
          <w:szCs w:val="24"/>
        </w:rPr>
      </w:pPr>
      <w:r>
        <w:rPr>
          <w:rFonts w:hint="eastAsia" w:cs="宋体"/>
          <w:b w:val="0"/>
          <w:bCs/>
          <w:szCs w:val="24"/>
        </w:rPr>
        <w:t>3.9门诊挂号系统</w:t>
      </w:r>
    </w:p>
    <w:p>
      <w:pPr>
        <w:wordWrap/>
        <w:spacing w:line="360" w:lineRule="auto"/>
        <w:ind w:left="0" w:leftChars="0" w:firstLine="480" w:firstLineChars="200"/>
        <w:rPr>
          <w:rFonts w:hint="eastAsia" w:cs="宋体"/>
          <w:b w:val="0"/>
          <w:bCs/>
          <w:szCs w:val="24"/>
        </w:rPr>
      </w:pPr>
      <w:r>
        <w:rPr>
          <w:rFonts w:hint="eastAsia" w:cs="宋体"/>
          <w:b w:val="0"/>
          <w:bCs/>
          <w:szCs w:val="24"/>
        </w:rPr>
        <w:t>3.9.1挂号</w:t>
      </w:r>
    </w:p>
    <w:p>
      <w:pPr>
        <w:wordWrap/>
        <w:spacing w:line="360" w:lineRule="auto"/>
        <w:ind w:left="0" w:leftChars="0" w:firstLine="480" w:firstLineChars="200"/>
        <w:rPr>
          <w:rFonts w:hint="eastAsia" w:cs="宋体"/>
          <w:b w:val="0"/>
          <w:bCs/>
          <w:szCs w:val="24"/>
        </w:rPr>
      </w:pPr>
      <w:r>
        <w:rPr>
          <w:rFonts w:hint="eastAsia" w:cs="宋体"/>
          <w:b w:val="0"/>
          <w:bCs/>
          <w:szCs w:val="24"/>
        </w:rPr>
        <w:t>▲支持医保、公费、自费等多种身份的病人挂号，挂号时同时收取工本费、卡费等其他费用，挂号时能够选择患者类型，挂号时选择打印小票或发票信息。</w:t>
      </w:r>
    </w:p>
    <w:p>
      <w:pPr>
        <w:wordWrap/>
        <w:spacing w:line="360" w:lineRule="auto"/>
        <w:ind w:left="0" w:leftChars="0" w:firstLine="480" w:firstLineChars="200"/>
        <w:rPr>
          <w:rFonts w:hint="eastAsia" w:cs="宋体"/>
          <w:b w:val="0"/>
          <w:bCs/>
          <w:szCs w:val="24"/>
        </w:rPr>
      </w:pPr>
      <w:r>
        <w:rPr>
          <w:rFonts w:hint="eastAsia" w:cs="宋体"/>
          <w:b w:val="0"/>
          <w:bCs/>
          <w:szCs w:val="24"/>
        </w:rPr>
        <w:t>3.9.2退号/换号</w:t>
      </w:r>
    </w:p>
    <w:p>
      <w:pPr>
        <w:wordWrap/>
        <w:spacing w:line="360" w:lineRule="auto"/>
        <w:ind w:left="0" w:leftChars="0" w:firstLine="480" w:firstLineChars="200"/>
        <w:rPr>
          <w:rFonts w:hint="eastAsia" w:cs="宋体"/>
          <w:b w:val="0"/>
          <w:bCs/>
          <w:szCs w:val="24"/>
        </w:rPr>
      </w:pPr>
      <w:r>
        <w:rPr>
          <w:rFonts w:hint="eastAsia" w:cs="宋体"/>
          <w:b w:val="0"/>
          <w:bCs/>
          <w:szCs w:val="24"/>
        </w:rPr>
        <w:t>通过读取就诊卡信息等方式，显示对应的允许退号的有效挂号信息，完成病人退号（同时费用退回到就诊上）。</w:t>
      </w:r>
    </w:p>
    <w:p>
      <w:pPr>
        <w:wordWrap/>
        <w:spacing w:line="360" w:lineRule="auto"/>
        <w:ind w:left="0" w:leftChars="0" w:firstLine="480" w:firstLineChars="200"/>
        <w:rPr>
          <w:rFonts w:hint="eastAsia" w:cs="宋体"/>
          <w:b w:val="0"/>
          <w:bCs/>
          <w:szCs w:val="24"/>
        </w:rPr>
      </w:pPr>
      <w:r>
        <w:rPr>
          <w:rFonts w:hint="eastAsia" w:cs="宋体"/>
          <w:b w:val="0"/>
          <w:bCs/>
          <w:szCs w:val="24"/>
        </w:rPr>
        <w:t>3.9.3排班</w:t>
      </w:r>
    </w:p>
    <w:p>
      <w:pPr>
        <w:wordWrap/>
        <w:spacing w:line="360" w:lineRule="auto"/>
        <w:ind w:left="0" w:leftChars="0" w:firstLine="480" w:firstLineChars="200"/>
        <w:rPr>
          <w:rFonts w:hint="eastAsia" w:cs="宋体"/>
          <w:b w:val="0"/>
          <w:bCs/>
          <w:szCs w:val="24"/>
        </w:rPr>
      </w:pPr>
      <w:r>
        <w:rPr>
          <w:rFonts w:hint="eastAsia" w:cs="宋体"/>
          <w:b w:val="0"/>
          <w:bCs/>
          <w:szCs w:val="24"/>
        </w:rPr>
        <w:t>支持临时添加坐诊医生，根据挂号来源不同例如窗口挂号、移动端挂号定义限号数量。</w:t>
      </w:r>
    </w:p>
    <w:p>
      <w:pPr>
        <w:wordWrap/>
        <w:spacing w:line="360" w:lineRule="auto"/>
        <w:ind w:left="0" w:leftChars="0" w:firstLine="480" w:firstLineChars="200"/>
        <w:rPr>
          <w:rFonts w:hint="eastAsia" w:cs="宋体"/>
          <w:b w:val="0"/>
          <w:bCs/>
          <w:szCs w:val="24"/>
        </w:rPr>
      </w:pPr>
      <w:r>
        <w:rPr>
          <w:rFonts w:hint="eastAsia" w:cs="宋体"/>
          <w:b w:val="0"/>
          <w:bCs/>
          <w:szCs w:val="24"/>
        </w:rPr>
        <w:t>3.10统一预约系统</w:t>
      </w:r>
    </w:p>
    <w:p>
      <w:pPr>
        <w:wordWrap/>
        <w:spacing w:line="360" w:lineRule="auto"/>
        <w:ind w:left="0" w:leftChars="0" w:firstLine="480" w:firstLineChars="200"/>
        <w:rPr>
          <w:rFonts w:hint="eastAsia" w:cs="宋体"/>
          <w:b w:val="0"/>
          <w:bCs/>
          <w:szCs w:val="24"/>
        </w:rPr>
      </w:pPr>
      <w:r>
        <w:rPr>
          <w:rFonts w:hint="eastAsia" w:cs="宋体"/>
          <w:b w:val="0"/>
          <w:bCs/>
          <w:szCs w:val="24"/>
        </w:rPr>
        <w:t>3.10.1基本业务</w:t>
      </w:r>
    </w:p>
    <w:p>
      <w:pPr>
        <w:wordWrap/>
        <w:spacing w:line="360" w:lineRule="auto"/>
        <w:ind w:left="0" w:leftChars="0" w:firstLine="480" w:firstLineChars="200"/>
        <w:rPr>
          <w:rFonts w:hint="eastAsia" w:cs="宋体"/>
          <w:b w:val="0"/>
          <w:bCs/>
          <w:szCs w:val="24"/>
        </w:rPr>
      </w:pPr>
      <w:r>
        <w:rPr>
          <w:rFonts w:hint="eastAsia" w:cs="宋体"/>
          <w:b w:val="0"/>
          <w:bCs/>
          <w:szCs w:val="24"/>
        </w:rPr>
        <w:t>▲支持资源排班：对全院可预约资源进行统一的排班管理，临时添加坐诊医生，依据班次信息定义坐诊医生号类及号源总数，停诊、替诊功能。</w:t>
      </w:r>
    </w:p>
    <w:p>
      <w:pPr>
        <w:wordWrap/>
        <w:spacing w:line="360" w:lineRule="auto"/>
        <w:ind w:left="0" w:leftChars="0" w:firstLine="480" w:firstLineChars="200"/>
        <w:rPr>
          <w:rFonts w:hint="eastAsia" w:cs="宋体"/>
          <w:b w:val="0"/>
          <w:bCs/>
          <w:szCs w:val="24"/>
        </w:rPr>
      </w:pPr>
      <w:r>
        <w:rPr>
          <w:rFonts w:hint="eastAsia" w:cs="宋体"/>
          <w:b w:val="0"/>
          <w:bCs/>
          <w:szCs w:val="24"/>
        </w:rPr>
        <w:t>支持全面预约：根据不同场景，不同权限进行系统预约。根据人员信息、时段信息进行分类预约。</w:t>
      </w:r>
    </w:p>
    <w:p>
      <w:pPr>
        <w:wordWrap/>
        <w:spacing w:line="360" w:lineRule="auto"/>
        <w:ind w:left="0" w:leftChars="0" w:firstLine="480" w:firstLineChars="200"/>
        <w:rPr>
          <w:rFonts w:hint="eastAsia" w:cs="宋体"/>
          <w:b w:val="0"/>
          <w:bCs/>
          <w:szCs w:val="24"/>
        </w:rPr>
      </w:pPr>
      <w:r>
        <w:rPr>
          <w:rFonts w:hint="eastAsia" w:cs="宋体"/>
          <w:b w:val="0"/>
          <w:bCs/>
          <w:szCs w:val="24"/>
        </w:rPr>
        <w:t>3.10.2短信通知服务</w:t>
      </w:r>
    </w:p>
    <w:p>
      <w:pPr>
        <w:wordWrap/>
        <w:spacing w:line="360" w:lineRule="auto"/>
        <w:ind w:left="0" w:leftChars="0" w:firstLine="480" w:firstLineChars="200"/>
        <w:rPr>
          <w:rFonts w:hint="eastAsia" w:cs="宋体"/>
          <w:b w:val="0"/>
          <w:bCs/>
          <w:szCs w:val="24"/>
        </w:rPr>
      </w:pPr>
      <w:r>
        <w:rPr>
          <w:rFonts w:hint="eastAsia" w:cs="宋体"/>
          <w:b w:val="0"/>
          <w:bCs/>
          <w:szCs w:val="24"/>
        </w:rPr>
        <w:t>支持通过短信通知服务推送预约进度信息。</w:t>
      </w:r>
    </w:p>
    <w:p>
      <w:pPr>
        <w:wordWrap/>
        <w:spacing w:line="360" w:lineRule="auto"/>
        <w:ind w:left="0" w:leftChars="0" w:firstLine="480" w:firstLineChars="200"/>
        <w:rPr>
          <w:rFonts w:hint="eastAsia" w:cs="宋体"/>
          <w:b w:val="0"/>
          <w:bCs/>
          <w:szCs w:val="24"/>
        </w:rPr>
      </w:pPr>
      <w:r>
        <w:rPr>
          <w:rFonts w:hint="eastAsia" w:cs="宋体"/>
          <w:b w:val="0"/>
          <w:bCs/>
          <w:szCs w:val="24"/>
        </w:rPr>
        <w:t>3.11排队叫号系统</w:t>
      </w:r>
    </w:p>
    <w:p>
      <w:pPr>
        <w:wordWrap/>
        <w:spacing w:line="360" w:lineRule="auto"/>
        <w:ind w:left="0" w:leftChars="0" w:firstLine="480" w:firstLineChars="200"/>
        <w:rPr>
          <w:rFonts w:hint="eastAsia" w:cs="宋体"/>
          <w:b w:val="0"/>
          <w:bCs/>
          <w:szCs w:val="24"/>
        </w:rPr>
      </w:pPr>
      <w:r>
        <w:rPr>
          <w:rFonts w:hint="eastAsia" w:cs="宋体"/>
          <w:b w:val="0"/>
          <w:bCs/>
          <w:szCs w:val="24"/>
        </w:rPr>
        <w:t>3.11.1显示大屏</w:t>
      </w:r>
    </w:p>
    <w:p>
      <w:pPr>
        <w:wordWrap/>
        <w:spacing w:line="360" w:lineRule="auto"/>
        <w:ind w:left="0" w:leftChars="0" w:firstLine="480" w:firstLineChars="200"/>
        <w:rPr>
          <w:rFonts w:hint="eastAsia" w:cs="宋体"/>
          <w:b w:val="0"/>
          <w:bCs/>
          <w:szCs w:val="24"/>
        </w:rPr>
      </w:pPr>
      <w:r>
        <w:rPr>
          <w:rFonts w:hint="eastAsia" w:cs="宋体"/>
          <w:b w:val="0"/>
          <w:bCs/>
          <w:szCs w:val="24"/>
        </w:rPr>
        <w:t>系统支持显示报到候诊病人信息。显示检查病人姓名、流水号和检查地点的显示，语音呼叫。支持排队顺序的调整功能。</w:t>
      </w:r>
    </w:p>
    <w:p>
      <w:pPr>
        <w:wordWrap/>
        <w:spacing w:line="360" w:lineRule="auto"/>
        <w:ind w:left="0" w:leftChars="0" w:firstLine="480" w:firstLineChars="200"/>
        <w:rPr>
          <w:rFonts w:hint="eastAsia" w:cs="宋体"/>
          <w:b w:val="0"/>
          <w:bCs/>
          <w:szCs w:val="24"/>
        </w:rPr>
      </w:pPr>
      <w:r>
        <w:rPr>
          <w:rFonts w:hint="eastAsia" w:cs="宋体"/>
          <w:b w:val="0"/>
          <w:bCs/>
          <w:szCs w:val="24"/>
        </w:rPr>
        <w:t>3.11.2门诊排号</w:t>
      </w:r>
    </w:p>
    <w:p>
      <w:pPr>
        <w:wordWrap/>
        <w:spacing w:line="360" w:lineRule="auto"/>
        <w:ind w:left="0" w:leftChars="0" w:firstLine="480" w:firstLineChars="200"/>
        <w:rPr>
          <w:rFonts w:hint="eastAsia" w:cs="宋体"/>
          <w:b w:val="0"/>
          <w:bCs/>
          <w:szCs w:val="24"/>
        </w:rPr>
      </w:pPr>
      <w:r>
        <w:rPr>
          <w:rFonts w:hint="eastAsia" w:cs="宋体"/>
          <w:b w:val="0"/>
          <w:bCs/>
          <w:szCs w:val="24"/>
        </w:rPr>
        <w:t>支持通过二维码扫码读取患者信息、登记患者就诊诊室、实时查看已就诊人次信息、待检人次信息、已检人次信息。</w:t>
      </w:r>
    </w:p>
    <w:p>
      <w:pPr>
        <w:wordWrap/>
        <w:spacing w:line="360" w:lineRule="auto"/>
        <w:ind w:left="0" w:leftChars="0" w:firstLine="480" w:firstLineChars="200"/>
        <w:rPr>
          <w:rFonts w:hint="eastAsia" w:cs="宋体"/>
          <w:b w:val="0"/>
          <w:bCs/>
          <w:szCs w:val="24"/>
        </w:rPr>
      </w:pPr>
      <w:r>
        <w:rPr>
          <w:rFonts w:hint="eastAsia" w:cs="宋体"/>
          <w:b w:val="0"/>
          <w:bCs/>
          <w:szCs w:val="24"/>
        </w:rPr>
        <w:t>3.11.3医技排号</w:t>
      </w:r>
    </w:p>
    <w:p>
      <w:pPr>
        <w:wordWrap/>
        <w:spacing w:line="360" w:lineRule="auto"/>
        <w:ind w:left="0" w:leftChars="0" w:firstLine="480" w:firstLineChars="200"/>
        <w:rPr>
          <w:rFonts w:hint="eastAsia" w:cs="宋体"/>
          <w:b w:val="0"/>
          <w:bCs/>
          <w:szCs w:val="24"/>
        </w:rPr>
      </w:pPr>
      <w:r>
        <w:rPr>
          <w:rFonts w:hint="eastAsia" w:cs="宋体"/>
          <w:b w:val="0"/>
          <w:bCs/>
          <w:szCs w:val="24"/>
        </w:rPr>
        <w:t>支持根据医技设备进行分类排号，排号时读取患者申请单信息，按申请单进行分次排号，实时查看已就诊人次信息、待检人次信息、已检人次信息。</w:t>
      </w:r>
    </w:p>
    <w:p>
      <w:pPr>
        <w:wordWrap/>
        <w:spacing w:line="360" w:lineRule="auto"/>
        <w:ind w:left="0" w:leftChars="0" w:firstLine="480" w:firstLineChars="200"/>
        <w:rPr>
          <w:rFonts w:hint="eastAsia" w:cs="宋体"/>
          <w:b w:val="0"/>
          <w:bCs/>
          <w:szCs w:val="24"/>
        </w:rPr>
      </w:pPr>
      <w:r>
        <w:rPr>
          <w:rFonts w:hint="eastAsia" w:cs="宋体"/>
          <w:b w:val="0"/>
          <w:bCs/>
          <w:szCs w:val="24"/>
        </w:rPr>
        <w:t>3.11.4药房排号</w:t>
      </w:r>
    </w:p>
    <w:p>
      <w:pPr>
        <w:wordWrap/>
        <w:spacing w:line="360" w:lineRule="auto"/>
        <w:ind w:left="0" w:leftChars="0" w:firstLine="480" w:firstLineChars="200"/>
        <w:rPr>
          <w:rFonts w:hint="eastAsia" w:cs="宋体"/>
          <w:b w:val="0"/>
          <w:bCs/>
          <w:szCs w:val="24"/>
        </w:rPr>
      </w:pPr>
      <w:r>
        <w:rPr>
          <w:rFonts w:hint="eastAsia" w:cs="宋体"/>
          <w:b w:val="0"/>
          <w:bCs/>
          <w:szCs w:val="24"/>
        </w:rPr>
        <w:t>支持根据发药量自动平均分配发药窗口，对接取号自助机，由取号自助机取号后，确认现场签到。</w:t>
      </w:r>
    </w:p>
    <w:p>
      <w:pPr>
        <w:wordWrap/>
        <w:spacing w:line="360" w:lineRule="auto"/>
        <w:ind w:left="0" w:leftChars="0" w:firstLine="480" w:firstLineChars="200"/>
        <w:rPr>
          <w:rFonts w:hint="eastAsia" w:cs="宋体"/>
          <w:b w:val="0"/>
          <w:bCs/>
          <w:szCs w:val="24"/>
        </w:rPr>
      </w:pPr>
      <w:r>
        <w:rPr>
          <w:rFonts w:hint="eastAsia" w:cs="宋体"/>
          <w:b w:val="0"/>
          <w:bCs/>
          <w:szCs w:val="24"/>
        </w:rPr>
        <w:t>3.12诊间支付系统</w:t>
      </w:r>
    </w:p>
    <w:p>
      <w:pPr>
        <w:wordWrap/>
        <w:spacing w:line="360" w:lineRule="auto"/>
        <w:ind w:left="0" w:leftChars="0" w:firstLine="480" w:firstLineChars="200"/>
        <w:rPr>
          <w:rFonts w:hint="eastAsia" w:cs="宋体"/>
          <w:b w:val="0"/>
          <w:bCs/>
          <w:szCs w:val="24"/>
        </w:rPr>
      </w:pPr>
      <w:r>
        <w:rPr>
          <w:rFonts w:hint="eastAsia" w:cs="宋体"/>
          <w:b w:val="0"/>
          <w:bCs/>
          <w:szCs w:val="24"/>
        </w:rPr>
        <w:t>能够通过医生工作站调取诊间支付功能。诊间支付支持卡付费、微信、支付宝等多种模式缴费。</w:t>
      </w:r>
    </w:p>
    <w:p>
      <w:pPr>
        <w:wordWrap/>
        <w:spacing w:line="360" w:lineRule="auto"/>
        <w:ind w:left="0" w:leftChars="0" w:firstLine="480" w:firstLineChars="200"/>
        <w:rPr>
          <w:rFonts w:hint="eastAsia" w:cs="宋体"/>
          <w:b w:val="0"/>
          <w:bCs/>
          <w:szCs w:val="24"/>
        </w:rPr>
      </w:pPr>
      <w:r>
        <w:rPr>
          <w:rFonts w:hint="eastAsia" w:cs="宋体"/>
          <w:b w:val="0"/>
          <w:bCs/>
          <w:szCs w:val="24"/>
        </w:rPr>
        <w:t>3.13满意度评价系统</w:t>
      </w:r>
    </w:p>
    <w:p>
      <w:pPr>
        <w:wordWrap/>
        <w:spacing w:line="360" w:lineRule="auto"/>
        <w:ind w:left="0" w:leftChars="0" w:firstLine="480" w:firstLineChars="200"/>
        <w:rPr>
          <w:rFonts w:hint="eastAsia" w:cs="宋体"/>
          <w:b w:val="0"/>
          <w:bCs/>
          <w:szCs w:val="24"/>
        </w:rPr>
      </w:pPr>
      <w:r>
        <w:rPr>
          <w:rFonts w:hint="eastAsia" w:cs="宋体"/>
          <w:b w:val="0"/>
          <w:bCs/>
          <w:szCs w:val="24"/>
        </w:rPr>
        <w:t>支持满意度调查项目定义；满意度调查内容定义；满意度调查分类汇与分析；满意度调查条件查询。</w:t>
      </w:r>
    </w:p>
    <w:p>
      <w:pPr>
        <w:wordWrap/>
        <w:spacing w:line="360" w:lineRule="auto"/>
        <w:ind w:left="0" w:leftChars="0" w:firstLine="480" w:firstLineChars="200"/>
        <w:rPr>
          <w:rFonts w:hint="eastAsia" w:cs="宋体"/>
          <w:b w:val="0"/>
          <w:bCs/>
          <w:szCs w:val="24"/>
        </w:rPr>
      </w:pPr>
      <w:r>
        <w:rPr>
          <w:rFonts w:hint="eastAsia" w:cs="宋体"/>
          <w:b w:val="0"/>
          <w:bCs/>
          <w:szCs w:val="24"/>
        </w:rPr>
        <w:t>3.14信息公示系统</w:t>
      </w:r>
    </w:p>
    <w:p>
      <w:pPr>
        <w:wordWrap/>
        <w:spacing w:line="360" w:lineRule="auto"/>
        <w:ind w:left="0" w:leftChars="0" w:firstLine="480" w:firstLineChars="200"/>
        <w:rPr>
          <w:rFonts w:hint="eastAsia" w:cs="宋体"/>
          <w:b w:val="0"/>
          <w:bCs/>
          <w:szCs w:val="24"/>
        </w:rPr>
      </w:pPr>
      <w:r>
        <w:rPr>
          <w:rFonts w:hint="eastAsia" w:cs="宋体"/>
          <w:b w:val="0"/>
          <w:bCs/>
          <w:szCs w:val="24"/>
        </w:rPr>
        <w:t>3.14.1信息查询</w:t>
      </w:r>
    </w:p>
    <w:p>
      <w:pPr>
        <w:wordWrap/>
        <w:spacing w:line="360" w:lineRule="auto"/>
        <w:ind w:left="0" w:leftChars="0" w:firstLine="480" w:firstLineChars="200"/>
        <w:rPr>
          <w:rFonts w:hint="eastAsia" w:cs="宋体"/>
          <w:b w:val="0"/>
          <w:bCs/>
          <w:szCs w:val="24"/>
        </w:rPr>
      </w:pPr>
      <w:r>
        <w:rPr>
          <w:rFonts w:hint="eastAsia" w:cs="宋体"/>
          <w:b w:val="0"/>
          <w:bCs/>
          <w:szCs w:val="24"/>
        </w:rPr>
        <w:t>通过医院网站、院内电子显示屏、智能终端、移动应用等多种途径查询医疗卫生机构对外公开的相关信息。</w:t>
      </w:r>
    </w:p>
    <w:p>
      <w:pPr>
        <w:wordWrap/>
        <w:spacing w:line="360" w:lineRule="auto"/>
        <w:ind w:left="0" w:leftChars="0" w:firstLine="480" w:firstLineChars="200"/>
        <w:rPr>
          <w:rFonts w:hint="eastAsia" w:cs="宋体"/>
          <w:b w:val="0"/>
          <w:bCs/>
          <w:szCs w:val="24"/>
        </w:rPr>
      </w:pPr>
      <w:r>
        <w:rPr>
          <w:rFonts w:hint="eastAsia" w:cs="宋体"/>
          <w:b w:val="0"/>
          <w:bCs/>
          <w:szCs w:val="24"/>
        </w:rPr>
        <w:t>3.14.2信息管理</w:t>
      </w:r>
    </w:p>
    <w:p>
      <w:pPr>
        <w:wordWrap/>
        <w:spacing w:line="360" w:lineRule="auto"/>
        <w:ind w:left="0" w:leftChars="0" w:firstLine="480" w:firstLineChars="200"/>
        <w:rPr>
          <w:rFonts w:hint="eastAsia" w:cs="宋体"/>
          <w:b w:val="0"/>
          <w:bCs/>
          <w:szCs w:val="24"/>
        </w:rPr>
      </w:pPr>
      <w:r>
        <w:rPr>
          <w:rFonts w:hint="eastAsia" w:cs="宋体"/>
          <w:b w:val="0"/>
          <w:bCs/>
          <w:szCs w:val="24"/>
        </w:rPr>
        <w:t>信息分类。将公开的信息进行分类管理,例如分为医院概况、医院环境、行风建设、医防服务、服务告知、服务价格及收费等。</w:t>
      </w:r>
    </w:p>
    <w:p>
      <w:pPr>
        <w:wordWrap/>
        <w:spacing w:line="360" w:lineRule="auto"/>
        <w:ind w:left="0" w:leftChars="0" w:firstLine="480" w:firstLineChars="200"/>
        <w:rPr>
          <w:rFonts w:hint="eastAsia" w:cs="宋体"/>
          <w:b w:val="0"/>
          <w:bCs/>
          <w:szCs w:val="24"/>
        </w:rPr>
      </w:pPr>
      <w:r>
        <w:rPr>
          <w:rFonts w:hint="eastAsia" w:cs="宋体"/>
          <w:b w:val="0"/>
          <w:bCs/>
          <w:szCs w:val="24"/>
        </w:rPr>
        <w:t>3.15信息推送系统</w:t>
      </w:r>
    </w:p>
    <w:p>
      <w:pPr>
        <w:wordWrap/>
        <w:spacing w:line="360" w:lineRule="auto"/>
        <w:ind w:left="0" w:leftChars="0" w:firstLine="480" w:firstLineChars="200"/>
        <w:rPr>
          <w:rFonts w:hint="eastAsia" w:cs="宋体"/>
          <w:b w:val="0"/>
          <w:bCs/>
          <w:szCs w:val="24"/>
        </w:rPr>
      </w:pPr>
      <w:r>
        <w:rPr>
          <w:rFonts w:hint="eastAsia" w:cs="宋体"/>
          <w:b w:val="0"/>
          <w:bCs/>
          <w:szCs w:val="24"/>
        </w:rPr>
        <w:t>支持业务发送后处理，不影响现有流程操作，消息发送后，订阅端可自行决定是否响应消息(回调通知)，消息发送失败，记录预警日志并追踪消息的发送状态和处理状态。</w:t>
      </w:r>
    </w:p>
    <w:p>
      <w:pPr>
        <w:wordWrap/>
        <w:spacing w:line="360" w:lineRule="auto"/>
        <w:ind w:left="0" w:leftChars="0" w:firstLine="480" w:firstLineChars="200"/>
        <w:rPr>
          <w:rFonts w:hint="eastAsia" w:cs="宋体"/>
          <w:b w:val="0"/>
          <w:bCs/>
          <w:szCs w:val="24"/>
        </w:rPr>
      </w:pPr>
      <w:r>
        <w:rPr>
          <w:rFonts w:hint="eastAsia" w:cs="宋体"/>
          <w:b w:val="0"/>
          <w:bCs/>
          <w:szCs w:val="24"/>
        </w:rPr>
        <w:t>3.16门诊医师系统</w:t>
      </w:r>
    </w:p>
    <w:p>
      <w:pPr>
        <w:wordWrap/>
        <w:spacing w:line="360" w:lineRule="auto"/>
        <w:ind w:left="0" w:leftChars="0" w:firstLine="480" w:firstLineChars="200"/>
        <w:rPr>
          <w:rFonts w:hint="eastAsia" w:cs="宋体"/>
          <w:b w:val="0"/>
          <w:bCs/>
          <w:szCs w:val="24"/>
        </w:rPr>
      </w:pPr>
      <w:r>
        <w:rPr>
          <w:rFonts w:hint="eastAsia" w:cs="宋体"/>
          <w:b w:val="0"/>
          <w:bCs/>
          <w:szCs w:val="24"/>
        </w:rPr>
        <w:t>3.16.1基本功能</w:t>
      </w:r>
    </w:p>
    <w:p>
      <w:pPr>
        <w:wordWrap/>
        <w:spacing w:line="360" w:lineRule="auto"/>
        <w:ind w:left="0" w:leftChars="0" w:firstLine="480" w:firstLineChars="200"/>
        <w:rPr>
          <w:rFonts w:hint="eastAsia" w:cs="宋体"/>
          <w:b w:val="0"/>
          <w:bCs/>
          <w:szCs w:val="24"/>
        </w:rPr>
      </w:pPr>
      <w:r>
        <w:rPr>
          <w:rFonts w:hint="eastAsia" w:cs="宋体"/>
          <w:b w:val="0"/>
          <w:bCs/>
          <w:szCs w:val="24"/>
        </w:rPr>
        <w:t>支持扫码或读卡获取病人基本信息、查询患者历史就诊信息、根据不同医保类别给医生做出相关提示信息。</w:t>
      </w:r>
    </w:p>
    <w:p>
      <w:pPr>
        <w:wordWrap/>
        <w:spacing w:line="360" w:lineRule="auto"/>
        <w:ind w:left="0" w:leftChars="0" w:firstLine="480" w:firstLineChars="200"/>
        <w:rPr>
          <w:rFonts w:hint="eastAsia" w:cs="宋体"/>
          <w:b w:val="0"/>
          <w:bCs/>
          <w:szCs w:val="24"/>
        </w:rPr>
      </w:pPr>
      <w:r>
        <w:rPr>
          <w:rFonts w:hint="eastAsia" w:cs="宋体"/>
          <w:b w:val="0"/>
          <w:bCs/>
          <w:szCs w:val="24"/>
        </w:rPr>
        <w:t xml:space="preserve">提供候诊列表，显示姓名、性别、年龄、预约类型、就诊流水号等。叫号界面“恢复叫号”按钮针对与过号患者，点击恢复叫号，患者会重现出现在叫号大屏队列中。 </w:t>
      </w:r>
    </w:p>
    <w:p>
      <w:pPr>
        <w:wordWrap/>
        <w:spacing w:line="360" w:lineRule="auto"/>
        <w:ind w:left="0" w:leftChars="0" w:firstLine="480" w:firstLineChars="200"/>
        <w:rPr>
          <w:rFonts w:hint="eastAsia" w:cs="宋体"/>
          <w:b w:val="0"/>
          <w:bCs/>
          <w:szCs w:val="24"/>
        </w:rPr>
      </w:pPr>
      <w:r>
        <w:rPr>
          <w:rFonts w:hint="eastAsia" w:cs="宋体"/>
          <w:b w:val="0"/>
          <w:bCs/>
          <w:szCs w:val="24"/>
        </w:rPr>
        <w:t>支持门诊医生开立住院证并打印，可填写建议预交金信息，并实时了解各病区剩余床位数，以及查看患者历史病历、检验检查信息。</w:t>
      </w:r>
    </w:p>
    <w:p>
      <w:pPr>
        <w:wordWrap/>
        <w:spacing w:line="360" w:lineRule="auto"/>
        <w:ind w:left="0" w:leftChars="0" w:firstLine="480" w:firstLineChars="200"/>
        <w:rPr>
          <w:rFonts w:hint="eastAsia" w:cs="宋体"/>
          <w:b w:val="0"/>
          <w:bCs/>
          <w:szCs w:val="24"/>
        </w:rPr>
      </w:pPr>
      <w:r>
        <w:rPr>
          <w:rFonts w:hint="eastAsia" w:cs="宋体"/>
          <w:b w:val="0"/>
          <w:bCs/>
          <w:szCs w:val="24"/>
        </w:rPr>
        <w:t>3.16.2门诊诊断</w:t>
      </w:r>
    </w:p>
    <w:p>
      <w:pPr>
        <w:wordWrap/>
        <w:spacing w:line="360" w:lineRule="auto"/>
        <w:ind w:left="0" w:leftChars="0" w:firstLine="480" w:firstLineChars="200"/>
        <w:rPr>
          <w:rFonts w:hint="eastAsia" w:cs="宋体"/>
          <w:b w:val="0"/>
          <w:bCs/>
          <w:szCs w:val="24"/>
        </w:rPr>
      </w:pPr>
      <w:r>
        <w:rPr>
          <w:rFonts w:hint="eastAsia" w:cs="宋体"/>
          <w:b w:val="0"/>
          <w:bCs/>
          <w:szCs w:val="24"/>
        </w:rPr>
        <w:t>提供西医ICD10诊断码输入，提供个人常用、科室常用等便捷输入方式，并查看患者历次治疗的诊断信息。</w:t>
      </w:r>
    </w:p>
    <w:p>
      <w:pPr>
        <w:wordWrap/>
        <w:spacing w:line="360" w:lineRule="auto"/>
        <w:ind w:left="0" w:leftChars="0" w:firstLine="480" w:firstLineChars="200"/>
        <w:rPr>
          <w:rFonts w:hint="eastAsia" w:cs="宋体"/>
          <w:b w:val="0"/>
          <w:bCs/>
          <w:szCs w:val="24"/>
        </w:rPr>
      </w:pPr>
      <w:r>
        <w:rPr>
          <w:rFonts w:hint="eastAsia" w:cs="宋体"/>
          <w:b w:val="0"/>
          <w:bCs/>
          <w:szCs w:val="24"/>
        </w:rPr>
        <w:t>支持在历史诊断中根据诊断类型进行分类，区分中西医诊断，诊断录入支持模糊查询。</w:t>
      </w:r>
    </w:p>
    <w:p>
      <w:pPr>
        <w:wordWrap/>
        <w:spacing w:line="360" w:lineRule="auto"/>
        <w:ind w:left="0" w:leftChars="0" w:firstLine="480" w:firstLineChars="200"/>
        <w:rPr>
          <w:rFonts w:hint="eastAsia" w:cs="宋体"/>
          <w:b w:val="0"/>
          <w:bCs/>
          <w:szCs w:val="24"/>
        </w:rPr>
      </w:pPr>
      <w:r>
        <w:rPr>
          <w:rFonts w:hint="eastAsia" w:cs="宋体"/>
          <w:b w:val="0"/>
          <w:bCs/>
          <w:szCs w:val="24"/>
        </w:rPr>
        <w:t>3.16.3门诊问诊</w:t>
      </w:r>
    </w:p>
    <w:p>
      <w:pPr>
        <w:wordWrap/>
        <w:spacing w:line="360" w:lineRule="auto"/>
        <w:ind w:left="0" w:leftChars="0" w:firstLine="480" w:firstLineChars="200"/>
        <w:rPr>
          <w:rFonts w:hint="eastAsia" w:cs="宋体"/>
          <w:b w:val="0"/>
          <w:bCs/>
          <w:szCs w:val="24"/>
        </w:rPr>
      </w:pPr>
      <w:r>
        <w:rPr>
          <w:rFonts w:hint="eastAsia" w:cs="宋体"/>
          <w:b w:val="0"/>
          <w:bCs/>
          <w:szCs w:val="24"/>
        </w:rPr>
        <w:t>提供问诊信息录入功能，问诊内容可根据医院情况进行拓展。问诊项目可根据情况设置必填或选填项。</w:t>
      </w:r>
    </w:p>
    <w:p>
      <w:pPr>
        <w:wordWrap/>
        <w:spacing w:line="360" w:lineRule="auto"/>
        <w:ind w:left="0" w:leftChars="0" w:firstLine="480" w:firstLineChars="200"/>
        <w:rPr>
          <w:rFonts w:hint="eastAsia" w:cs="宋体"/>
          <w:b w:val="0"/>
          <w:bCs/>
          <w:szCs w:val="24"/>
        </w:rPr>
      </w:pPr>
      <w:r>
        <w:rPr>
          <w:rFonts w:hint="eastAsia" w:cs="宋体"/>
          <w:b w:val="0"/>
          <w:bCs/>
          <w:szCs w:val="24"/>
        </w:rPr>
        <w:t>3.16.4医嘱处理</w:t>
      </w:r>
    </w:p>
    <w:p>
      <w:pPr>
        <w:wordWrap/>
        <w:spacing w:line="360" w:lineRule="auto"/>
        <w:ind w:left="0" w:leftChars="0" w:firstLine="480" w:firstLineChars="200"/>
        <w:rPr>
          <w:rFonts w:hint="eastAsia" w:cs="宋体"/>
          <w:b w:val="0"/>
          <w:bCs/>
          <w:szCs w:val="24"/>
        </w:rPr>
      </w:pPr>
      <w:r>
        <w:rPr>
          <w:rFonts w:hint="eastAsia" w:cs="宋体"/>
          <w:b w:val="0"/>
          <w:bCs/>
          <w:szCs w:val="24"/>
        </w:rPr>
        <w:t>支持门诊手术申请及门诊输血申请功能，打印门诊申请单、导引单两种模式。</w:t>
      </w:r>
    </w:p>
    <w:p>
      <w:pPr>
        <w:wordWrap/>
        <w:spacing w:line="360" w:lineRule="auto"/>
        <w:ind w:left="0" w:leftChars="0" w:firstLine="480" w:firstLineChars="200"/>
        <w:rPr>
          <w:rFonts w:hint="eastAsia" w:cs="宋体"/>
          <w:b w:val="0"/>
          <w:bCs/>
          <w:szCs w:val="24"/>
        </w:rPr>
      </w:pPr>
      <w:r>
        <w:rPr>
          <w:rFonts w:hint="eastAsia" w:cs="宋体"/>
          <w:b w:val="0"/>
          <w:bCs/>
          <w:szCs w:val="24"/>
        </w:rPr>
        <w:t>根据医生使用习惯配置不同的个人参数。</w:t>
      </w:r>
    </w:p>
    <w:p>
      <w:pPr>
        <w:wordWrap/>
        <w:spacing w:line="360" w:lineRule="auto"/>
        <w:ind w:left="0" w:leftChars="0" w:firstLine="480" w:firstLineChars="200"/>
        <w:rPr>
          <w:rFonts w:hint="eastAsia" w:cs="宋体"/>
          <w:b w:val="0"/>
          <w:bCs/>
          <w:szCs w:val="24"/>
        </w:rPr>
      </w:pPr>
      <w:r>
        <w:rPr>
          <w:rFonts w:hint="eastAsia" w:cs="宋体"/>
          <w:b w:val="0"/>
          <w:bCs/>
          <w:szCs w:val="24"/>
        </w:rPr>
        <w:t>支持定义医院、科室、个人不同等级的模板信息，提供检查申请单、检验申请单勾选医嘱项目快速下达检查、检查申请。</w:t>
      </w:r>
    </w:p>
    <w:p>
      <w:pPr>
        <w:wordWrap/>
        <w:spacing w:line="360" w:lineRule="auto"/>
        <w:ind w:left="0" w:leftChars="0" w:firstLine="480" w:firstLineChars="200"/>
        <w:rPr>
          <w:rFonts w:hint="eastAsia" w:cs="宋体"/>
          <w:b w:val="0"/>
          <w:bCs/>
          <w:szCs w:val="24"/>
        </w:rPr>
      </w:pPr>
      <w:r>
        <w:rPr>
          <w:rFonts w:hint="eastAsia" w:cs="宋体"/>
          <w:b w:val="0"/>
          <w:bCs/>
          <w:szCs w:val="24"/>
        </w:rPr>
        <w:t>支持下达药品医嘱时，可查看项目名称、规格、价格等信息。在下达药品医嘱时，不显示无库存药品；在医嘱保存时校验库存，库存不足给予提示；下达输液、注射类药品医嘱时，输液注射费支持多种计费模式。</w:t>
      </w:r>
    </w:p>
    <w:p>
      <w:pPr>
        <w:wordWrap/>
        <w:spacing w:line="360" w:lineRule="auto"/>
        <w:ind w:left="0" w:leftChars="0" w:firstLine="480" w:firstLineChars="200"/>
        <w:rPr>
          <w:rFonts w:hint="eastAsia" w:cs="宋体"/>
          <w:b w:val="0"/>
          <w:bCs/>
          <w:szCs w:val="24"/>
        </w:rPr>
      </w:pPr>
      <w:r>
        <w:rPr>
          <w:rFonts w:hint="eastAsia" w:cs="宋体"/>
          <w:b w:val="0"/>
          <w:bCs/>
          <w:szCs w:val="24"/>
        </w:rPr>
        <w:t>3.16.</w:t>
      </w:r>
      <w:r>
        <w:rPr>
          <w:rFonts w:hint="eastAsia" w:cs="宋体"/>
          <w:b w:val="0"/>
          <w:bCs/>
          <w:szCs w:val="24"/>
          <w:lang w:val="en-US" w:eastAsia="zh-CN"/>
        </w:rPr>
        <w:t>5</w:t>
      </w:r>
      <w:r>
        <w:rPr>
          <w:rFonts w:hint="eastAsia" w:cs="宋体"/>
          <w:b w:val="0"/>
          <w:bCs/>
          <w:szCs w:val="24"/>
        </w:rPr>
        <w:t>一体化应用</w:t>
      </w:r>
    </w:p>
    <w:p>
      <w:pPr>
        <w:wordWrap/>
        <w:spacing w:line="360" w:lineRule="auto"/>
        <w:ind w:left="0" w:leftChars="0" w:firstLine="480" w:firstLineChars="200"/>
        <w:rPr>
          <w:rFonts w:hint="eastAsia" w:cs="宋体"/>
          <w:b w:val="0"/>
          <w:bCs/>
          <w:szCs w:val="24"/>
        </w:rPr>
      </w:pPr>
      <w:r>
        <w:rPr>
          <w:rFonts w:hint="eastAsia" w:cs="宋体"/>
          <w:b w:val="0"/>
          <w:bCs/>
          <w:szCs w:val="24"/>
        </w:rPr>
        <w:t>▲支持查看历次检验、检查、心电结果，并支持对比功能，查看检验检查闭环，实时了解检查动态。</w:t>
      </w:r>
    </w:p>
    <w:p>
      <w:pPr>
        <w:wordWrap/>
        <w:spacing w:line="360" w:lineRule="auto"/>
        <w:ind w:left="0" w:leftChars="0" w:firstLine="480" w:firstLineChars="200"/>
        <w:rPr>
          <w:rFonts w:hint="eastAsia" w:cs="宋体"/>
          <w:b w:val="0"/>
          <w:bCs/>
          <w:szCs w:val="24"/>
        </w:rPr>
      </w:pPr>
      <w:r>
        <w:rPr>
          <w:rFonts w:hint="eastAsia" w:cs="宋体"/>
          <w:b w:val="0"/>
          <w:bCs/>
          <w:szCs w:val="24"/>
        </w:rPr>
        <w:t>支持门诊医生查看影像图像、原始心电图的测量、检验/检查危急值报告查看及处理。</w:t>
      </w:r>
    </w:p>
    <w:p>
      <w:pPr>
        <w:wordWrap/>
        <w:spacing w:line="360" w:lineRule="auto"/>
        <w:ind w:left="0" w:leftChars="0" w:firstLine="480" w:firstLineChars="200"/>
        <w:rPr>
          <w:rFonts w:hint="eastAsia" w:cs="宋体"/>
          <w:b w:val="0"/>
          <w:bCs/>
          <w:szCs w:val="24"/>
        </w:rPr>
      </w:pPr>
      <w:r>
        <w:rPr>
          <w:rFonts w:hint="eastAsia" w:cs="宋体"/>
          <w:b w:val="0"/>
          <w:bCs/>
          <w:szCs w:val="24"/>
        </w:rPr>
        <w:t>3.17门诊电子病历系统</w:t>
      </w:r>
    </w:p>
    <w:p>
      <w:pPr>
        <w:wordWrap/>
        <w:spacing w:line="360" w:lineRule="auto"/>
        <w:ind w:left="0" w:leftChars="0" w:firstLine="480" w:firstLineChars="200"/>
        <w:rPr>
          <w:rFonts w:hint="eastAsia" w:cs="宋体"/>
          <w:b w:val="0"/>
          <w:bCs/>
          <w:szCs w:val="24"/>
        </w:rPr>
      </w:pPr>
      <w:r>
        <w:rPr>
          <w:rFonts w:hint="eastAsia" w:cs="宋体"/>
          <w:b w:val="0"/>
          <w:bCs/>
          <w:szCs w:val="24"/>
        </w:rPr>
        <w:t>3.17.1病历模板</w:t>
      </w:r>
    </w:p>
    <w:p>
      <w:pPr>
        <w:wordWrap/>
        <w:spacing w:line="360" w:lineRule="auto"/>
        <w:ind w:left="0" w:leftChars="0" w:firstLine="480" w:firstLineChars="200"/>
        <w:rPr>
          <w:rFonts w:hint="eastAsia" w:cs="宋体"/>
          <w:b w:val="0"/>
          <w:bCs/>
          <w:szCs w:val="24"/>
        </w:rPr>
      </w:pPr>
      <w:r>
        <w:rPr>
          <w:rFonts w:hint="eastAsia" w:cs="宋体"/>
          <w:b w:val="0"/>
          <w:bCs/>
          <w:szCs w:val="24"/>
        </w:rPr>
        <w:t>提供本科模板、全院模板、整体模板、个人整体模板、个人模板组套、个人常用模板浏览功能。</w:t>
      </w:r>
    </w:p>
    <w:p>
      <w:pPr>
        <w:wordWrap/>
        <w:spacing w:line="360" w:lineRule="auto"/>
        <w:ind w:left="0" w:leftChars="0" w:firstLine="480" w:firstLineChars="200"/>
        <w:rPr>
          <w:rFonts w:hint="eastAsia" w:cs="宋体"/>
          <w:b w:val="0"/>
          <w:bCs/>
          <w:szCs w:val="24"/>
        </w:rPr>
      </w:pPr>
      <w:r>
        <w:rPr>
          <w:rFonts w:hint="eastAsia" w:cs="宋体"/>
          <w:b w:val="0"/>
          <w:bCs/>
          <w:szCs w:val="24"/>
        </w:rPr>
        <w:t>支持模板多选并保存为模板组套，在创建病历时，通过模板组套一次性创建多份病历。</w:t>
      </w:r>
    </w:p>
    <w:p>
      <w:pPr>
        <w:wordWrap/>
        <w:spacing w:line="360" w:lineRule="auto"/>
        <w:ind w:left="0" w:leftChars="0" w:firstLine="480" w:firstLineChars="200"/>
        <w:rPr>
          <w:rFonts w:hint="eastAsia" w:cs="宋体"/>
          <w:b w:val="0"/>
          <w:bCs/>
          <w:szCs w:val="24"/>
        </w:rPr>
      </w:pPr>
      <w:r>
        <w:rPr>
          <w:rFonts w:hint="eastAsia" w:cs="宋体"/>
          <w:b w:val="0"/>
          <w:bCs/>
          <w:szCs w:val="24"/>
        </w:rPr>
        <w:t>支持设置科室模板，右键标记为常用模板，在病历书写时从整体模板中导入。</w:t>
      </w:r>
    </w:p>
    <w:p>
      <w:pPr>
        <w:wordWrap/>
        <w:spacing w:line="360" w:lineRule="auto"/>
        <w:ind w:left="0" w:leftChars="0" w:firstLine="480" w:firstLineChars="200"/>
        <w:rPr>
          <w:rFonts w:hint="eastAsia" w:cs="宋体"/>
          <w:b w:val="0"/>
          <w:bCs/>
          <w:szCs w:val="24"/>
        </w:rPr>
      </w:pPr>
      <w:r>
        <w:rPr>
          <w:rFonts w:hint="eastAsia" w:cs="宋体"/>
          <w:b w:val="0"/>
          <w:bCs/>
          <w:szCs w:val="24"/>
        </w:rPr>
        <w:t>3.17.2病历书写</w:t>
      </w:r>
    </w:p>
    <w:p>
      <w:pPr>
        <w:wordWrap/>
        <w:spacing w:line="360" w:lineRule="auto"/>
        <w:ind w:left="0" w:leftChars="0" w:firstLine="480" w:firstLineChars="200"/>
        <w:rPr>
          <w:rFonts w:hint="eastAsia" w:cs="宋体"/>
          <w:b w:val="0"/>
          <w:bCs/>
          <w:szCs w:val="24"/>
        </w:rPr>
      </w:pPr>
      <w:r>
        <w:rPr>
          <w:rFonts w:hint="eastAsia" w:cs="宋体"/>
          <w:b w:val="0"/>
          <w:bCs/>
          <w:szCs w:val="24"/>
        </w:rPr>
        <w:t>与门诊医生站一体化设计，减少医生上手熟悉时间，可以自动获取医嘱处方、检验报告、检查报告、心电报告、病人基本信息等。</w:t>
      </w:r>
    </w:p>
    <w:p>
      <w:pPr>
        <w:wordWrap/>
        <w:spacing w:line="360" w:lineRule="auto"/>
        <w:ind w:left="0" w:leftChars="0" w:firstLine="480" w:firstLineChars="200"/>
        <w:rPr>
          <w:rFonts w:hint="eastAsia" w:cs="宋体"/>
          <w:b w:val="0"/>
          <w:bCs/>
          <w:szCs w:val="24"/>
        </w:rPr>
      </w:pPr>
      <w:r>
        <w:rPr>
          <w:rFonts w:hint="eastAsia" w:cs="宋体"/>
          <w:b w:val="0"/>
          <w:bCs/>
          <w:szCs w:val="24"/>
        </w:rPr>
        <w:t>支持患者基本信息自动带入病历、门诊病历的结构化录入；病历书写时引用医学公式、医学图像、多种图像标注等功能。</w:t>
      </w:r>
    </w:p>
    <w:p>
      <w:pPr>
        <w:wordWrap/>
        <w:spacing w:line="360" w:lineRule="auto"/>
        <w:ind w:left="0" w:leftChars="0" w:firstLine="480" w:firstLineChars="200"/>
        <w:rPr>
          <w:rFonts w:hint="eastAsia" w:cs="宋体"/>
          <w:b w:val="0"/>
          <w:bCs/>
          <w:szCs w:val="24"/>
        </w:rPr>
      </w:pPr>
      <w:r>
        <w:rPr>
          <w:rFonts w:hint="eastAsia" w:cs="宋体"/>
          <w:b w:val="0"/>
          <w:bCs/>
          <w:szCs w:val="24"/>
        </w:rPr>
        <w:t>3.17.3病历引用</w:t>
      </w:r>
    </w:p>
    <w:p>
      <w:pPr>
        <w:wordWrap/>
        <w:spacing w:line="360" w:lineRule="auto"/>
        <w:ind w:left="0" w:leftChars="0" w:firstLine="480" w:firstLineChars="200"/>
        <w:rPr>
          <w:rFonts w:hint="eastAsia" w:cs="宋体"/>
          <w:b w:val="0"/>
          <w:bCs/>
          <w:szCs w:val="24"/>
        </w:rPr>
      </w:pPr>
      <w:r>
        <w:rPr>
          <w:rFonts w:hint="eastAsia" w:cs="宋体"/>
          <w:b w:val="0"/>
          <w:bCs/>
          <w:szCs w:val="24"/>
        </w:rPr>
        <w:t>支持病历书写时候可以快速查询当前患者的各种检验、检查、医嘱等临床数据，可以选择导入到病历文档中。</w:t>
      </w:r>
    </w:p>
    <w:p>
      <w:pPr>
        <w:wordWrap/>
        <w:spacing w:line="360" w:lineRule="auto"/>
        <w:ind w:left="0" w:leftChars="0" w:firstLine="480" w:firstLineChars="200"/>
        <w:rPr>
          <w:rFonts w:hint="eastAsia" w:cs="宋体"/>
          <w:b w:val="0"/>
          <w:bCs/>
          <w:szCs w:val="24"/>
        </w:rPr>
      </w:pPr>
      <w:r>
        <w:rPr>
          <w:rFonts w:hint="eastAsia" w:cs="宋体"/>
          <w:b w:val="0"/>
          <w:bCs/>
          <w:szCs w:val="24"/>
        </w:rPr>
        <w:t>支持书写病历时调用整体模版、短语等；支持患者所有病历中相同节点内容的自动引用；支持调用检验报告、检查报告、医嘱内容、护理记录等信息。</w:t>
      </w:r>
    </w:p>
    <w:p>
      <w:pPr>
        <w:wordWrap/>
        <w:spacing w:line="360" w:lineRule="auto"/>
        <w:ind w:left="0" w:leftChars="0" w:firstLine="480" w:firstLineChars="200"/>
        <w:rPr>
          <w:rFonts w:hint="eastAsia" w:cs="宋体"/>
          <w:b w:val="0"/>
          <w:bCs/>
          <w:szCs w:val="24"/>
        </w:rPr>
      </w:pPr>
      <w:r>
        <w:rPr>
          <w:rFonts w:hint="eastAsia" w:cs="宋体"/>
          <w:b w:val="0"/>
          <w:bCs/>
          <w:szCs w:val="24"/>
        </w:rPr>
        <w:t>3.17.4病历存储</w:t>
      </w:r>
    </w:p>
    <w:p>
      <w:pPr>
        <w:wordWrap/>
        <w:spacing w:line="360" w:lineRule="auto"/>
        <w:ind w:left="0" w:leftChars="0" w:firstLine="480" w:firstLineChars="200"/>
        <w:rPr>
          <w:rFonts w:hint="eastAsia" w:cs="宋体"/>
          <w:b w:val="0"/>
          <w:bCs/>
          <w:szCs w:val="24"/>
        </w:rPr>
      </w:pPr>
      <w:r>
        <w:rPr>
          <w:rFonts w:hint="eastAsia" w:cs="宋体"/>
          <w:b w:val="0"/>
          <w:bCs/>
          <w:szCs w:val="24"/>
        </w:rPr>
        <w:t>▲系统能够按卫生部数据元定义的结构化电子病历、可按卫生部相关标准导出XML格式电子病历、电子病可完整保留修改痕迹、按卫生部规定共享文档规范的导出交换文档。</w:t>
      </w:r>
    </w:p>
    <w:p>
      <w:pPr>
        <w:wordWrap/>
        <w:spacing w:line="360" w:lineRule="auto"/>
        <w:ind w:left="0" w:leftChars="0" w:firstLine="480" w:firstLineChars="200"/>
        <w:rPr>
          <w:rFonts w:hint="eastAsia" w:cs="宋体"/>
          <w:b w:val="0"/>
          <w:bCs/>
          <w:szCs w:val="24"/>
        </w:rPr>
      </w:pPr>
      <w:r>
        <w:rPr>
          <w:rFonts w:hint="eastAsia" w:cs="宋体"/>
          <w:b w:val="0"/>
          <w:bCs/>
          <w:szCs w:val="24"/>
        </w:rPr>
        <w:t>3.17.5一体化病历</w:t>
      </w:r>
    </w:p>
    <w:p>
      <w:pPr>
        <w:wordWrap/>
        <w:spacing w:line="360" w:lineRule="auto"/>
        <w:ind w:left="0" w:leftChars="0" w:firstLine="480" w:firstLineChars="200"/>
        <w:rPr>
          <w:rFonts w:hint="eastAsia" w:cs="宋体"/>
          <w:b w:val="0"/>
          <w:bCs/>
          <w:szCs w:val="24"/>
        </w:rPr>
      </w:pPr>
      <w:r>
        <w:rPr>
          <w:rFonts w:hint="eastAsia" w:cs="宋体"/>
          <w:b w:val="0"/>
          <w:bCs/>
          <w:szCs w:val="24"/>
        </w:rPr>
        <w:t>支持门诊病历自动抽取本次就诊医嘱信息、处方信息，通过门诊病历界面开立西药处方、中草药处方、检查治疗、输血申请、门诊手术申请。</w:t>
      </w:r>
    </w:p>
    <w:p>
      <w:pPr>
        <w:wordWrap/>
        <w:spacing w:line="360" w:lineRule="auto"/>
        <w:ind w:left="0" w:leftChars="0" w:firstLine="480" w:firstLineChars="200"/>
        <w:rPr>
          <w:rFonts w:hint="eastAsia" w:cs="宋体"/>
          <w:b w:val="0"/>
          <w:bCs/>
          <w:szCs w:val="24"/>
        </w:rPr>
      </w:pPr>
      <w:r>
        <w:rPr>
          <w:rFonts w:hint="eastAsia" w:cs="宋体"/>
          <w:b w:val="0"/>
          <w:bCs/>
          <w:szCs w:val="24"/>
        </w:rPr>
        <w:t>支持自动调取处方、检查治疗、输血、门诊手术申请界面，通过病历界面修改、新增、删除医嘱后自动更新至病历中。</w:t>
      </w:r>
    </w:p>
    <w:p>
      <w:pPr>
        <w:wordWrap/>
        <w:spacing w:line="360" w:lineRule="auto"/>
        <w:ind w:left="0" w:leftChars="0" w:firstLine="480" w:firstLineChars="200"/>
        <w:rPr>
          <w:rFonts w:hint="eastAsia" w:cs="宋体"/>
          <w:b w:val="0"/>
          <w:bCs/>
          <w:szCs w:val="24"/>
        </w:rPr>
      </w:pPr>
      <w:r>
        <w:rPr>
          <w:rFonts w:hint="eastAsia" w:cs="宋体"/>
          <w:b w:val="0"/>
          <w:bCs/>
          <w:szCs w:val="24"/>
        </w:rPr>
        <w:t>3.18急诊管理系统</w:t>
      </w:r>
    </w:p>
    <w:p>
      <w:pPr>
        <w:wordWrap/>
        <w:spacing w:line="360" w:lineRule="auto"/>
        <w:ind w:left="0" w:leftChars="0" w:firstLine="480" w:firstLineChars="200"/>
        <w:rPr>
          <w:rFonts w:hint="eastAsia" w:cs="宋体"/>
          <w:b w:val="0"/>
          <w:bCs/>
          <w:szCs w:val="24"/>
        </w:rPr>
      </w:pPr>
      <w:r>
        <w:rPr>
          <w:rFonts w:hint="eastAsia" w:cs="宋体"/>
          <w:b w:val="0"/>
          <w:bCs/>
          <w:szCs w:val="24"/>
        </w:rPr>
        <w:t>门急诊留观病人病区化管理，包括医嘱复核处理、单据打印、医嘱核对总对、病人体症信息录入、护理病历书写、药品卫生材料请领、费用查询打印、病人换床转科出院操作等。</w:t>
      </w:r>
    </w:p>
    <w:p>
      <w:pPr>
        <w:wordWrap/>
        <w:spacing w:line="360" w:lineRule="auto"/>
        <w:ind w:left="0" w:leftChars="0" w:firstLine="480" w:firstLineChars="200"/>
        <w:rPr>
          <w:rFonts w:hint="eastAsia" w:cs="宋体"/>
          <w:b w:val="0"/>
          <w:bCs/>
          <w:szCs w:val="24"/>
        </w:rPr>
      </w:pPr>
      <w:r>
        <w:rPr>
          <w:rFonts w:hint="eastAsia" w:cs="宋体"/>
          <w:b w:val="0"/>
          <w:bCs/>
          <w:szCs w:val="24"/>
        </w:rPr>
        <w:t>3.19急诊留观系统</w:t>
      </w:r>
    </w:p>
    <w:p>
      <w:pPr>
        <w:wordWrap/>
        <w:spacing w:line="360" w:lineRule="auto"/>
        <w:ind w:left="0" w:leftChars="0" w:firstLine="480" w:firstLineChars="200"/>
        <w:rPr>
          <w:rFonts w:hint="eastAsia" w:cs="宋体"/>
          <w:b w:val="0"/>
          <w:bCs/>
          <w:szCs w:val="24"/>
        </w:rPr>
      </w:pPr>
      <w:r>
        <w:rPr>
          <w:rFonts w:hint="eastAsia" w:cs="宋体"/>
          <w:b w:val="0"/>
          <w:bCs/>
          <w:szCs w:val="24"/>
        </w:rPr>
        <w:t>支持留观入出转登记、留观床位管理、留观病历书写、留观护理病历、留观医嘱录入、核对及执行、留观医嘱录入。留观医嘱开具后，由急诊护士核对后申请执行。</w:t>
      </w:r>
    </w:p>
    <w:p>
      <w:pPr>
        <w:wordWrap/>
        <w:spacing w:line="360" w:lineRule="auto"/>
        <w:ind w:left="0" w:leftChars="0" w:firstLine="480" w:firstLineChars="200"/>
        <w:rPr>
          <w:rFonts w:hint="eastAsia" w:cs="宋体"/>
          <w:b w:val="0"/>
          <w:bCs/>
          <w:szCs w:val="24"/>
        </w:rPr>
      </w:pPr>
      <w:r>
        <w:rPr>
          <w:rFonts w:hint="eastAsia" w:cs="宋体"/>
          <w:b w:val="0"/>
          <w:bCs/>
          <w:szCs w:val="24"/>
        </w:rPr>
        <w:t>3.20门诊输液系统</w:t>
      </w:r>
    </w:p>
    <w:p>
      <w:pPr>
        <w:wordWrap/>
        <w:spacing w:line="360" w:lineRule="auto"/>
        <w:ind w:left="0" w:leftChars="0" w:firstLine="480" w:firstLineChars="200"/>
        <w:rPr>
          <w:rFonts w:hint="eastAsia" w:cs="宋体"/>
          <w:b w:val="0"/>
          <w:bCs/>
          <w:szCs w:val="24"/>
        </w:rPr>
      </w:pPr>
      <w:r>
        <w:rPr>
          <w:rFonts w:hint="eastAsia" w:cs="宋体"/>
          <w:b w:val="0"/>
          <w:bCs/>
          <w:szCs w:val="24"/>
        </w:rPr>
        <w:t>▲支持输液、注射、皮试及其它治疗项目的治疗结果记录，提供病人登记后，输液单，注射单，治疗单、皮试单的打印。</w:t>
      </w:r>
    </w:p>
    <w:p>
      <w:pPr>
        <w:wordWrap/>
        <w:spacing w:line="360" w:lineRule="auto"/>
        <w:ind w:left="0" w:leftChars="0" w:firstLine="480" w:firstLineChars="200"/>
        <w:rPr>
          <w:rFonts w:hint="eastAsia" w:cs="宋体"/>
          <w:b w:val="0"/>
          <w:bCs/>
          <w:szCs w:val="24"/>
        </w:rPr>
      </w:pPr>
      <w:r>
        <w:rPr>
          <w:rFonts w:hint="eastAsia" w:cs="宋体"/>
          <w:b w:val="0"/>
          <w:bCs/>
          <w:szCs w:val="24"/>
        </w:rPr>
        <w:t>支持治疗费实时查询并能按需提取，支持门诊费用补费，支持治疗项目工作量实时自动统计。</w:t>
      </w:r>
    </w:p>
    <w:p>
      <w:pPr>
        <w:wordWrap/>
        <w:spacing w:line="360" w:lineRule="auto"/>
        <w:ind w:left="0" w:leftChars="0" w:firstLine="480" w:firstLineChars="200"/>
        <w:rPr>
          <w:rFonts w:hint="eastAsia" w:cs="宋体"/>
          <w:b w:val="0"/>
          <w:bCs/>
          <w:szCs w:val="24"/>
        </w:rPr>
      </w:pPr>
      <w:r>
        <w:rPr>
          <w:rFonts w:hint="eastAsia" w:cs="宋体"/>
          <w:b w:val="0"/>
          <w:bCs/>
          <w:szCs w:val="24"/>
        </w:rPr>
        <w:t>支持门诊检验标本采集，支持患者皮试结果录入，支持医嘱单个、批量执行签名，执行签名支持双签模式。</w:t>
      </w:r>
    </w:p>
    <w:p>
      <w:pPr>
        <w:wordWrap/>
        <w:spacing w:line="360" w:lineRule="auto"/>
        <w:ind w:left="0" w:leftChars="0" w:firstLine="480" w:firstLineChars="200"/>
        <w:rPr>
          <w:rFonts w:hint="eastAsia" w:cs="宋体"/>
          <w:b w:val="0"/>
          <w:bCs/>
          <w:szCs w:val="24"/>
        </w:rPr>
      </w:pPr>
      <w:r>
        <w:rPr>
          <w:rFonts w:hint="eastAsia" w:cs="宋体"/>
          <w:b w:val="0"/>
          <w:bCs/>
          <w:szCs w:val="24"/>
        </w:rPr>
        <w:t>支持与院前急救指挥系统对接，实现院前院内急救一体化数据衔接。</w:t>
      </w:r>
    </w:p>
    <w:p>
      <w:pPr>
        <w:wordWrap/>
        <w:spacing w:line="360" w:lineRule="auto"/>
        <w:ind w:left="0" w:leftChars="0" w:firstLine="480" w:firstLineChars="200"/>
        <w:rPr>
          <w:rFonts w:hint="eastAsia" w:cs="宋体"/>
          <w:b w:val="0"/>
          <w:bCs/>
          <w:szCs w:val="24"/>
        </w:rPr>
      </w:pPr>
      <w:r>
        <w:rPr>
          <w:rFonts w:hint="eastAsia" w:cs="宋体"/>
          <w:b w:val="0"/>
          <w:bCs/>
          <w:szCs w:val="24"/>
        </w:rPr>
        <w:t>3.21住院医师系统</w:t>
      </w:r>
    </w:p>
    <w:p>
      <w:pPr>
        <w:wordWrap/>
        <w:spacing w:line="360" w:lineRule="auto"/>
        <w:ind w:left="0" w:leftChars="0" w:firstLine="480" w:firstLineChars="200"/>
        <w:rPr>
          <w:rFonts w:hint="eastAsia" w:cs="宋体"/>
          <w:b w:val="0"/>
          <w:bCs/>
          <w:szCs w:val="24"/>
        </w:rPr>
      </w:pPr>
      <w:r>
        <w:rPr>
          <w:rFonts w:hint="eastAsia" w:cs="宋体"/>
          <w:b w:val="0"/>
          <w:bCs/>
          <w:szCs w:val="24"/>
        </w:rPr>
        <w:t>3.21.1患者信息</w:t>
      </w:r>
    </w:p>
    <w:p>
      <w:pPr>
        <w:wordWrap/>
        <w:spacing w:line="360" w:lineRule="auto"/>
        <w:ind w:left="0" w:leftChars="0" w:firstLine="480" w:firstLineChars="200"/>
        <w:rPr>
          <w:rFonts w:hint="eastAsia" w:cs="宋体"/>
          <w:b w:val="0"/>
          <w:bCs/>
          <w:szCs w:val="24"/>
        </w:rPr>
      </w:pPr>
      <w:r>
        <w:rPr>
          <w:rFonts w:hint="eastAsia" w:cs="宋体"/>
          <w:b w:val="0"/>
          <w:bCs/>
          <w:szCs w:val="24"/>
        </w:rPr>
        <w:t>支持本人管床患者、本科患者、转科患者、预约出院患者、结算出院患者、授权患者、其他患者分栏显示。</w:t>
      </w:r>
    </w:p>
    <w:p>
      <w:pPr>
        <w:wordWrap/>
        <w:spacing w:line="360" w:lineRule="auto"/>
        <w:ind w:left="0" w:leftChars="0" w:firstLine="480" w:firstLineChars="200"/>
        <w:rPr>
          <w:rFonts w:hint="eastAsia" w:cs="宋体"/>
          <w:b w:val="0"/>
          <w:bCs/>
          <w:szCs w:val="24"/>
        </w:rPr>
      </w:pPr>
      <w:r>
        <w:rPr>
          <w:rFonts w:hint="eastAsia" w:cs="宋体"/>
          <w:b w:val="0"/>
          <w:bCs/>
          <w:szCs w:val="24"/>
        </w:rPr>
        <w:t>支持显示病人基本信息：姓名、性别、年龄、住院病历号、病区、床号、入院诊断、病情。</w:t>
      </w:r>
    </w:p>
    <w:p>
      <w:pPr>
        <w:wordWrap/>
        <w:spacing w:line="360" w:lineRule="auto"/>
        <w:ind w:left="0" w:leftChars="0" w:firstLine="480" w:firstLineChars="200"/>
        <w:rPr>
          <w:rFonts w:hint="eastAsia" w:cs="宋体"/>
          <w:b w:val="0"/>
          <w:bCs/>
          <w:szCs w:val="24"/>
        </w:rPr>
      </w:pPr>
      <w:r>
        <w:rPr>
          <w:rFonts w:hint="eastAsia" w:cs="宋体"/>
          <w:b w:val="0"/>
          <w:bCs/>
          <w:szCs w:val="24"/>
        </w:rPr>
        <w:t>3.21.2授权</w:t>
      </w:r>
    </w:p>
    <w:p>
      <w:pPr>
        <w:wordWrap/>
        <w:spacing w:line="360" w:lineRule="auto"/>
        <w:ind w:left="0" w:leftChars="0" w:firstLine="480" w:firstLineChars="200"/>
        <w:rPr>
          <w:rFonts w:hint="eastAsia" w:cs="宋体"/>
          <w:b w:val="0"/>
          <w:bCs/>
          <w:szCs w:val="24"/>
        </w:rPr>
      </w:pPr>
      <w:r>
        <w:rPr>
          <w:rFonts w:hint="eastAsia" w:cs="宋体"/>
          <w:b w:val="0"/>
          <w:bCs/>
          <w:szCs w:val="24"/>
        </w:rPr>
        <w:t>支持指定被授权科室，设置授权有效期，有效期结束后自动停止授权，并查看患者历次授权信息，填写授权备注信息。</w:t>
      </w:r>
    </w:p>
    <w:p>
      <w:pPr>
        <w:wordWrap/>
        <w:spacing w:line="360" w:lineRule="auto"/>
        <w:ind w:left="0" w:leftChars="0" w:firstLine="480" w:firstLineChars="200"/>
        <w:rPr>
          <w:rFonts w:hint="eastAsia" w:cs="宋体"/>
          <w:b w:val="0"/>
          <w:bCs/>
          <w:szCs w:val="24"/>
        </w:rPr>
      </w:pPr>
      <w:r>
        <w:rPr>
          <w:rFonts w:hint="eastAsia" w:cs="宋体"/>
          <w:b w:val="0"/>
          <w:bCs/>
          <w:szCs w:val="24"/>
        </w:rPr>
        <w:t>3.21.3会诊</w:t>
      </w:r>
    </w:p>
    <w:p>
      <w:pPr>
        <w:wordWrap/>
        <w:spacing w:line="360" w:lineRule="auto"/>
        <w:ind w:left="0" w:leftChars="0" w:firstLine="480" w:firstLineChars="200"/>
        <w:rPr>
          <w:rFonts w:hint="eastAsia" w:cs="宋体"/>
          <w:b w:val="0"/>
          <w:bCs/>
          <w:szCs w:val="24"/>
        </w:rPr>
      </w:pPr>
      <w:r>
        <w:rPr>
          <w:rFonts w:hint="eastAsia" w:cs="宋体"/>
          <w:b w:val="0"/>
          <w:bCs/>
          <w:szCs w:val="24"/>
        </w:rPr>
        <w:t>支持会诊申请填写简要病情及诊疗经过、症状体征及检查结果、会诊目的、会诊说明。</w:t>
      </w:r>
    </w:p>
    <w:p>
      <w:pPr>
        <w:wordWrap/>
        <w:spacing w:line="360" w:lineRule="auto"/>
        <w:ind w:left="0" w:leftChars="0" w:firstLine="480" w:firstLineChars="200"/>
        <w:rPr>
          <w:rFonts w:hint="eastAsia" w:cs="宋体"/>
          <w:b w:val="0"/>
          <w:bCs/>
          <w:szCs w:val="24"/>
        </w:rPr>
      </w:pPr>
      <w:r>
        <w:rPr>
          <w:rFonts w:hint="eastAsia" w:cs="宋体"/>
          <w:b w:val="0"/>
          <w:bCs/>
          <w:szCs w:val="24"/>
        </w:rPr>
        <w:t>支持会诊申请新增、暂存、删除操作，在会诊申请提交后不允许删除，当取消会诊填写说明信息。</w:t>
      </w:r>
    </w:p>
    <w:p>
      <w:pPr>
        <w:wordWrap/>
        <w:spacing w:line="360" w:lineRule="auto"/>
        <w:ind w:left="0" w:leftChars="0" w:firstLine="480" w:firstLineChars="200"/>
        <w:rPr>
          <w:rFonts w:hint="eastAsia" w:cs="宋体"/>
          <w:b w:val="0"/>
          <w:bCs/>
          <w:szCs w:val="24"/>
        </w:rPr>
      </w:pPr>
      <w:r>
        <w:rPr>
          <w:rFonts w:hint="eastAsia" w:cs="宋体"/>
          <w:b w:val="0"/>
          <w:bCs/>
          <w:szCs w:val="24"/>
        </w:rPr>
        <w:t>▲支持自动产生会诊医嘱，填写会诊意见、处理意见，会诊结束后自动生成会诊病历。</w:t>
      </w:r>
    </w:p>
    <w:p>
      <w:pPr>
        <w:wordWrap/>
        <w:spacing w:line="360" w:lineRule="auto"/>
        <w:ind w:left="0" w:leftChars="0" w:firstLine="480" w:firstLineChars="200"/>
        <w:rPr>
          <w:rFonts w:hint="eastAsia" w:cs="宋体"/>
          <w:b w:val="0"/>
          <w:bCs/>
          <w:szCs w:val="24"/>
        </w:rPr>
      </w:pPr>
      <w:r>
        <w:rPr>
          <w:rFonts w:hint="eastAsia" w:cs="宋体"/>
          <w:b w:val="0"/>
          <w:bCs/>
          <w:szCs w:val="24"/>
        </w:rPr>
        <w:t>3.21.4住院诊断</w:t>
      </w:r>
    </w:p>
    <w:p>
      <w:pPr>
        <w:wordWrap/>
        <w:spacing w:line="360" w:lineRule="auto"/>
        <w:ind w:left="0" w:leftChars="0" w:firstLine="480" w:firstLineChars="200"/>
        <w:rPr>
          <w:rFonts w:hint="eastAsia" w:cs="宋体"/>
          <w:b w:val="0"/>
          <w:bCs/>
          <w:szCs w:val="24"/>
        </w:rPr>
      </w:pPr>
      <w:r>
        <w:rPr>
          <w:rFonts w:hint="eastAsia" w:cs="宋体"/>
          <w:b w:val="0"/>
          <w:bCs/>
          <w:szCs w:val="24"/>
        </w:rPr>
        <w:t>支持医师根据诊断类别下诊断，例如：入院诊断、确诊诊断、修正诊断、补充诊断、出院诊断、门诊诊断、初步诊断。</w:t>
      </w:r>
    </w:p>
    <w:p>
      <w:pPr>
        <w:wordWrap/>
        <w:spacing w:line="360" w:lineRule="auto"/>
        <w:ind w:left="0" w:leftChars="0" w:firstLine="480" w:firstLineChars="200"/>
        <w:rPr>
          <w:rFonts w:hint="eastAsia" w:cs="宋体"/>
          <w:b w:val="0"/>
          <w:bCs/>
          <w:szCs w:val="24"/>
        </w:rPr>
      </w:pPr>
      <w:r>
        <w:rPr>
          <w:rFonts w:hint="eastAsia" w:cs="宋体"/>
          <w:b w:val="0"/>
          <w:bCs/>
          <w:szCs w:val="24"/>
        </w:rPr>
        <w:t>支持医生查看患者历次治疗的诊断信息，在历史诊断中根据诊断类型进行分类，区分中西医诊断。</w:t>
      </w:r>
    </w:p>
    <w:p>
      <w:pPr>
        <w:wordWrap/>
        <w:spacing w:line="360" w:lineRule="auto"/>
        <w:ind w:left="0" w:leftChars="0" w:firstLine="480" w:firstLineChars="200"/>
        <w:rPr>
          <w:rFonts w:hint="eastAsia" w:cs="宋体"/>
          <w:b w:val="0"/>
          <w:bCs/>
          <w:szCs w:val="24"/>
        </w:rPr>
      </w:pPr>
      <w:r>
        <w:rPr>
          <w:rFonts w:hint="eastAsia" w:cs="宋体"/>
          <w:b w:val="0"/>
          <w:bCs/>
          <w:szCs w:val="24"/>
        </w:rPr>
        <w:t>支持按照时间倒序顺序展示患者历次治疗的全部诊断信息，诊断录入支持模糊查询。</w:t>
      </w:r>
    </w:p>
    <w:p>
      <w:pPr>
        <w:wordWrap/>
        <w:spacing w:line="360" w:lineRule="auto"/>
        <w:ind w:left="0" w:leftChars="0" w:firstLine="480" w:firstLineChars="200"/>
        <w:rPr>
          <w:rFonts w:hint="eastAsia" w:cs="宋体"/>
          <w:b w:val="0"/>
          <w:bCs/>
          <w:szCs w:val="24"/>
        </w:rPr>
      </w:pPr>
      <w:r>
        <w:rPr>
          <w:rFonts w:hint="eastAsia" w:cs="宋体"/>
          <w:b w:val="0"/>
          <w:bCs/>
          <w:szCs w:val="24"/>
        </w:rPr>
        <w:t>3.21.5医嘱处理</w:t>
      </w:r>
    </w:p>
    <w:p>
      <w:pPr>
        <w:wordWrap/>
        <w:spacing w:line="360" w:lineRule="auto"/>
        <w:ind w:left="0" w:leftChars="0" w:firstLine="480" w:firstLineChars="200"/>
        <w:rPr>
          <w:rFonts w:hint="eastAsia" w:cs="宋体"/>
          <w:b w:val="0"/>
          <w:bCs/>
          <w:szCs w:val="24"/>
        </w:rPr>
      </w:pPr>
      <w:r>
        <w:rPr>
          <w:rFonts w:hint="eastAsia" w:cs="宋体"/>
          <w:b w:val="0"/>
          <w:bCs/>
          <w:szCs w:val="24"/>
        </w:rPr>
        <w:t>提供长期和临时医嘱处理功能，包括医嘱的开立、停止和作废，能处理出院带药和自备药品。</w:t>
      </w:r>
    </w:p>
    <w:p>
      <w:pPr>
        <w:wordWrap/>
        <w:spacing w:line="360" w:lineRule="auto"/>
        <w:ind w:left="0" w:leftChars="0" w:firstLine="480" w:firstLineChars="200"/>
        <w:rPr>
          <w:rFonts w:hint="eastAsia" w:cs="宋体"/>
          <w:b w:val="0"/>
          <w:bCs/>
          <w:szCs w:val="24"/>
        </w:rPr>
      </w:pPr>
      <w:r>
        <w:rPr>
          <w:rFonts w:hint="eastAsia" w:cs="宋体"/>
          <w:b w:val="0"/>
          <w:bCs/>
          <w:szCs w:val="24"/>
        </w:rPr>
        <w:t>支持医生录入医嘱首末日的执行次数，并按次数收费、发药；提供医嘱修改功能，确认可以执行的医嘱，撤消不需要执行的医嘱。</w:t>
      </w:r>
    </w:p>
    <w:p>
      <w:pPr>
        <w:wordWrap/>
        <w:spacing w:line="360" w:lineRule="auto"/>
        <w:ind w:left="0" w:leftChars="0" w:firstLine="480" w:firstLineChars="200"/>
        <w:rPr>
          <w:rFonts w:hint="eastAsia" w:cs="宋体"/>
          <w:b w:val="0"/>
          <w:bCs/>
          <w:szCs w:val="24"/>
        </w:rPr>
      </w:pPr>
      <w:r>
        <w:rPr>
          <w:rFonts w:hint="eastAsia" w:cs="宋体"/>
          <w:b w:val="0"/>
          <w:bCs/>
          <w:szCs w:val="24"/>
        </w:rPr>
        <w:t>支持自动审核录入医嘱的完整性，提供对所有医嘱进行审核确认功能，记录医生姓名及时间，一经确认不得更改。</w:t>
      </w:r>
    </w:p>
    <w:p>
      <w:pPr>
        <w:wordWrap/>
        <w:spacing w:line="360" w:lineRule="auto"/>
        <w:ind w:left="0" w:leftChars="0" w:firstLine="480" w:firstLineChars="200"/>
        <w:rPr>
          <w:rFonts w:hint="eastAsia" w:cs="宋体"/>
          <w:b w:val="0"/>
          <w:bCs/>
          <w:szCs w:val="24"/>
        </w:rPr>
      </w:pPr>
      <w:r>
        <w:rPr>
          <w:rFonts w:hint="eastAsia" w:cs="宋体"/>
          <w:b w:val="0"/>
          <w:bCs/>
          <w:szCs w:val="24"/>
        </w:rPr>
        <w:t>提供手术申请、手术医嘱、输血申请的传送功能。并支持自动计算费用。</w:t>
      </w:r>
    </w:p>
    <w:p>
      <w:pPr>
        <w:wordWrap/>
        <w:spacing w:line="360" w:lineRule="auto"/>
        <w:ind w:left="0" w:leftChars="0" w:firstLine="480" w:firstLineChars="200"/>
        <w:rPr>
          <w:rFonts w:hint="eastAsia" w:cs="宋体"/>
          <w:b w:val="0"/>
          <w:bCs/>
          <w:szCs w:val="24"/>
        </w:rPr>
      </w:pPr>
      <w:r>
        <w:rPr>
          <w:rFonts w:hint="eastAsia" w:cs="宋体"/>
          <w:b w:val="0"/>
          <w:bCs/>
          <w:szCs w:val="24"/>
        </w:rPr>
        <w:t>支持定义医院、科室、个人不同等级的西药模板、诊疗模板、草药模板、常用药品模板，实现快速下达医嘱。</w:t>
      </w:r>
    </w:p>
    <w:p>
      <w:pPr>
        <w:wordWrap/>
        <w:spacing w:line="360" w:lineRule="auto"/>
        <w:ind w:left="0" w:leftChars="0" w:firstLine="480" w:firstLineChars="200"/>
        <w:rPr>
          <w:rFonts w:hint="eastAsia" w:cs="宋体"/>
          <w:b w:val="0"/>
          <w:bCs/>
          <w:szCs w:val="24"/>
        </w:rPr>
      </w:pPr>
      <w:r>
        <w:rPr>
          <w:rFonts w:hint="eastAsia" w:cs="宋体"/>
          <w:b w:val="0"/>
          <w:bCs/>
          <w:szCs w:val="24"/>
        </w:rPr>
        <w:t>3.21.6病案首页</w:t>
      </w:r>
    </w:p>
    <w:p>
      <w:pPr>
        <w:wordWrap/>
        <w:spacing w:line="360" w:lineRule="auto"/>
        <w:ind w:left="0" w:leftChars="0" w:firstLine="480" w:firstLineChars="200"/>
        <w:rPr>
          <w:rFonts w:hint="eastAsia" w:cs="宋体"/>
          <w:b w:val="0"/>
          <w:bCs/>
          <w:szCs w:val="24"/>
        </w:rPr>
      </w:pPr>
      <w:r>
        <w:rPr>
          <w:rFonts w:hint="eastAsia" w:cs="宋体"/>
          <w:b w:val="0"/>
          <w:bCs/>
          <w:szCs w:val="24"/>
        </w:rPr>
        <w:t>▲支持1000种以上病案首页质控规则，按照内置质控规则进行自动化质控。支持中医病案和西医病案两种模式。</w:t>
      </w:r>
    </w:p>
    <w:p>
      <w:pPr>
        <w:wordWrap/>
        <w:spacing w:line="360" w:lineRule="auto"/>
        <w:ind w:left="0" w:leftChars="0" w:firstLine="480" w:firstLineChars="200"/>
        <w:rPr>
          <w:rFonts w:hint="eastAsia" w:cs="宋体"/>
          <w:b w:val="0"/>
          <w:bCs/>
          <w:szCs w:val="24"/>
        </w:rPr>
      </w:pPr>
      <w:r>
        <w:rPr>
          <w:rFonts w:hint="eastAsia" w:cs="宋体"/>
          <w:b w:val="0"/>
          <w:bCs/>
          <w:szCs w:val="24"/>
        </w:rPr>
        <w:t>支持修改患者入院时间，修改患者病历标志，确定是否写病历。</w:t>
      </w:r>
    </w:p>
    <w:p>
      <w:pPr>
        <w:wordWrap/>
        <w:spacing w:line="360" w:lineRule="auto"/>
        <w:ind w:left="0" w:leftChars="0" w:firstLine="480" w:firstLineChars="200"/>
        <w:rPr>
          <w:rFonts w:hint="eastAsia" w:cs="宋体"/>
          <w:b w:val="0"/>
          <w:bCs/>
          <w:szCs w:val="24"/>
        </w:rPr>
      </w:pPr>
      <w:r>
        <w:rPr>
          <w:rFonts w:hint="eastAsia" w:cs="宋体"/>
          <w:b w:val="0"/>
          <w:bCs/>
          <w:szCs w:val="24"/>
        </w:rPr>
        <w:t>3.21.7临床一体化应用</w:t>
      </w:r>
    </w:p>
    <w:p>
      <w:pPr>
        <w:wordWrap/>
        <w:spacing w:line="360" w:lineRule="auto"/>
        <w:ind w:left="0" w:leftChars="0" w:firstLine="480" w:firstLineChars="200"/>
        <w:rPr>
          <w:rFonts w:hint="eastAsia" w:cs="宋体"/>
          <w:b w:val="0"/>
          <w:bCs/>
          <w:szCs w:val="24"/>
        </w:rPr>
      </w:pPr>
      <w:r>
        <w:rPr>
          <w:rFonts w:hint="eastAsia" w:cs="宋体"/>
          <w:b w:val="0"/>
          <w:bCs/>
          <w:szCs w:val="24"/>
        </w:rPr>
        <w:t>提供病人本次就诊信息以及既往就诊信息，包括门诊和住院病历查询。查看历次检验、检查、心电结果，并支持对比功能。</w:t>
      </w:r>
    </w:p>
    <w:p>
      <w:pPr>
        <w:wordWrap/>
        <w:spacing w:line="360" w:lineRule="auto"/>
        <w:ind w:left="0" w:leftChars="0" w:firstLine="480" w:firstLineChars="200"/>
        <w:rPr>
          <w:rFonts w:hint="eastAsia" w:cs="宋体"/>
          <w:b w:val="0"/>
          <w:bCs/>
          <w:szCs w:val="24"/>
        </w:rPr>
      </w:pPr>
      <w:r>
        <w:rPr>
          <w:rFonts w:hint="eastAsia" w:cs="宋体"/>
          <w:b w:val="0"/>
          <w:bCs/>
          <w:szCs w:val="24"/>
        </w:rPr>
        <w:t>支持查看影像图像操作、原始心电图的测量、检验、检查危急值报告查看及处理。</w:t>
      </w:r>
    </w:p>
    <w:p>
      <w:pPr>
        <w:wordWrap/>
        <w:spacing w:line="360" w:lineRule="auto"/>
        <w:ind w:left="0" w:leftChars="0" w:firstLine="480" w:firstLineChars="200"/>
        <w:rPr>
          <w:rFonts w:hint="eastAsia" w:cs="宋体"/>
          <w:b w:val="0"/>
          <w:bCs/>
          <w:szCs w:val="24"/>
        </w:rPr>
      </w:pPr>
      <w:r>
        <w:rPr>
          <w:rFonts w:hint="eastAsia" w:cs="宋体"/>
          <w:b w:val="0"/>
          <w:bCs/>
          <w:szCs w:val="24"/>
        </w:rPr>
        <w:t>支持调用病案首页质控规则，在医生填写病案首页时进行相关提示。提供查阅手术安排信息功能。</w:t>
      </w:r>
    </w:p>
    <w:p>
      <w:pPr>
        <w:wordWrap/>
        <w:spacing w:line="360" w:lineRule="auto"/>
        <w:ind w:left="0" w:leftChars="0" w:firstLine="480" w:firstLineChars="200"/>
        <w:rPr>
          <w:rFonts w:hint="eastAsia" w:cs="宋体"/>
          <w:b w:val="0"/>
          <w:bCs/>
          <w:szCs w:val="24"/>
        </w:rPr>
      </w:pPr>
      <w:r>
        <w:rPr>
          <w:rFonts w:hint="eastAsia" w:cs="宋体"/>
          <w:b w:val="0"/>
          <w:bCs/>
          <w:szCs w:val="24"/>
        </w:rPr>
        <w:t>中医大数据决策分析：支持中医科统计查询，包含按中医诊断筛选处方信息等。</w:t>
      </w:r>
    </w:p>
    <w:p>
      <w:pPr>
        <w:wordWrap/>
        <w:spacing w:line="360" w:lineRule="auto"/>
        <w:ind w:left="0" w:leftChars="0" w:firstLine="480" w:firstLineChars="200"/>
        <w:rPr>
          <w:rFonts w:hint="eastAsia" w:cs="宋体"/>
          <w:b w:val="0"/>
          <w:bCs/>
          <w:szCs w:val="24"/>
        </w:rPr>
      </w:pPr>
      <w:r>
        <w:rPr>
          <w:rFonts w:hint="eastAsia" w:cs="宋体"/>
          <w:b w:val="0"/>
          <w:bCs/>
          <w:szCs w:val="24"/>
        </w:rPr>
        <w:t>中医疗效评价分析：支持中医科填写中医病案首页，并根据患者病案首页出院情况，分析药品使用情况。</w:t>
      </w:r>
    </w:p>
    <w:p>
      <w:pPr>
        <w:wordWrap/>
        <w:spacing w:line="360" w:lineRule="auto"/>
        <w:ind w:left="0" w:leftChars="0" w:firstLine="480" w:firstLineChars="200"/>
        <w:rPr>
          <w:rFonts w:hint="eastAsia" w:cs="宋体"/>
          <w:b w:val="0"/>
          <w:bCs/>
          <w:szCs w:val="24"/>
        </w:rPr>
      </w:pPr>
      <w:r>
        <w:rPr>
          <w:rFonts w:hint="eastAsia" w:cs="宋体"/>
          <w:b w:val="0"/>
          <w:bCs/>
          <w:szCs w:val="24"/>
        </w:rPr>
        <w:t>中医优势病种分析：支持按诊断Top10进行排名，查看医院使用频率最高的10大中医诊断及明细信息。</w:t>
      </w:r>
    </w:p>
    <w:p>
      <w:pPr>
        <w:wordWrap/>
        <w:spacing w:line="360" w:lineRule="auto"/>
        <w:ind w:left="0" w:leftChars="0" w:firstLine="480" w:firstLineChars="200"/>
        <w:rPr>
          <w:rFonts w:hint="eastAsia" w:cs="宋体"/>
          <w:b w:val="0"/>
          <w:bCs/>
          <w:szCs w:val="24"/>
        </w:rPr>
      </w:pPr>
      <w:r>
        <w:rPr>
          <w:rFonts w:hint="eastAsia" w:cs="宋体"/>
          <w:b w:val="0"/>
          <w:bCs/>
          <w:szCs w:val="24"/>
        </w:rPr>
        <w:t>3.22住院电子病历系统</w:t>
      </w:r>
    </w:p>
    <w:p>
      <w:pPr>
        <w:wordWrap/>
        <w:spacing w:line="360" w:lineRule="auto"/>
        <w:ind w:left="0" w:leftChars="0" w:firstLine="480" w:firstLineChars="200"/>
        <w:rPr>
          <w:rFonts w:hint="eastAsia" w:cs="宋体"/>
          <w:b w:val="0"/>
          <w:bCs/>
          <w:szCs w:val="24"/>
        </w:rPr>
      </w:pPr>
      <w:r>
        <w:rPr>
          <w:rFonts w:hint="eastAsia" w:cs="宋体"/>
          <w:b w:val="0"/>
          <w:bCs/>
          <w:szCs w:val="24"/>
        </w:rPr>
        <w:t>3.22.1住院病历管理</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支持痕迹保留、权限控制、知识库、数据源绑定、文档元素、输入域、医学表达式、内容保护、级联模板、数据范围、病程记录、命令等功能</w:t>
      </w:r>
      <w:r>
        <w:rPr>
          <w:rFonts w:hint="eastAsia" w:cs="宋体"/>
          <w:b w:val="0"/>
          <w:bCs/>
          <w:szCs w:val="24"/>
          <w:lang w:eastAsia="zh-CN"/>
        </w:rPr>
        <w:t>。</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采用ICD-10、HL7、DICOM3等国际医疗卫生标准</w:t>
      </w:r>
      <w:r>
        <w:rPr>
          <w:rFonts w:hint="eastAsia" w:ascii="宋体" w:hAnsi="宋体" w:eastAsia="宋体" w:cs="宋体"/>
          <w:b w:val="0"/>
          <w:bCs/>
          <w:szCs w:val="24"/>
          <w:lang w:eastAsia="zh-CN"/>
        </w:rPr>
        <w:t>，</w:t>
      </w:r>
      <w:r>
        <w:rPr>
          <w:rFonts w:hint="eastAsia" w:cs="宋体"/>
          <w:b w:val="0"/>
          <w:bCs/>
          <w:szCs w:val="24"/>
        </w:rPr>
        <w:t>能够按卫生部数据元定义的结构化电子病历</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病历归档处理：对于病历终末质控完成的病历提交到待归档列表等待病案归档系统处理。</w:t>
      </w:r>
    </w:p>
    <w:p>
      <w:pPr>
        <w:wordWrap/>
        <w:spacing w:line="360" w:lineRule="auto"/>
        <w:ind w:left="0" w:leftChars="0" w:firstLine="480" w:firstLineChars="200"/>
        <w:rPr>
          <w:rFonts w:hint="eastAsia" w:cs="宋体"/>
          <w:b w:val="0"/>
          <w:bCs/>
          <w:szCs w:val="24"/>
        </w:rPr>
      </w:pPr>
      <w:r>
        <w:rPr>
          <w:rFonts w:hint="eastAsia" w:cs="宋体"/>
          <w:b w:val="0"/>
          <w:bCs/>
          <w:szCs w:val="24"/>
        </w:rPr>
        <w:t>病历打印：可以进行病历文档打印、选择打印、病程续打、打印分页预览。</w:t>
      </w:r>
    </w:p>
    <w:p>
      <w:pPr>
        <w:wordWrap/>
        <w:spacing w:line="360" w:lineRule="auto"/>
        <w:ind w:left="0" w:leftChars="0" w:firstLine="480" w:firstLineChars="200"/>
        <w:rPr>
          <w:rFonts w:hint="eastAsia" w:cs="宋体"/>
          <w:b w:val="0"/>
          <w:bCs/>
          <w:szCs w:val="24"/>
        </w:rPr>
      </w:pPr>
      <w:r>
        <w:rPr>
          <w:rFonts w:hint="eastAsia" w:cs="宋体"/>
          <w:b w:val="0"/>
          <w:bCs/>
          <w:szCs w:val="24"/>
        </w:rPr>
        <w:t>3.22.2病历模板</w:t>
      </w:r>
    </w:p>
    <w:p>
      <w:pPr>
        <w:wordWrap/>
        <w:spacing w:line="360" w:lineRule="auto"/>
        <w:ind w:left="0" w:leftChars="0" w:firstLine="480" w:firstLineChars="200"/>
        <w:rPr>
          <w:rFonts w:hint="eastAsia" w:cs="宋体"/>
          <w:b w:val="0"/>
          <w:bCs/>
          <w:szCs w:val="24"/>
        </w:rPr>
      </w:pPr>
      <w:r>
        <w:rPr>
          <w:rFonts w:hint="eastAsia" w:cs="宋体"/>
          <w:b w:val="0"/>
          <w:bCs/>
          <w:szCs w:val="24"/>
        </w:rPr>
        <w:t>提供本科模板、全院模板、整体模板、个人整体模板、个人模板组套、个人常用模板浏览功能。</w:t>
      </w:r>
    </w:p>
    <w:p>
      <w:pPr>
        <w:wordWrap/>
        <w:spacing w:line="360" w:lineRule="auto"/>
        <w:ind w:left="0" w:leftChars="0" w:firstLine="480" w:firstLineChars="200"/>
        <w:rPr>
          <w:rFonts w:hint="eastAsia" w:cs="宋体"/>
          <w:b w:val="0"/>
          <w:bCs/>
          <w:szCs w:val="24"/>
        </w:rPr>
      </w:pPr>
      <w:r>
        <w:rPr>
          <w:rFonts w:hint="eastAsia" w:cs="宋体"/>
          <w:b w:val="0"/>
          <w:bCs/>
          <w:szCs w:val="24"/>
        </w:rPr>
        <w:t>支持模板多选并保存为模板组套，在创建病历时，通过模板组套一次性创建多份病历。</w:t>
      </w:r>
    </w:p>
    <w:p>
      <w:pPr>
        <w:wordWrap/>
        <w:spacing w:line="360" w:lineRule="auto"/>
        <w:ind w:left="0" w:leftChars="0" w:firstLine="480" w:firstLineChars="200"/>
        <w:rPr>
          <w:rFonts w:hint="eastAsia" w:cs="宋体"/>
          <w:b w:val="0"/>
          <w:bCs/>
          <w:szCs w:val="24"/>
        </w:rPr>
      </w:pPr>
      <w:r>
        <w:rPr>
          <w:rFonts w:hint="eastAsia" w:cs="宋体"/>
          <w:b w:val="0"/>
          <w:bCs/>
          <w:szCs w:val="24"/>
        </w:rPr>
        <w:t>3.22.3住院病历书写</w:t>
      </w:r>
    </w:p>
    <w:p>
      <w:pPr>
        <w:wordWrap/>
        <w:spacing w:line="360" w:lineRule="auto"/>
        <w:ind w:left="0" w:leftChars="0" w:firstLine="480" w:firstLineChars="200"/>
        <w:rPr>
          <w:rFonts w:hint="eastAsia" w:cs="宋体"/>
          <w:b w:val="0"/>
          <w:bCs/>
          <w:szCs w:val="24"/>
        </w:rPr>
      </w:pPr>
      <w:r>
        <w:rPr>
          <w:rFonts w:hint="eastAsia" w:cs="宋体"/>
          <w:b w:val="0"/>
          <w:bCs/>
          <w:szCs w:val="24"/>
        </w:rPr>
        <w:t>支持不显示痕迹的整洁视图和显示痕迹的留痕视图，支持留痕打印，支持书写病历时调用整体模版、短语等。</w:t>
      </w:r>
    </w:p>
    <w:p>
      <w:pPr>
        <w:wordWrap/>
        <w:spacing w:line="360" w:lineRule="auto"/>
        <w:ind w:left="0" w:leftChars="0" w:firstLine="480" w:firstLineChars="200"/>
        <w:rPr>
          <w:rFonts w:hint="eastAsia" w:cs="宋体"/>
          <w:b w:val="0"/>
          <w:bCs/>
          <w:szCs w:val="24"/>
        </w:rPr>
      </w:pPr>
      <w:r>
        <w:rPr>
          <w:rFonts w:hint="eastAsia" w:cs="宋体"/>
          <w:b w:val="0"/>
          <w:bCs/>
          <w:szCs w:val="24"/>
        </w:rPr>
        <w:t>支持调节文字标注中的文字大小，支持移动、删除、撤回、清空标注，病历书写过程中插入表格，设置表格内容是否可编辑。</w:t>
      </w:r>
    </w:p>
    <w:p>
      <w:pPr>
        <w:wordWrap/>
        <w:spacing w:line="360" w:lineRule="auto"/>
        <w:ind w:left="0" w:leftChars="0" w:firstLine="480" w:firstLineChars="200"/>
        <w:rPr>
          <w:rFonts w:hint="eastAsia" w:cs="宋体"/>
          <w:b w:val="0"/>
          <w:bCs/>
          <w:szCs w:val="24"/>
        </w:rPr>
      </w:pPr>
      <w:r>
        <w:rPr>
          <w:rFonts w:hint="eastAsia" w:cs="宋体"/>
          <w:b w:val="0"/>
          <w:bCs/>
          <w:szCs w:val="24"/>
        </w:rPr>
        <w:t>支持文档的基本操作，包括新建、打开、保存、另存为、剪切、复制、粘帖、选择性粘帖、撤销、重做、单选、全选、删除、清除格式、格式刷、查找和替换。</w:t>
      </w:r>
    </w:p>
    <w:p>
      <w:pPr>
        <w:wordWrap/>
        <w:spacing w:line="360" w:lineRule="auto"/>
        <w:ind w:left="0" w:leftChars="0" w:firstLine="480" w:firstLineChars="200"/>
        <w:rPr>
          <w:rFonts w:hint="eastAsia" w:cs="宋体"/>
          <w:b w:val="0"/>
          <w:bCs/>
          <w:szCs w:val="24"/>
        </w:rPr>
      </w:pPr>
      <w:r>
        <w:rPr>
          <w:rFonts w:hint="eastAsia" w:cs="宋体"/>
          <w:b w:val="0"/>
          <w:bCs/>
          <w:szCs w:val="24"/>
        </w:rPr>
        <w:t>3.22.4病程记录</w:t>
      </w:r>
    </w:p>
    <w:p>
      <w:pPr>
        <w:wordWrap/>
        <w:spacing w:line="360" w:lineRule="auto"/>
        <w:ind w:left="0" w:leftChars="0" w:firstLine="480" w:firstLineChars="200"/>
        <w:rPr>
          <w:rFonts w:hint="eastAsia" w:cs="宋体"/>
          <w:b w:val="0"/>
          <w:bCs/>
          <w:szCs w:val="24"/>
        </w:rPr>
      </w:pPr>
      <w:r>
        <w:rPr>
          <w:rFonts w:hint="eastAsia" w:cs="宋体"/>
          <w:b w:val="0"/>
          <w:bCs/>
          <w:szCs w:val="24"/>
        </w:rPr>
        <w:t>支持所见即所得的打印和打印预览，定义指定的病程记录隔页打印。</w:t>
      </w:r>
    </w:p>
    <w:p>
      <w:pPr>
        <w:wordWrap/>
        <w:spacing w:line="360" w:lineRule="auto"/>
        <w:ind w:left="0" w:leftChars="0" w:firstLine="480" w:firstLineChars="200"/>
        <w:rPr>
          <w:rFonts w:hint="eastAsia" w:cs="宋体"/>
          <w:b w:val="0"/>
          <w:bCs/>
          <w:szCs w:val="24"/>
        </w:rPr>
      </w:pPr>
      <w:r>
        <w:rPr>
          <w:rFonts w:hint="eastAsia" w:cs="宋体"/>
          <w:b w:val="0"/>
          <w:bCs/>
          <w:szCs w:val="24"/>
        </w:rPr>
        <w:t>支持病程记录连续性展示及打印，修改病历创建时间、上级医师查房记录上级医师信息。</w:t>
      </w:r>
    </w:p>
    <w:p>
      <w:pPr>
        <w:wordWrap/>
        <w:spacing w:line="360" w:lineRule="auto"/>
        <w:ind w:left="0" w:leftChars="0" w:firstLine="480" w:firstLineChars="200"/>
        <w:rPr>
          <w:rFonts w:hint="eastAsia" w:cs="宋体"/>
          <w:b w:val="0"/>
          <w:bCs/>
          <w:szCs w:val="24"/>
        </w:rPr>
      </w:pPr>
      <w:r>
        <w:rPr>
          <w:rFonts w:hint="eastAsia" w:cs="宋体"/>
          <w:b w:val="0"/>
          <w:bCs/>
          <w:szCs w:val="24"/>
        </w:rPr>
        <w:t>3.22.5病历引用</w:t>
      </w:r>
    </w:p>
    <w:p>
      <w:pPr>
        <w:wordWrap/>
        <w:spacing w:line="360" w:lineRule="auto"/>
        <w:ind w:left="0" w:leftChars="0" w:firstLine="480" w:firstLineChars="200"/>
        <w:rPr>
          <w:rFonts w:hint="eastAsia" w:cs="宋体"/>
          <w:b w:val="0"/>
          <w:bCs/>
          <w:szCs w:val="24"/>
        </w:rPr>
      </w:pPr>
      <w:r>
        <w:rPr>
          <w:rFonts w:hint="eastAsia" w:cs="宋体"/>
          <w:b w:val="0"/>
          <w:bCs/>
          <w:szCs w:val="24"/>
        </w:rPr>
        <w:t>支持病历书写时候可以快速查询当前患者住院期间的各种检验、检查、医嘱等临床数据，可以选择导入到病历文档中。</w:t>
      </w:r>
    </w:p>
    <w:p>
      <w:pPr>
        <w:wordWrap/>
        <w:spacing w:line="360" w:lineRule="auto"/>
        <w:ind w:left="0" w:leftChars="0" w:firstLine="480" w:firstLineChars="200"/>
        <w:rPr>
          <w:rFonts w:hint="eastAsia" w:cs="宋体"/>
          <w:b w:val="0"/>
          <w:bCs/>
          <w:szCs w:val="24"/>
        </w:rPr>
      </w:pPr>
      <w:r>
        <w:rPr>
          <w:rFonts w:hint="eastAsia" w:cs="宋体"/>
          <w:b w:val="0"/>
          <w:bCs/>
          <w:szCs w:val="24"/>
        </w:rPr>
        <w:t>支持书写病历时调用整体模版、短语等，支持患者所有病历中相同节点内容的自动引用。</w:t>
      </w:r>
    </w:p>
    <w:p>
      <w:pPr>
        <w:wordWrap/>
        <w:spacing w:line="360" w:lineRule="auto"/>
        <w:ind w:left="0" w:leftChars="0" w:firstLine="480" w:firstLineChars="200"/>
        <w:rPr>
          <w:rFonts w:hint="eastAsia" w:cs="宋体"/>
          <w:b w:val="0"/>
          <w:bCs/>
          <w:szCs w:val="24"/>
        </w:rPr>
      </w:pPr>
      <w:r>
        <w:rPr>
          <w:rFonts w:hint="eastAsia" w:cs="宋体"/>
          <w:b w:val="0"/>
          <w:bCs/>
          <w:szCs w:val="24"/>
        </w:rPr>
        <w:t>支持调用检验报告、检查报告、医嘱内容、护理记录等信息。引用检验结果时选择性加入、全部加入、只加入异常项目。</w:t>
      </w:r>
    </w:p>
    <w:p>
      <w:pPr>
        <w:wordWrap/>
        <w:spacing w:line="360" w:lineRule="auto"/>
        <w:ind w:left="0" w:leftChars="0" w:firstLine="480" w:firstLineChars="200"/>
        <w:rPr>
          <w:rFonts w:hint="eastAsia" w:cs="宋体"/>
          <w:b w:val="0"/>
          <w:bCs/>
          <w:szCs w:val="24"/>
        </w:rPr>
      </w:pPr>
      <w:r>
        <w:rPr>
          <w:rFonts w:hint="eastAsia" w:cs="宋体"/>
          <w:b w:val="0"/>
          <w:bCs/>
          <w:szCs w:val="24"/>
        </w:rPr>
        <w:t>提供个人、科室、公共级模板，提供模板检索功能，医生可以快速引用需要的模板。维护好的元素也可通过左侧进行快速引用。</w:t>
      </w:r>
    </w:p>
    <w:p>
      <w:pPr>
        <w:wordWrap/>
        <w:spacing w:line="360" w:lineRule="auto"/>
        <w:ind w:left="0" w:leftChars="0" w:firstLine="480" w:firstLineChars="200"/>
        <w:rPr>
          <w:rFonts w:hint="eastAsia" w:cs="宋体"/>
          <w:b w:val="0"/>
          <w:bCs/>
          <w:szCs w:val="24"/>
        </w:rPr>
      </w:pPr>
      <w:r>
        <w:rPr>
          <w:rFonts w:hint="eastAsia" w:cs="宋体"/>
          <w:b w:val="0"/>
          <w:bCs/>
          <w:szCs w:val="24"/>
        </w:rPr>
        <w:t>3.23临床路径系统</w:t>
      </w:r>
    </w:p>
    <w:p>
      <w:pPr>
        <w:wordWrap/>
        <w:spacing w:line="360" w:lineRule="auto"/>
        <w:ind w:left="0" w:leftChars="0" w:firstLine="480" w:firstLineChars="200"/>
        <w:rPr>
          <w:rFonts w:hint="eastAsia" w:cs="宋体"/>
          <w:b w:val="0"/>
          <w:bCs/>
          <w:szCs w:val="24"/>
        </w:rPr>
      </w:pPr>
      <w:r>
        <w:rPr>
          <w:rFonts w:hint="eastAsia" w:cs="宋体"/>
          <w:b w:val="0"/>
          <w:bCs/>
          <w:szCs w:val="24"/>
        </w:rPr>
        <w:t>3.23.1基础路径设置</w:t>
      </w:r>
    </w:p>
    <w:p>
      <w:pPr>
        <w:wordWrap/>
        <w:spacing w:line="360" w:lineRule="auto"/>
        <w:ind w:left="0" w:leftChars="0" w:firstLine="480" w:firstLineChars="200"/>
        <w:rPr>
          <w:rFonts w:hint="eastAsia" w:cs="宋体"/>
          <w:b w:val="0"/>
          <w:bCs/>
          <w:szCs w:val="24"/>
        </w:rPr>
      </w:pPr>
      <w:r>
        <w:rPr>
          <w:rFonts w:hint="eastAsia" w:cs="宋体"/>
          <w:b w:val="0"/>
          <w:bCs/>
          <w:szCs w:val="24"/>
        </w:rPr>
        <w:t>支持按照国家标准路径进行数据导入，定义路径标准、诊断依据、路径说明、变异信息等。</w:t>
      </w:r>
    </w:p>
    <w:p>
      <w:pPr>
        <w:wordWrap/>
        <w:spacing w:line="360" w:lineRule="auto"/>
        <w:ind w:left="0" w:leftChars="0" w:firstLine="480" w:firstLineChars="200"/>
        <w:rPr>
          <w:rFonts w:hint="eastAsia" w:cs="宋体"/>
          <w:b w:val="0"/>
          <w:bCs/>
          <w:szCs w:val="24"/>
        </w:rPr>
      </w:pPr>
      <w:r>
        <w:rPr>
          <w:rFonts w:hint="eastAsia" w:cs="宋体"/>
          <w:b w:val="0"/>
          <w:bCs/>
          <w:szCs w:val="24"/>
        </w:rPr>
        <w:t>支持路径绑定医嘱、病历、检查等项目，并将路径分发到制定科室。</w:t>
      </w:r>
    </w:p>
    <w:p>
      <w:pPr>
        <w:wordWrap/>
        <w:spacing w:line="360" w:lineRule="auto"/>
        <w:ind w:left="0" w:leftChars="0" w:firstLine="480" w:firstLineChars="200"/>
        <w:rPr>
          <w:rFonts w:hint="eastAsia" w:cs="宋体"/>
          <w:b w:val="0"/>
          <w:bCs/>
          <w:szCs w:val="24"/>
        </w:rPr>
      </w:pPr>
      <w:r>
        <w:rPr>
          <w:rFonts w:hint="eastAsia" w:cs="宋体"/>
          <w:b w:val="0"/>
          <w:bCs/>
          <w:szCs w:val="24"/>
        </w:rPr>
        <w:t>支持定义路径费用标准、入径规则、标准住院日、最大住院日。</w:t>
      </w:r>
    </w:p>
    <w:p>
      <w:pPr>
        <w:wordWrap/>
        <w:spacing w:line="360" w:lineRule="auto"/>
        <w:ind w:left="0" w:leftChars="0" w:firstLine="480" w:firstLineChars="200"/>
        <w:rPr>
          <w:rFonts w:hint="eastAsia" w:cs="宋体"/>
          <w:b w:val="0"/>
          <w:bCs/>
          <w:szCs w:val="24"/>
        </w:rPr>
      </w:pPr>
      <w:r>
        <w:rPr>
          <w:rFonts w:hint="eastAsia" w:cs="宋体"/>
          <w:b w:val="0"/>
          <w:bCs/>
          <w:szCs w:val="24"/>
        </w:rPr>
        <w:t>3.23.2一体化临床路径</w:t>
      </w:r>
    </w:p>
    <w:p>
      <w:pPr>
        <w:wordWrap/>
        <w:spacing w:line="360" w:lineRule="auto"/>
        <w:ind w:left="0" w:leftChars="0" w:firstLine="480" w:firstLineChars="200"/>
        <w:rPr>
          <w:rFonts w:hint="eastAsia" w:cs="宋体"/>
          <w:b w:val="0"/>
          <w:bCs/>
          <w:szCs w:val="24"/>
        </w:rPr>
      </w:pPr>
      <w:r>
        <w:rPr>
          <w:rFonts w:hint="eastAsia" w:cs="宋体"/>
          <w:b w:val="0"/>
          <w:bCs/>
          <w:szCs w:val="24"/>
        </w:rPr>
        <w:t>支持根据诊断等相关指标自动判断病人是否应该加入临床路径，路径中制定的内容，当天提醒医生按时完成。</w:t>
      </w:r>
    </w:p>
    <w:p>
      <w:pPr>
        <w:wordWrap/>
        <w:spacing w:line="360" w:lineRule="auto"/>
        <w:ind w:left="0" w:leftChars="0" w:firstLine="480" w:firstLineChars="200"/>
        <w:rPr>
          <w:rFonts w:hint="eastAsia" w:cs="宋体"/>
          <w:b w:val="0"/>
          <w:bCs/>
          <w:szCs w:val="24"/>
        </w:rPr>
      </w:pPr>
      <w:r>
        <w:rPr>
          <w:rFonts w:hint="eastAsia" w:cs="宋体"/>
          <w:b w:val="0"/>
          <w:bCs/>
          <w:szCs w:val="24"/>
        </w:rPr>
        <w:t>根据路径中检查内容事先与医院的检查科室进行预约，并根据医生医嘱信息，病历信息，自动勾选路径信息。</w:t>
      </w:r>
    </w:p>
    <w:p>
      <w:pPr>
        <w:wordWrap/>
        <w:spacing w:line="360" w:lineRule="auto"/>
        <w:ind w:left="0" w:leftChars="0" w:firstLine="480" w:firstLineChars="200"/>
        <w:rPr>
          <w:rFonts w:hint="eastAsia" w:cs="宋体"/>
          <w:b w:val="0"/>
          <w:bCs/>
          <w:szCs w:val="24"/>
        </w:rPr>
      </w:pPr>
      <w:r>
        <w:rPr>
          <w:rFonts w:hint="eastAsia" w:cs="宋体"/>
          <w:b w:val="0"/>
          <w:bCs/>
          <w:szCs w:val="24"/>
        </w:rPr>
        <w:t>路径执行过程中发生与路径变异不一致的地方，记录变异原因。在执行过程中可对路径的内容进行修改。</w:t>
      </w:r>
    </w:p>
    <w:p>
      <w:pPr>
        <w:wordWrap/>
        <w:spacing w:line="360" w:lineRule="auto"/>
        <w:ind w:left="0" w:leftChars="0" w:firstLine="480" w:firstLineChars="200"/>
        <w:rPr>
          <w:rFonts w:hint="eastAsia" w:cs="宋体"/>
          <w:b w:val="0"/>
          <w:bCs/>
          <w:szCs w:val="24"/>
        </w:rPr>
      </w:pPr>
      <w:r>
        <w:rPr>
          <w:rFonts w:hint="eastAsia" w:cs="宋体"/>
          <w:b w:val="0"/>
          <w:bCs/>
          <w:szCs w:val="24"/>
        </w:rPr>
        <w:t>3.23.3诊疗包</w:t>
      </w:r>
    </w:p>
    <w:p>
      <w:pPr>
        <w:wordWrap/>
        <w:spacing w:line="360" w:lineRule="auto"/>
        <w:ind w:left="0" w:leftChars="0" w:firstLine="480" w:firstLineChars="200"/>
        <w:rPr>
          <w:rFonts w:hint="eastAsia" w:cs="宋体"/>
          <w:b w:val="0"/>
          <w:bCs/>
          <w:szCs w:val="24"/>
        </w:rPr>
      </w:pPr>
      <w:r>
        <w:rPr>
          <w:rFonts w:hint="eastAsia" w:cs="宋体"/>
          <w:b w:val="0"/>
          <w:bCs/>
          <w:szCs w:val="24"/>
        </w:rPr>
        <w:t xml:space="preserve">支持按照每天的检查、治疗内容定义路径中的内容。可定义当天的预计目标、当天的病人须知、当天的护理措施、当天的每项检查和治疗的预期效果。 </w:t>
      </w:r>
    </w:p>
    <w:p>
      <w:pPr>
        <w:wordWrap/>
        <w:spacing w:line="360" w:lineRule="auto"/>
        <w:ind w:left="0" w:leftChars="0" w:firstLine="480" w:firstLineChars="200"/>
        <w:rPr>
          <w:rFonts w:hint="eastAsia" w:cs="宋体"/>
          <w:b w:val="0"/>
          <w:bCs/>
          <w:szCs w:val="24"/>
        </w:rPr>
      </w:pPr>
      <w:r>
        <w:rPr>
          <w:rFonts w:hint="eastAsia" w:cs="宋体"/>
          <w:b w:val="0"/>
          <w:bCs/>
          <w:szCs w:val="24"/>
        </w:rPr>
        <w:t>支持由医务科制定分支路径内容，临床医生也可申请添加分支路径内容，由医务科审批后即可加入分支路径中。</w:t>
      </w:r>
    </w:p>
    <w:p>
      <w:pPr>
        <w:wordWrap/>
        <w:spacing w:line="360" w:lineRule="auto"/>
        <w:ind w:left="0" w:leftChars="0" w:firstLine="480" w:firstLineChars="200"/>
        <w:rPr>
          <w:rFonts w:hint="eastAsia" w:cs="宋体"/>
          <w:b w:val="0"/>
          <w:bCs/>
          <w:szCs w:val="24"/>
        </w:rPr>
      </w:pPr>
      <w:r>
        <w:rPr>
          <w:rFonts w:hint="eastAsia" w:cs="宋体"/>
          <w:b w:val="0"/>
          <w:bCs/>
          <w:szCs w:val="24"/>
        </w:rPr>
        <w:t>3.24住院护理记录</w:t>
      </w:r>
    </w:p>
    <w:p>
      <w:pPr>
        <w:wordWrap/>
        <w:spacing w:line="360" w:lineRule="auto"/>
        <w:ind w:left="0" w:leftChars="0" w:firstLine="480" w:firstLineChars="200"/>
        <w:rPr>
          <w:rFonts w:hint="eastAsia" w:cs="宋体"/>
          <w:b w:val="0"/>
          <w:bCs/>
          <w:szCs w:val="24"/>
        </w:rPr>
      </w:pPr>
      <w:r>
        <w:rPr>
          <w:rFonts w:hint="eastAsia" w:cs="宋体"/>
          <w:b w:val="0"/>
          <w:bCs/>
          <w:szCs w:val="24"/>
        </w:rPr>
        <w:t>支持护理记录输入，护士根据医嘱和病情对一般患者住院期间护理过程的客观记录。包括护士观察到的客观病情变化及采取的护理措施和效果评价。</w:t>
      </w:r>
    </w:p>
    <w:p>
      <w:pPr>
        <w:wordWrap/>
        <w:spacing w:line="360" w:lineRule="auto"/>
        <w:ind w:left="0" w:leftChars="0" w:firstLine="480" w:firstLineChars="200"/>
        <w:rPr>
          <w:rFonts w:hint="eastAsia" w:cs="宋体"/>
          <w:b w:val="0"/>
          <w:bCs/>
          <w:szCs w:val="24"/>
        </w:rPr>
      </w:pPr>
      <w:r>
        <w:rPr>
          <w:rFonts w:hint="eastAsia" w:cs="宋体"/>
          <w:b w:val="0"/>
          <w:bCs/>
          <w:szCs w:val="24"/>
        </w:rPr>
        <w:t>▲支持根据产科记录自动生成产程图，支持产科护理专科记录，如待产记录、产后24小时护理记录等。</w:t>
      </w:r>
    </w:p>
    <w:p>
      <w:pPr>
        <w:wordWrap/>
        <w:spacing w:line="360" w:lineRule="auto"/>
        <w:ind w:left="0" w:leftChars="0" w:firstLine="480" w:firstLineChars="200"/>
        <w:rPr>
          <w:rFonts w:hint="eastAsia" w:cs="宋体"/>
          <w:b w:val="0"/>
          <w:bCs/>
          <w:szCs w:val="24"/>
        </w:rPr>
      </w:pPr>
      <w:r>
        <w:rPr>
          <w:rFonts w:hint="eastAsia" w:cs="宋体"/>
          <w:b w:val="0"/>
          <w:bCs/>
          <w:szCs w:val="24"/>
        </w:rPr>
        <w:t>支持根据出入量情况自动计算出入量小结及出入量总结。</w:t>
      </w:r>
    </w:p>
    <w:p>
      <w:pPr>
        <w:wordWrap/>
        <w:spacing w:line="360" w:lineRule="auto"/>
        <w:ind w:left="0" w:leftChars="0" w:firstLine="480" w:firstLineChars="200"/>
        <w:rPr>
          <w:rFonts w:hint="eastAsia" w:cs="宋体"/>
          <w:b w:val="0"/>
          <w:bCs/>
          <w:szCs w:val="24"/>
        </w:rPr>
      </w:pPr>
      <w:r>
        <w:rPr>
          <w:rFonts w:hint="eastAsia" w:cs="宋体"/>
          <w:b w:val="0"/>
          <w:bCs/>
          <w:szCs w:val="24"/>
        </w:rPr>
        <w:t>支持护理记录单病情及处理调用患者基本信息、病历信息、检验检查信息、医嘱信息及知识库。</w:t>
      </w:r>
    </w:p>
    <w:p>
      <w:pPr>
        <w:wordWrap/>
        <w:spacing w:line="360" w:lineRule="auto"/>
        <w:ind w:left="0" w:leftChars="0" w:firstLine="480" w:firstLineChars="200"/>
        <w:rPr>
          <w:rFonts w:hint="eastAsia" w:cs="宋体"/>
          <w:b w:val="0"/>
          <w:bCs/>
          <w:szCs w:val="24"/>
        </w:rPr>
      </w:pPr>
      <w:r>
        <w:rPr>
          <w:rFonts w:hint="eastAsia" w:cs="宋体"/>
          <w:b w:val="0"/>
          <w:bCs/>
          <w:szCs w:val="24"/>
        </w:rPr>
        <w:t>3.25护理医嘱执行</w:t>
      </w:r>
    </w:p>
    <w:p>
      <w:pPr>
        <w:wordWrap/>
        <w:spacing w:line="360" w:lineRule="auto"/>
        <w:ind w:left="0" w:leftChars="0" w:firstLine="480" w:firstLineChars="200"/>
        <w:rPr>
          <w:rFonts w:hint="eastAsia" w:cs="宋体"/>
          <w:b w:val="0"/>
          <w:bCs/>
          <w:szCs w:val="24"/>
        </w:rPr>
      </w:pPr>
      <w:r>
        <w:rPr>
          <w:rFonts w:hint="eastAsia" w:cs="宋体"/>
          <w:b w:val="0"/>
          <w:bCs/>
          <w:szCs w:val="24"/>
        </w:rPr>
        <w:t>3.25.1临床一体化应用</w:t>
      </w:r>
    </w:p>
    <w:p>
      <w:pPr>
        <w:wordWrap/>
        <w:spacing w:line="360" w:lineRule="auto"/>
        <w:ind w:left="0" w:leftChars="0" w:firstLine="480" w:firstLineChars="200"/>
        <w:rPr>
          <w:rFonts w:hint="eastAsia" w:cs="宋体"/>
          <w:b w:val="0"/>
          <w:bCs/>
          <w:szCs w:val="24"/>
        </w:rPr>
      </w:pPr>
      <w:r>
        <w:rPr>
          <w:rFonts w:hint="eastAsia" w:cs="宋体"/>
          <w:b w:val="0"/>
          <w:bCs/>
          <w:szCs w:val="24"/>
        </w:rPr>
        <w:t>提供完整的就诊病人诊疗信息给护士浏览，包括：主诉、病史、体检、处方、手术治疗、检验、影像、心电、超声、费用明细等信息。</w:t>
      </w:r>
    </w:p>
    <w:p>
      <w:pPr>
        <w:wordWrap/>
        <w:spacing w:line="360" w:lineRule="auto"/>
        <w:ind w:left="0" w:leftChars="0" w:firstLine="480" w:firstLineChars="200"/>
        <w:rPr>
          <w:rFonts w:hint="eastAsia" w:cs="宋体"/>
          <w:b w:val="0"/>
          <w:bCs/>
          <w:szCs w:val="24"/>
        </w:rPr>
      </w:pPr>
      <w:r>
        <w:rPr>
          <w:rFonts w:hint="eastAsia" w:cs="宋体"/>
          <w:b w:val="0"/>
          <w:bCs/>
          <w:szCs w:val="24"/>
        </w:rPr>
        <w:t>支持重要及特殊病人有特别显示，不同护理级别有特殊标记，例如危重标记、手术标记、新入院标记等。</w:t>
      </w:r>
    </w:p>
    <w:p>
      <w:pPr>
        <w:wordWrap/>
        <w:spacing w:line="360" w:lineRule="auto"/>
        <w:ind w:left="0" w:leftChars="0" w:firstLine="480" w:firstLineChars="200"/>
        <w:rPr>
          <w:rFonts w:hint="eastAsia" w:cs="宋体"/>
          <w:b w:val="0"/>
          <w:bCs/>
          <w:szCs w:val="24"/>
        </w:rPr>
      </w:pPr>
      <w:r>
        <w:rPr>
          <w:rFonts w:hint="eastAsia" w:cs="宋体"/>
          <w:b w:val="0"/>
          <w:bCs/>
          <w:szCs w:val="24"/>
        </w:rPr>
        <w:t>支持在护理主界面进行接诊、安排床位、转科、出院等。支持患者显示信息自定义，查看患者历次就诊信息。</w:t>
      </w:r>
    </w:p>
    <w:p>
      <w:pPr>
        <w:wordWrap/>
        <w:spacing w:line="360" w:lineRule="auto"/>
        <w:ind w:left="0" w:leftChars="0" w:firstLine="480" w:firstLineChars="200"/>
        <w:rPr>
          <w:rFonts w:hint="eastAsia" w:cs="宋体"/>
          <w:b w:val="0"/>
          <w:bCs/>
          <w:szCs w:val="24"/>
        </w:rPr>
      </w:pPr>
      <w:r>
        <w:rPr>
          <w:rFonts w:hint="eastAsia" w:cs="宋体"/>
          <w:b w:val="0"/>
          <w:bCs/>
          <w:szCs w:val="24"/>
        </w:rPr>
        <w:t>3.25.2医嘱处理</w:t>
      </w:r>
    </w:p>
    <w:p>
      <w:pPr>
        <w:wordWrap/>
        <w:spacing w:line="360" w:lineRule="auto"/>
        <w:ind w:left="0" w:leftChars="0" w:firstLine="480" w:firstLineChars="200"/>
        <w:rPr>
          <w:rFonts w:hint="eastAsia" w:cs="宋体"/>
          <w:b w:val="0"/>
          <w:bCs/>
          <w:szCs w:val="24"/>
        </w:rPr>
      </w:pPr>
      <w:r>
        <w:rPr>
          <w:rFonts w:hint="eastAsia" w:cs="宋体"/>
          <w:b w:val="0"/>
          <w:bCs/>
          <w:szCs w:val="24"/>
        </w:rPr>
        <w:t>支持审核医嘱（新开立、停止、作废）、补费、退费、超期发送医嘱收回等，查询、打印病区医嘱审核处理情况。</w:t>
      </w:r>
    </w:p>
    <w:p>
      <w:pPr>
        <w:wordWrap/>
        <w:spacing w:line="360" w:lineRule="auto"/>
        <w:ind w:left="0" w:leftChars="0" w:firstLine="480" w:firstLineChars="200"/>
        <w:rPr>
          <w:rFonts w:hint="eastAsia" w:cs="宋体"/>
          <w:b w:val="0"/>
          <w:bCs/>
          <w:szCs w:val="24"/>
        </w:rPr>
      </w:pPr>
      <w:r>
        <w:rPr>
          <w:rFonts w:hint="eastAsia" w:cs="宋体"/>
          <w:b w:val="0"/>
          <w:bCs/>
          <w:szCs w:val="24"/>
        </w:rPr>
        <w:t>支持长期及临时医嘱的确认及执行情况，未执行的医嘱特别显示。将医嘱的执行情况、皮试结果等反馈给住院医生工作站。</w:t>
      </w:r>
    </w:p>
    <w:p>
      <w:pPr>
        <w:wordWrap/>
        <w:spacing w:line="360" w:lineRule="auto"/>
        <w:ind w:left="0" w:leftChars="0" w:firstLine="480" w:firstLineChars="200"/>
        <w:rPr>
          <w:rFonts w:hint="eastAsia" w:cs="宋体"/>
          <w:b w:val="0"/>
          <w:bCs/>
          <w:szCs w:val="24"/>
        </w:rPr>
      </w:pPr>
      <w:r>
        <w:rPr>
          <w:rFonts w:hint="eastAsia" w:cs="宋体"/>
          <w:b w:val="0"/>
          <w:bCs/>
          <w:szCs w:val="24"/>
        </w:rPr>
        <w:t>支持护士在核对医嘱，发现医嘱有错误，对该医嘱进行处理，并返回给医生，且有提示信息返回到医生工作站。</w:t>
      </w:r>
    </w:p>
    <w:p>
      <w:pPr>
        <w:wordWrap/>
        <w:spacing w:line="360" w:lineRule="auto"/>
        <w:ind w:left="0" w:leftChars="0" w:firstLine="480" w:firstLineChars="200"/>
        <w:rPr>
          <w:rFonts w:hint="eastAsia" w:cs="宋体"/>
          <w:b w:val="0"/>
          <w:bCs/>
          <w:szCs w:val="24"/>
        </w:rPr>
      </w:pPr>
      <w:r>
        <w:rPr>
          <w:rFonts w:hint="eastAsia" w:cs="宋体"/>
          <w:b w:val="0"/>
          <w:bCs/>
          <w:szCs w:val="24"/>
        </w:rPr>
        <w:t>支持分科设置医嘱辅材模板，针对不同用法绑定不同费用。打印长期及临时医嘱单，具备续打、重打、补打等功能。打印检验申请单及条形码，并显示抽血管的颜色。</w:t>
      </w:r>
    </w:p>
    <w:p>
      <w:pPr>
        <w:wordWrap/>
        <w:spacing w:line="360" w:lineRule="auto"/>
        <w:ind w:left="0" w:leftChars="0" w:firstLine="480" w:firstLineChars="200"/>
        <w:rPr>
          <w:rFonts w:hint="eastAsia" w:cs="宋体"/>
          <w:b w:val="0"/>
          <w:bCs/>
          <w:szCs w:val="24"/>
        </w:rPr>
      </w:pPr>
      <w:r>
        <w:rPr>
          <w:rFonts w:hint="eastAsia" w:cs="宋体"/>
          <w:b w:val="0"/>
          <w:bCs/>
          <w:szCs w:val="24"/>
        </w:rPr>
        <w:t>3.25.3护理医嘱处理</w:t>
      </w:r>
    </w:p>
    <w:p>
      <w:pPr>
        <w:wordWrap/>
        <w:spacing w:line="360" w:lineRule="auto"/>
        <w:ind w:left="0" w:leftChars="0" w:firstLine="480" w:firstLineChars="200"/>
        <w:rPr>
          <w:rFonts w:hint="eastAsia" w:cs="宋体"/>
          <w:b w:val="0"/>
          <w:bCs/>
          <w:szCs w:val="24"/>
        </w:rPr>
      </w:pPr>
      <w:r>
        <w:rPr>
          <w:rFonts w:hint="eastAsia" w:cs="宋体"/>
          <w:b w:val="0"/>
          <w:bCs/>
          <w:szCs w:val="24"/>
        </w:rPr>
        <w:t>支持分科定义生命体征采集参数，能根据医嘱自动生成分科生命体征采集单。</w:t>
      </w:r>
    </w:p>
    <w:p>
      <w:pPr>
        <w:wordWrap/>
        <w:spacing w:line="360" w:lineRule="auto"/>
        <w:ind w:left="0" w:leftChars="0" w:firstLine="480" w:firstLineChars="200"/>
        <w:rPr>
          <w:rFonts w:hint="eastAsia" w:cs="宋体"/>
          <w:b w:val="0"/>
          <w:bCs/>
          <w:szCs w:val="24"/>
        </w:rPr>
      </w:pPr>
      <w:r>
        <w:rPr>
          <w:rFonts w:hint="eastAsia" w:cs="宋体"/>
          <w:b w:val="0"/>
          <w:bCs/>
          <w:szCs w:val="24"/>
        </w:rPr>
        <w:t>分科设置血糖采集规则，能根据医嘱自动生成血糖采集单。</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支持各类治疗任务可根据医嘱产生护理任务单，据此进行护理治疗。支持根据医生医嘱自动生成输液单</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支持护理医嘱套餐（例如：治疗费、处置费等）设置、调用。支持填写药物皮试结果，支持将医嘱的执行情况、皮试结果等反馈给住院医生工作站，并有提示信息。</w:t>
      </w:r>
    </w:p>
    <w:p>
      <w:pPr>
        <w:wordWrap/>
        <w:spacing w:line="360" w:lineRule="auto"/>
        <w:ind w:left="0" w:leftChars="0" w:firstLine="480" w:firstLineChars="200"/>
        <w:rPr>
          <w:rFonts w:hint="eastAsia" w:cs="宋体"/>
          <w:b w:val="0"/>
          <w:bCs/>
          <w:szCs w:val="24"/>
        </w:rPr>
      </w:pPr>
      <w:r>
        <w:rPr>
          <w:rFonts w:hint="eastAsia" w:cs="宋体"/>
          <w:b w:val="0"/>
          <w:bCs/>
          <w:szCs w:val="24"/>
        </w:rPr>
        <w:t>3.25.4费用管理</w:t>
      </w:r>
    </w:p>
    <w:p>
      <w:pPr>
        <w:wordWrap/>
        <w:spacing w:line="360" w:lineRule="auto"/>
        <w:ind w:left="0" w:leftChars="0" w:firstLine="480" w:firstLineChars="200"/>
        <w:rPr>
          <w:rFonts w:hint="eastAsia" w:cs="宋体"/>
          <w:b w:val="0"/>
          <w:bCs/>
          <w:szCs w:val="24"/>
        </w:rPr>
      </w:pPr>
      <w:r>
        <w:rPr>
          <w:rFonts w:hint="eastAsia" w:cs="宋体"/>
          <w:b w:val="0"/>
          <w:bCs/>
          <w:szCs w:val="24"/>
        </w:rPr>
        <w:t>支持通过套餐录入收费（一次性材料、治疗费等）。查看病区（病人）退费情况一览表。</w:t>
      </w:r>
    </w:p>
    <w:p>
      <w:pPr>
        <w:wordWrap/>
        <w:spacing w:line="360" w:lineRule="auto"/>
        <w:ind w:left="0" w:leftChars="0" w:firstLine="480" w:firstLineChars="200"/>
        <w:rPr>
          <w:rFonts w:hint="eastAsia" w:cs="宋体"/>
          <w:b w:val="0"/>
          <w:bCs/>
          <w:szCs w:val="24"/>
        </w:rPr>
      </w:pPr>
      <w:r>
        <w:rPr>
          <w:rFonts w:hint="eastAsia" w:cs="宋体"/>
          <w:b w:val="0"/>
          <w:bCs/>
          <w:szCs w:val="24"/>
        </w:rPr>
        <w:t>支持查询病区欠费病人清单，打印催缴通知单，并查询病人截至当前的账务情况，费用可明细到具体项目。</w:t>
      </w:r>
    </w:p>
    <w:p>
      <w:pPr>
        <w:wordWrap/>
        <w:spacing w:line="360" w:lineRule="auto"/>
        <w:ind w:left="0" w:leftChars="0" w:firstLine="480" w:firstLineChars="200"/>
        <w:rPr>
          <w:rFonts w:hint="eastAsia" w:cs="宋体"/>
          <w:b w:val="0"/>
          <w:bCs/>
          <w:szCs w:val="24"/>
        </w:rPr>
      </w:pPr>
      <w:r>
        <w:rPr>
          <w:rFonts w:hint="eastAsia" w:cs="宋体"/>
          <w:b w:val="0"/>
          <w:bCs/>
          <w:szCs w:val="24"/>
        </w:rPr>
        <w:t>支持欠费管理，按照不同的科室、病区、医保类型等设置欠费金额。支持停止及作废医嘱退费申请。</w:t>
      </w:r>
    </w:p>
    <w:p>
      <w:pPr>
        <w:wordWrap/>
        <w:spacing w:line="360" w:lineRule="auto"/>
        <w:ind w:left="0" w:leftChars="0" w:firstLine="480" w:firstLineChars="200"/>
        <w:rPr>
          <w:rFonts w:hint="eastAsia" w:cs="宋体"/>
          <w:b w:val="0"/>
          <w:bCs/>
          <w:szCs w:val="24"/>
        </w:rPr>
      </w:pPr>
      <w:r>
        <w:rPr>
          <w:rFonts w:hint="eastAsia" w:cs="宋体"/>
          <w:b w:val="0"/>
          <w:bCs/>
          <w:szCs w:val="24"/>
        </w:rPr>
        <w:t>支持查询并打印住院费用清单（含每日费用清单）。接收并打印药品单、退药清单。</w:t>
      </w:r>
    </w:p>
    <w:p>
      <w:pPr>
        <w:wordWrap/>
        <w:spacing w:line="360" w:lineRule="auto"/>
        <w:ind w:left="0" w:leftChars="0" w:firstLine="480" w:firstLineChars="200"/>
        <w:rPr>
          <w:rFonts w:hint="eastAsia" w:cs="宋体"/>
          <w:b w:val="0"/>
          <w:bCs/>
          <w:szCs w:val="24"/>
        </w:rPr>
      </w:pPr>
      <w:r>
        <w:rPr>
          <w:rFonts w:hint="eastAsia" w:cs="宋体"/>
          <w:b w:val="0"/>
          <w:bCs/>
          <w:szCs w:val="24"/>
        </w:rPr>
        <w:t>3.25.5用药管理</w:t>
      </w:r>
    </w:p>
    <w:p>
      <w:pPr>
        <w:wordWrap/>
        <w:spacing w:line="360" w:lineRule="auto"/>
        <w:ind w:left="0" w:leftChars="0" w:firstLine="480" w:firstLineChars="200"/>
        <w:rPr>
          <w:rFonts w:hint="eastAsia" w:cs="宋体"/>
          <w:b w:val="0"/>
          <w:bCs/>
          <w:szCs w:val="24"/>
        </w:rPr>
      </w:pPr>
      <w:r>
        <w:rPr>
          <w:rFonts w:hint="eastAsia" w:cs="宋体"/>
          <w:b w:val="0"/>
          <w:bCs/>
          <w:szCs w:val="24"/>
        </w:rPr>
        <w:t>支持药品汇总，生成领药单，集中发送药房功能。支持病区摆药管理模式，提供摆药查询等功能。</w:t>
      </w:r>
    </w:p>
    <w:p>
      <w:pPr>
        <w:wordWrap/>
        <w:spacing w:line="360" w:lineRule="auto"/>
        <w:ind w:left="0" w:leftChars="0" w:firstLine="480" w:firstLineChars="200"/>
        <w:rPr>
          <w:rFonts w:hint="eastAsia" w:cs="宋体"/>
          <w:b w:val="0"/>
          <w:bCs/>
          <w:szCs w:val="24"/>
        </w:rPr>
      </w:pPr>
      <w:r>
        <w:rPr>
          <w:rFonts w:hint="eastAsia" w:cs="宋体"/>
          <w:b w:val="0"/>
          <w:bCs/>
          <w:szCs w:val="24"/>
        </w:rPr>
        <w:t>支持药品核收，退药申请等病房药品管理功能。支持查询领药和发药情况。</w:t>
      </w:r>
    </w:p>
    <w:p>
      <w:pPr>
        <w:wordWrap/>
        <w:spacing w:line="360" w:lineRule="auto"/>
        <w:ind w:left="0" w:leftChars="0" w:firstLine="480" w:firstLineChars="200"/>
        <w:rPr>
          <w:rFonts w:hint="eastAsia" w:cs="宋体"/>
          <w:b w:val="0"/>
          <w:bCs/>
          <w:szCs w:val="24"/>
        </w:rPr>
      </w:pPr>
      <w:r>
        <w:rPr>
          <w:rFonts w:hint="eastAsia" w:cs="宋体"/>
          <w:b w:val="0"/>
          <w:bCs/>
          <w:szCs w:val="24"/>
        </w:rPr>
        <w:t>支持退药管理。</w:t>
      </w:r>
    </w:p>
    <w:p>
      <w:pPr>
        <w:wordWrap/>
        <w:spacing w:line="360" w:lineRule="auto"/>
        <w:ind w:left="0" w:leftChars="0" w:firstLine="480" w:firstLineChars="200"/>
        <w:rPr>
          <w:rFonts w:hint="eastAsia" w:cs="宋体"/>
          <w:b w:val="0"/>
          <w:bCs/>
          <w:szCs w:val="24"/>
        </w:rPr>
      </w:pPr>
      <w:r>
        <w:rPr>
          <w:rFonts w:hint="eastAsia" w:cs="宋体"/>
          <w:b w:val="0"/>
          <w:bCs/>
          <w:szCs w:val="24"/>
        </w:rPr>
        <w:t>支持打印领药单，支持对领药单分类维护，按用法不同打印各种不同的医嘱执行单、输液单、瓶签、注射卡、口服单等。</w:t>
      </w:r>
    </w:p>
    <w:p>
      <w:pPr>
        <w:wordWrap/>
        <w:spacing w:line="360" w:lineRule="auto"/>
        <w:ind w:left="0" w:leftChars="0" w:firstLine="480" w:firstLineChars="200"/>
        <w:rPr>
          <w:rFonts w:hint="eastAsia" w:cs="宋体"/>
          <w:b w:val="0"/>
          <w:bCs/>
          <w:szCs w:val="24"/>
        </w:rPr>
      </w:pPr>
      <w:r>
        <w:rPr>
          <w:rFonts w:hint="eastAsia" w:cs="宋体"/>
          <w:b w:val="0"/>
          <w:bCs/>
          <w:szCs w:val="24"/>
        </w:rPr>
        <w:t>3.26护理医嘱提醒</w:t>
      </w:r>
    </w:p>
    <w:p>
      <w:pPr>
        <w:wordWrap/>
        <w:spacing w:line="360" w:lineRule="auto"/>
        <w:ind w:left="0" w:leftChars="0" w:firstLine="480" w:firstLineChars="200"/>
        <w:rPr>
          <w:rFonts w:hint="eastAsia" w:cs="宋体"/>
          <w:b w:val="0"/>
          <w:bCs/>
          <w:szCs w:val="24"/>
        </w:rPr>
      </w:pPr>
      <w:r>
        <w:rPr>
          <w:rFonts w:hint="eastAsia" w:cs="宋体"/>
          <w:b w:val="0"/>
          <w:bCs/>
          <w:szCs w:val="24"/>
        </w:rPr>
        <w:t>支持语音、电脑气泡窗口提醒双模式，能够设置提醒时间间隔，根据科室、工作站区分提醒内容。</w:t>
      </w:r>
    </w:p>
    <w:p>
      <w:pPr>
        <w:wordWrap/>
        <w:spacing w:line="360" w:lineRule="auto"/>
        <w:ind w:left="0" w:leftChars="0" w:firstLine="480" w:firstLineChars="200"/>
        <w:rPr>
          <w:rFonts w:hint="eastAsia" w:cs="宋体"/>
          <w:b w:val="0"/>
          <w:bCs/>
          <w:szCs w:val="24"/>
        </w:rPr>
      </w:pPr>
      <w:r>
        <w:rPr>
          <w:rFonts w:hint="eastAsia" w:cs="宋体"/>
          <w:b w:val="0"/>
          <w:bCs/>
          <w:szCs w:val="24"/>
        </w:rPr>
        <w:t>支持未处理医嘱时，HIS中患者列表以红色标记，支持定义护理提醒开始时间结束时间。</w:t>
      </w:r>
    </w:p>
    <w:p>
      <w:pPr>
        <w:wordWrap/>
        <w:spacing w:line="360" w:lineRule="auto"/>
        <w:ind w:left="0" w:leftChars="0" w:firstLine="480" w:firstLineChars="200"/>
        <w:rPr>
          <w:rFonts w:hint="eastAsia" w:cs="宋体"/>
          <w:b w:val="0"/>
          <w:bCs/>
          <w:szCs w:val="24"/>
        </w:rPr>
      </w:pPr>
      <w:r>
        <w:rPr>
          <w:rFonts w:hint="eastAsia" w:cs="宋体"/>
          <w:b w:val="0"/>
          <w:bCs/>
          <w:szCs w:val="24"/>
        </w:rPr>
        <w:t>支持医嘱提示按病人所在科室、开单科室两种模式进行提示。</w:t>
      </w:r>
    </w:p>
    <w:p>
      <w:pPr>
        <w:wordWrap/>
        <w:spacing w:line="360" w:lineRule="auto"/>
        <w:ind w:left="0" w:leftChars="0" w:firstLine="480" w:firstLineChars="200"/>
        <w:rPr>
          <w:rFonts w:hint="eastAsia" w:cs="宋体"/>
          <w:b w:val="0"/>
          <w:bCs/>
          <w:szCs w:val="24"/>
        </w:rPr>
      </w:pPr>
      <w:r>
        <w:rPr>
          <w:rFonts w:hint="eastAsia" w:cs="宋体"/>
          <w:b w:val="0"/>
          <w:bCs/>
          <w:szCs w:val="24"/>
        </w:rPr>
        <w:t>3.27移动查房系统</w:t>
      </w:r>
    </w:p>
    <w:p>
      <w:pPr>
        <w:wordWrap/>
        <w:spacing w:line="360" w:lineRule="auto"/>
        <w:ind w:left="0" w:leftChars="0" w:firstLine="480" w:firstLineChars="200"/>
        <w:rPr>
          <w:rFonts w:hint="eastAsia" w:cs="宋体"/>
          <w:b w:val="0"/>
          <w:bCs/>
          <w:szCs w:val="24"/>
        </w:rPr>
      </w:pPr>
      <w:r>
        <w:rPr>
          <w:rFonts w:hint="eastAsia" w:cs="宋体"/>
          <w:b w:val="0"/>
          <w:bCs/>
          <w:szCs w:val="24"/>
        </w:rPr>
        <w:t>3.27.1患者信息浏览</w:t>
      </w:r>
    </w:p>
    <w:p>
      <w:pPr>
        <w:wordWrap/>
        <w:spacing w:line="360" w:lineRule="auto"/>
        <w:ind w:left="0" w:leftChars="0" w:firstLine="480" w:firstLineChars="200"/>
        <w:rPr>
          <w:rFonts w:hint="eastAsia" w:cs="宋体"/>
          <w:b w:val="0"/>
          <w:bCs/>
          <w:szCs w:val="24"/>
        </w:rPr>
      </w:pPr>
      <w:r>
        <w:rPr>
          <w:rFonts w:hint="eastAsia" w:cs="宋体"/>
          <w:b w:val="0"/>
          <w:bCs/>
          <w:szCs w:val="24"/>
        </w:rPr>
        <w:t>支持患者信息阅览，包括姓名、性别、年龄、床号、诊断、护级、入院时间、现住址、联系电话、主治医师、责任护士等。</w:t>
      </w:r>
    </w:p>
    <w:p>
      <w:pPr>
        <w:wordWrap/>
        <w:spacing w:line="360" w:lineRule="auto"/>
        <w:ind w:left="0" w:leftChars="0" w:firstLine="480" w:firstLineChars="200"/>
        <w:rPr>
          <w:rFonts w:hint="eastAsia" w:cs="宋体"/>
          <w:b w:val="0"/>
          <w:bCs/>
          <w:szCs w:val="24"/>
        </w:rPr>
      </w:pPr>
      <w:r>
        <w:rPr>
          <w:rFonts w:hint="eastAsia" w:cs="宋体"/>
          <w:b w:val="0"/>
          <w:bCs/>
          <w:szCs w:val="24"/>
        </w:rPr>
        <w:t>3.27.2电子病历</w:t>
      </w:r>
    </w:p>
    <w:p>
      <w:pPr>
        <w:wordWrap/>
        <w:spacing w:line="360" w:lineRule="auto"/>
        <w:ind w:left="0" w:leftChars="0" w:firstLine="480" w:firstLineChars="200"/>
        <w:rPr>
          <w:rFonts w:hint="eastAsia" w:cs="宋体"/>
          <w:b w:val="0"/>
          <w:bCs/>
          <w:szCs w:val="24"/>
        </w:rPr>
      </w:pPr>
      <w:r>
        <w:rPr>
          <w:rFonts w:hint="eastAsia" w:cs="宋体"/>
          <w:b w:val="0"/>
          <w:bCs/>
          <w:szCs w:val="24"/>
        </w:rPr>
        <w:t>支持按照电子病历分类浏览，包括入院记录、病程记录、手术相关记录、知情同意书、出院记录、会诊记录。</w:t>
      </w:r>
    </w:p>
    <w:p>
      <w:pPr>
        <w:wordWrap/>
        <w:spacing w:line="360" w:lineRule="auto"/>
        <w:ind w:left="0" w:leftChars="0" w:firstLine="480" w:firstLineChars="200"/>
        <w:rPr>
          <w:rFonts w:hint="eastAsia" w:cs="宋体"/>
          <w:b w:val="0"/>
          <w:bCs/>
          <w:szCs w:val="24"/>
        </w:rPr>
      </w:pPr>
      <w:r>
        <w:rPr>
          <w:rFonts w:hint="eastAsia" w:cs="宋体"/>
          <w:b w:val="0"/>
          <w:bCs/>
          <w:szCs w:val="24"/>
        </w:rPr>
        <w:t>3.27.3长期医嘱</w:t>
      </w:r>
    </w:p>
    <w:p>
      <w:pPr>
        <w:wordWrap/>
        <w:spacing w:line="360" w:lineRule="auto"/>
        <w:ind w:left="0" w:leftChars="0" w:firstLine="480" w:firstLineChars="200"/>
        <w:rPr>
          <w:rFonts w:hint="eastAsia" w:cs="宋体"/>
          <w:b w:val="0"/>
          <w:bCs/>
          <w:szCs w:val="24"/>
        </w:rPr>
      </w:pPr>
      <w:r>
        <w:rPr>
          <w:rFonts w:hint="eastAsia" w:cs="宋体"/>
          <w:b w:val="0"/>
          <w:bCs/>
          <w:szCs w:val="24"/>
        </w:rPr>
        <w:t>支持浏览患者长期医嘱信息，包括开始时间、医嘱内容、用法/备注、开嘱医生、开始护士、停止医生、停止护士、停止时间。</w:t>
      </w:r>
    </w:p>
    <w:p>
      <w:pPr>
        <w:wordWrap/>
        <w:spacing w:line="360" w:lineRule="auto"/>
        <w:ind w:left="0" w:leftChars="0" w:firstLine="480" w:firstLineChars="200"/>
        <w:rPr>
          <w:rFonts w:hint="eastAsia" w:cs="宋体"/>
          <w:b w:val="0"/>
          <w:bCs/>
          <w:szCs w:val="24"/>
        </w:rPr>
      </w:pPr>
      <w:r>
        <w:rPr>
          <w:rFonts w:hint="eastAsia" w:cs="宋体"/>
          <w:b w:val="0"/>
          <w:bCs/>
          <w:szCs w:val="24"/>
        </w:rPr>
        <w:t>3.27.4临时医嘱</w:t>
      </w:r>
    </w:p>
    <w:p>
      <w:pPr>
        <w:wordWrap/>
        <w:spacing w:line="360" w:lineRule="auto"/>
        <w:ind w:left="0" w:leftChars="0" w:firstLine="480" w:firstLineChars="200"/>
        <w:rPr>
          <w:rFonts w:hint="eastAsia" w:cs="宋体"/>
          <w:b w:val="0"/>
          <w:bCs/>
          <w:szCs w:val="24"/>
        </w:rPr>
      </w:pPr>
      <w:r>
        <w:rPr>
          <w:rFonts w:hint="eastAsia" w:cs="宋体"/>
          <w:b w:val="0"/>
          <w:bCs/>
          <w:szCs w:val="24"/>
        </w:rPr>
        <w:t>支持浏览患者临时医嘱信息，包括医嘱时间、医嘱内容、用法/备注、开嘱医生、执行护士、执行时间。</w:t>
      </w:r>
    </w:p>
    <w:p>
      <w:pPr>
        <w:wordWrap/>
        <w:spacing w:line="360" w:lineRule="auto"/>
        <w:ind w:left="0" w:leftChars="0" w:firstLine="480" w:firstLineChars="200"/>
        <w:rPr>
          <w:rFonts w:hint="eastAsia" w:cs="宋体"/>
          <w:b w:val="0"/>
          <w:bCs/>
          <w:szCs w:val="24"/>
        </w:rPr>
      </w:pPr>
      <w:r>
        <w:rPr>
          <w:rFonts w:hint="eastAsia" w:cs="宋体"/>
          <w:b w:val="0"/>
          <w:bCs/>
          <w:szCs w:val="24"/>
        </w:rPr>
        <w:t>3.27.5检查报告浏览</w:t>
      </w:r>
    </w:p>
    <w:p>
      <w:pPr>
        <w:wordWrap/>
        <w:spacing w:line="360" w:lineRule="auto"/>
        <w:ind w:left="0" w:leftChars="0" w:firstLine="480" w:firstLineChars="200"/>
        <w:rPr>
          <w:rFonts w:hint="eastAsia" w:cs="宋体"/>
          <w:b w:val="0"/>
          <w:bCs/>
          <w:szCs w:val="24"/>
        </w:rPr>
      </w:pPr>
      <w:r>
        <w:rPr>
          <w:rFonts w:hint="eastAsia" w:cs="宋体"/>
          <w:b w:val="0"/>
          <w:bCs/>
          <w:szCs w:val="24"/>
        </w:rPr>
        <w:t>支持检查报告连续性展示。支持查看患者影像图片信息。</w:t>
      </w:r>
    </w:p>
    <w:p>
      <w:pPr>
        <w:wordWrap/>
        <w:spacing w:line="360" w:lineRule="auto"/>
        <w:ind w:left="0" w:leftChars="0" w:firstLine="480" w:firstLineChars="200"/>
        <w:rPr>
          <w:rFonts w:hint="eastAsia" w:cs="宋体"/>
          <w:b w:val="0"/>
          <w:bCs/>
          <w:szCs w:val="24"/>
        </w:rPr>
      </w:pPr>
      <w:r>
        <w:rPr>
          <w:rFonts w:hint="eastAsia" w:cs="宋体"/>
          <w:b w:val="0"/>
          <w:bCs/>
          <w:szCs w:val="24"/>
        </w:rPr>
        <w:t>3.27.6检验结果浏览</w:t>
      </w:r>
    </w:p>
    <w:p>
      <w:pPr>
        <w:wordWrap/>
        <w:spacing w:line="360" w:lineRule="auto"/>
        <w:ind w:left="0" w:leftChars="0" w:firstLine="480" w:firstLineChars="200"/>
        <w:rPr>
          <w:rFonts w:hint="eastAsia" w:cs="宋体"/>
          <w:b w:val="0"/>
          <w:bCs/>
          <w:szCs w:val="24"/>
        </w:rPr>
      </w:pPr>
      <w:r>
        <w:rPr>
          <w:rFonts w:hint="eastAsia" w:cs="宋体"/>
          <w:b w:val="0"/>
          <w:bCs/>
          <w:szCs w:val="24"/>
        </w:rPr>
        <w:t>支持查看患者历次检验结果，及危急值信息。</w:t>
      </w:r>
    </w:p>
    <w:p>
      <w:pPr>
        <w:wordWrap/>
        <w:spacing w:line="360" w:lineRule="auto"/>
        <w:ind w:left="0" w:leftChars="0" w:firstLine="480" w:firstLineChars="200"/>
        <w:rPr>
          <w:rFonts w:hint="eastAsia" w:cs="宋体"/>
          <w:b w:val="0"/>
          <w:bCs/>
          <w:szCs w:val="24"/>
        </w:rPr>
      </w:pPr>
      <w:r>
        <w:rPr>
          <w:rFonts w:hint="eastAsia" w:cs="宋体"/>
          <w:b w:val="0"/>
          <w:bCs/>
          <w:szCs w:val="24"/>
        </w:rPr>
        <w:t>3.27.7护理记录浏览</w:t>
      </w:r>
    </w:p>
    <w:p>
      <w:pPr>
        <w:wordWrap/>
        <w:spacing w:line="360" w:lineRule="auto"/>
        <w:ind w:left="0" w:leftChars="0" w:firstLine="480" w:firstLineChars="200"/>
        <w:rPr>
          <w:rFonts w:hint="eastAsia" w:cs="宋体"/>
          <w:b w:val="0"/>
          <w:bCs/>
          <w:szCs w:val="24"/>
        </w:rPr>
      </w:pPr>
      <w:r>
        <w:rPr>
          <w:rFonts w:hint="eastAsia" w:cs="宋体"/>
          <w:b w:val="0"/>
          <w:bCs/>
          <w:szCs w:val="24"/>
        </w:rPr>
        <w:t>支持查看患者护理记录，包括一般护理记录单、新生儿护理记录单、ICU护理记录单、barthel指数评定量表、住院成人Morse跌倒/坠床风险评估表等。</w:t>
      </w:r>
    </w:p>
    <w:p>
      <w:pPr>
        <w:wordWrap/>
        <w:spacing w:line="360" w:lineRule="auto"/>
        <w:ind w:left="0" w:leftChars="0" w:firstLine="480" w:firstLineChars="200"/>
        <w:rPr>
          <w:rFonts w:hint="eastAsia" w:cs="宋体"/>
          <w:b w:val="0"/>
          <w:bCs/>
          <w:szCs w:val="24"/>
        </w:rPr>
      </w:pPr>
      <w:r>
        <w:rPr>
          <w:rFonts w:hint="eastAsia" w:cs="宋体"/>
          <w:b w:val="0"/>
          <w:bCs/>
          <w:szCs w:val="24"/>
        </w:rPr>
        <w:t>3.27.8患者360视图浏览</w:t>
      </w:r>
    </w:p>
    <w:p>
      <w:pPr>
        <w:wordWrap/>
        <w:spacing w:line="360" w:lineRule="auto"/>
        <w:ind w:left="0" w:leftChars="0" w:firstLine="480" w:firstLineChars="200"/>
        <w:rPr>
          <w:rFonts w:hint="eastAsia" w:cs="宋体"/>
          <w:b w:val="0"/>
          <w:bCs/>
          <w:szCs w:val="24"/>
        </w:rPr>
      </w:pPr>
      <w:r>
        <w:rPr>
          <w:rFonts w:hint="eastAsia" w:cs="宋体"/>
          <w:b w:val="0"/>
          <w:bCs/>
          <w:szCs w:val="24"/>
        </w:rPr>
        <w:t>▲提供患者360视图浏览功能，可查看患者历次就诊信息。</w:t>
      </w:r>
    </w:p>
    <w:p>
      <w:pPr>
        <w:wordWrap/>
        <w:spacing w:line="360" w:lineRule="auto"/>
        <w:ind w:left="0" w:leftChars="0" w:firstLine="480" w:firstLineChars="200"/>
        <w:rPr>
          <w:rFonts w:hint="eastAsia" w:cs="宋体"/>
          <w:b w:val="0"/>
          <w:bCs/>
          <w:szCs w:val="24"/>
        </w:rPr>
      </w:pPr>
      <w:r>
        <w:rPr>
          <w:rFonts w:hint="eastAsia" w:cs="宋体"/>
          <w:b w:val="0"/>
          <w:bCs/>
          <w:szCs w:val="24"/>
        </w:rPr>
        <w:t>3.28移动护理系统</w:t>
      </w:r>
    </w:p>
    <w:p>
      <w:pPr>
        <w:wordWrap/>
        <w:spacing w:line="360" w:lineRule="auto"/>
        <w:ind w:left="0" w:leftChars="0" w:firstLine="480" w:firstLineChars="200"/>
        <w:rPr>
          <w:rFonts w:hint="eastAsia" w:cs="宋体"/>
          <w:b w:val="0"/>
          <w:bCs/>
          <w:szCs w:val="24"/>
        </w:rPr>
      </w:pPr>
      <w:r>
        <w:rPr>
          <w:rFonts w:hint="eastAsia" w:cs="宋体"/>
          <w:b w:val="0"/>
          <w:bCs/>
          <w:szCs w:val="24"/>
        </w:rPr>
        <w:t>3.28.1病区概览</w:t>
      </w:r>
    </w:p>
    <w:p>
      <w:pPr>
        <w:wordWrap/>
        <w:spacing w:line="360" w:lineRule="auto"/>
        <w:ind w:left="0" w:leftChars="0" w:firstLine="480" w:firstLineChars="200"/>
        <w:rPr>
          <w:rFonts w:hint="eastAsia" w:cs="宋体"/>
          <w:b w:val="0"/>
          <w:bCs/>
          <w:szCs w:val="24"/>
        </w:rPr>
      </w:pPr>
      <w:r>
        <w:rPr>
          <w:rFonts w:hint="eastAsia" w:cs="宋体"/>
          <w:b w:val="0"/>
          <w:bCs/>
          <w:szCs w:val="24"/>
        </w:rPr>
        <w:t>提供本病区统一的概览信息，实时提取患者人次信息。</w:t>
      </w:r>
    </w:p>
    <w:p>
      <w:pPr>
        <w:wordWrap/>
        <w:spacing w:line="360" w:lineRule="auto"/>
        <w:ind w:left="0" w:leftChars="0" w:firstLine="480" w:firstLineChars="200"/>
        <w:rPr>
          <w:rFonts w:hint="eastAsia" w:cs="宋体"/>
          <w:b w:val="0"/>
          <w:bCs/>
          <w:szCs w:val="24"/>
        </w:rPr>
      </w:pPr>
      <w:r>
        <w:rPr>
          <w:rFonts w:hint="eastAsia" w:cs="宋体"/>
          <w:b w:val="0"/>
          <w:bCs/>
          <w:szCs w:val="24"/>
        </w:rPr>
        <w:t>3.28.2床位列表</w:t>
      </w:r>
    </w:p>
    <w:p>
      <w:pPr>
        <w:wordWrap/>
        <w:spacing w:line="360" w:lineRule="auto"/>
        <w:ind w:left="0" w:leftChars="0" w:firstLine="480" w:firstLineChars="200"/>
        <w:rPr>
          <w:rFonts w:hint="eastAsia" w:cs="宋体"/>
          <w:b w:val="0"/>
          <w:bCs/>
          <w:szCs w:val="24"/>
        </w:rPr>
      </w:pPr>
      <w:r>
        <w:rPr>
          <w:rFonts w:hint="eastAsia" w:cs="宋体"/>
          <w:b w:val="0"/>
          <w:bCs/>
          <w:szCs w:val="24"/>
        </w:rPr>
        <w:t>支持查看患者详细信息，包含患者床位、年龄、性别、住院号、风险评估分数、诊断、危重情况、护理级别等。</w:t>
      </w:r>
    </w:p>
    <w:p>
      <w:pPr>
        <w:wordWrap/>
        <w:spacing w:line="360" w:lineRule="auto"/>
        <w:ind w:left="0" w:leftChars="0" w:firstLine="480" w:firstLineChars="200"/>
        <w:rPr>
          <w:rFonts w:hint="eastAsia" w:cs="宋体"/>
          <w:b w:val="0"/>
          <w:bCs/>
          <w:szCs w:val="24"/>
        </w:rPr>
      </w:pPr>
      <w:r>
        <w:rPr>
          <w:rFonts w:hint="eastAsia" w:cs="宋体"/>
          <w:b w:val="0"/>
          <w:bCs/>
          <w:szCs w:val="24"/>
        </w:rPr>
        <w:t>3.28.3医嘱执行</w:t>
      </w:r>
    </w:p>
    <w:p>
      <w:pPr>
        <w:wordWrap/>
        <w:spacing w:line="360" w:lineRule="auto"/>
        <w:ind w:left="0" w:leftChars="0" w:firstLine="480" w:firstLineChars="200"/>
        <w:rPr>
          <w:rFonts w:hint="eastAsia" w:cs="宋体"/>
          <w:b w:val="0"/>
          <w:bCs/>
          <w:szCs w:val="24"/>
        </w:rPr>
      </w:pPr>
      <w:r>
        <w:rPr>
          <w:rFonts w:hint="eastAsia" w:cs="宋体"/>
          <w:b w:val="0"/>
          <w:bCs/>
          <w:szCs w:val="24"/>
        </w:rPr>
        <w:t>支持在医嘱执行过程中实时效验医嘱修改、停止等敏感信息，并提醒护士，保障用药安全。</w:t>
      </w:r>
    </w:p>
    <w:p>
      <w:pPr>
        <w:wordWrap/>
        <w:spacing w:line="360" w:lineRule="auto"/>
        <w:ind w:left="0" w:leftChars="0" w:firstLine="480" w:firstLineChars="200"/>
        <w:rPr>
          <w:rFonts w:hint="eastAsia" w:cs="宋体"/>
          <w:b w:val="0"/>
          <w:bCs/>
          <w:szCs w:val="24"/>
        </w:rPr>
      </w:pPr>
      <w:r>
        <w:rPr>
          <w:rFonts w:hint="eastAsia" w:cs="宋体"/>
          <w:b w:val="0"/>
          <w:bCs/>
          <w:szCs w:val="24"/>
        </w:rPr>
        <w:t>输液药品具有摆药、配药、复核、身份核对、药品核对、加药等过程应用PDA操作，输液过程中支持填写日常巡视，输液巡视，巡视记录。</w:t>
      </w:r>
    </w:p>
    <w:p>
      <w:pPr>
        <w:wordWrap/>
        <w:spacing w:line="360" w:lineRule="auto"/>
        <w:ind w:left="0" w:leftChars="0" w:firstLine="480" w:firstLineChars="200"/>
        <w:rPr>
          <w:rFonts w:hint="eastAsia" w:cs="宋体"/>
          <w:b w:val="0"/>
          <w:bCs/>
          <w:szCs w:val="24"/>
        </w:rPr>
      </w:pPr>
      <w:r>
        <w:rPr>
          <w:rFonts w:hint="eastAsia" w:cs="宋体"/>
          <w:b w:val="0"/>
          <w:bCs/>
          <w:szCs w:val="24"/>
        </w:rPr>
        <w:t>口服药具有身份核对、剂量核对、用药方法核对，执行记录等。</w:t>
      </w:r>
    </w:p>
    <w:p>
      <w:pPr>
        <w:wordWrap/>
        <w:spacing w:line="360" w:lineRule="auto"/>
        <w:ind w:left="0" w:leftChars="0" w:firstLine="480" w:firstLineChars="200"/>
        <w:rPr>
          <w:rFonts w:hint="eastAsia" w:cs="宋体"/>
          <w:b w:val="0"/>
          <w:bCs/>
          <w:szCs w:val="24"/>
        </w:rPr>
      </w:pPr>
      <w:r>
        <w:rPr>
          <w:rFonts w:hint="eastAsia" w:cs="宋体"/>
          <w:b w:val="0"/>
          <w:bCs/>
          <w:szCs w:val="24"/>
        </w:rPr>
        <w:t>3.28.4采集任务</w:t>
      </w:r>
    </w:p>
    <w:p>
      <w:pPr>
        <w:wordWrap/>
        <w:spacing w:line="360" w:lineRule="auto"/>
        <w:ind w:left="0" w:leftChars="0" w:firstLine="480" w:firstLineChars="200"/>
        <w:rPr>
          <w:rFonts w:hint="eastAsia" w:cs="宋体"/>
          <w:b w:val="0"/>
          <w:bCs/>
          <w:szCs w:val="24"/>
        </w:rPr>
      </w:pPr>
      <w:r>
        <w:rPr>
          <w:rFonts w:hint="eastAsia" w:cs="宋体"/>
          <w:b w:val="0"/>
          <w:bCs/>
          <w:szCs w:val="24"/>
        </w:rPr>
        <w:t>支持PDA录入患者生命体征、血糖信息，可通过扫码完成标本采集。能够通过软键盘进行生命体征便捷录入，软键盘内容可根据科室进行自定义。支持脉搏秒表计时功能，可根据录入脉搏数，自动换算每分钟患者脉搏。</w:t>
      </w:r>
    </w:p>
    <w:p>
      <w:pPr>
        <w:wordWrap/>
        <w:spacing w:line="360" w:lineRule="auto"/>
        <w:ind w:left="0" w:leftChars="0" w:firstLine="480" w:firstLineChars="200"/>
        <w:rPr>
          <w:rFonts w:hint="eastAsia" w:cs="宋体"/>
          <w:b w:val="0"/>
          <w:bCs/>
          <w:szCs w:val="24"/>
        </w:rPr>
      </w:pPr>
      <w:r>
        <w:rPr>
          <w:rFonts w:hint="eastAsia" w:cs="宋体"/>
          <w:b w:val="0"/>
          <w:bCs/>
          <w:szCs w:val="24"/>
        </w:rPr>
        <w:t>3.28.5护理记录</w:t>
      </w:r>
    </w:p>
    <w:p>
      <w:pPr>
        <w:wordWrap/>
        <w:spacing w:line="360" w:lineRule="auto"/>
        <w:ind w:left="0" w:leftChars="0" w:firstLine="480" w:firstLineChars="200"/>
        <w:rPr>
          <w:rFonts w:hint="eastAsia" w:cs="宋体"/>
          <w:b w:val="0"/>
          <w:bCs/>
          <w:szCs w:val="24"/>
        </w:rPr>
      </w:pPr>
      <w:r>
        <w:rPr>
          <w:rFonts w:hint="eastAsia" w:cs="宋体"/>
          <w:b w:val="0"/>
          <w:bCs/>
          <w:szCs w:val="24"/>
        </w:rPr>
        <w:t>能够根据医院情况，对护理记录单格式进行自定义。支持通过PDA填写患者护理记录单及护理文书。</w:t>
      </w:r>
    </w:p>
    <w:p>
      <w:pPr>
        <w:wordWrap/>
        <w:spacing w:line="360" w:lineRule="auto"/>
        <w:ind w:left="0" w:leftChars="0" w:firstLine="480" w:firstLineChars="200"/>
        <w:rPr>
          <w:rFonts w:hint="eastAsia" w:cs="宋体"/>
          <w:b w:val="0"/>
          <w:bCs/>
          <w:szCs w:val="24"/>
        </w:rPr>
      </w:pPr>
      <w:r>
        <w:rPr>
          <w:rFonts w:hint="eastAsia" w:cs="宋体"/>
          <w:b w:val="0"/>
          <w:bCs/>
          <w:szCs w:val="24"/>
        </w:rPr>
        <w:t>3.28.6特色护理</w:t>
      </w:r>
    </w:p>
    <w:p>
      <w:pPr>
        <w:wordWrap/>
        <w:spacing w:line="360" w:lineRule="auto"/>
        <w:ind w:left="0" w:leftChars="0" w:firstLine="480" w:firstLineChars="200"/>
        <w:rPr>
          <w:rFonts w:hint="eastAsia" w:cs="宋体"/>
          <w:b w:val="0"/>
          <w:bCs/>
          <w:szCs w:val="24"/>
        </w:rPr>
      </w:pPr>
      <w:r>
        <w:rPr>
          <w:rFonts w:hint="eastAsia" w:cs="宋体"/>
          <w:b w:val="0"/>
          <w:bCs/>
          <w:szCs w:val="24"/>
        </w:rPr>
        <w:t>3.28.6.1给氧卡</w:t>
      </w:r>
    </w:p>
    <w:p>
      <w:pPr>
        <w:wordWrap/>
        <w:spacing w:line="360" w:lineRule="auto"/>
        <w:ind w:left="0" w:leftChars="0" w:firstLine="480" w:firstLineChars="200"/>
        <w:rPr>
          <w:rFonts w:hint="eastAsia" w:cs="宋体"/>
          <w:b w:val="0"/>
          <w:bCs/>
          <w:szCs w:val="24"/>
        </w:rPr>
      </w:pPr>
      <w:r>
        <w:rPr>
          <w:rFonts w:hint="eastAsia" w:cs="宋体"/>
          <w:b w:val="0"/>
          <w:bCs/>
          <w:szCs w:val="24"/>
        </w:rPr>
        <w:t>能够根据湿化瓶使用时间、更换湿化液情况，自动产生相应的费用信息，并同步到HIS。</w:t>
      </w:r>
    </w:p>
    <w:p>
      <w:pPr>
        <w:wordWrap/>
        <w:spacing w:line="360" w:lineRule="auto"/>
        <w:ind w:left="0" w:leftChars="0" w:firstLine="480" w:firstLineChars="200"/>
        <w:rPr>
          <w:rFonts w:hint="eastAsia" w:cs="宋体"/>
          <w:b w:val="0"/>
          <w:bCs/>
          <w:szCs w:val="24"/>
        </w:rPr>
      </w:pPr>
      <w:r>
        <w:rPr>
          <w:rFonts w:hint="eastAsia" w:cs="宋体"/>
          <w:b w:val="0"/>
          <w:bCs/>
          <w:szCs w:val="24"/>
        </w:rPr>
        <w:t>3.28.6.2持续服务</w:t>
      </w:r>
    </w:p>
    <w:p>
      <w:pPr>
        <w:wordWrap/>
        <w:spacing w:line="360" w:lineRule="auto"/>
        <w:ind w:left="0" w:leftChars="0" w:firstLine="480" w:firstLineChars="200"/>
        <w:rPr>
          <w:rFonts w:hint="eastAsia" w:cs="宋体"/>
          <w:b w:val="0"/>
          <w:bCs/>
          <w:szCs w:val="24"/>
        </w:rPr>
      </w:pPr>
      <w:r>
        <w:rPr>
          <w:rFonts w:hint="eastAsia" w:cs="宋体"/>
          <w:b w:val="0"/>
          <w:bCs/>
          <w:szCs w:val="24"/>
        </w:rPr>
        <w:t>▲根据HIS中标记为持续服务的医嘱信息，自动提取患者名单。通过护士开始和结束持续服务类医嘱时间，自动计算费用信息。</w:t>
      </w:r>
    </w:p>
    <w:p>
      <w:pPr>
        <w:wordWrap/>
        <w:spacing w:line="360" w:lineRule="auto"/>
        <w:ind w:left="0" w:leftChars="0" w:firstLine="480" w:firstLineChars="200"/>
        <w:rPr>
          <w:rFonts w:hint="eastAsia" w:cs="宋体"/>
          <w:b w:val="0"/>
          <w:bCs/>
          <w:szCs w:val="24"/>
        </w:rPr>
      </w:pPr>
      <w:r>
        <w:rPr>
          <w:rFonts w:hint="eastAsia" w:cs="宋体"/>
          <w:b w:val="0"/>
          <w:bCs/>
          <w:szCs w:val="24"/>
        </w:rPr>
        <w:t>3.28.6.3管路管理</w:t>
      </w:r>
    </w:p>
    <w:p>
      <w:pPr>
        <w:wordWrap/>
        <w:spacing w:line="360" w:lineRule="auto"/>
        <w:ind w:left="0" w:leftChars="0" w:firstLine="480" w:firstLineChars="200"/>
        <w:rPr>
          <w:rFonts w:hint="eastAsia" w:cs="宋体"/>
          <w:b w:val="0"/>
          <w:bCs/>
          <w:szCs w:val="24"/>
        </w:rPr>
      </w:pPr>
      <w:r>
        <w:rPr>
          <w:rFonts w:hint="eastAsia" w:cs="宋体"/>
          <w:b w:val="0"/>
          <w:bCs/>
          <w:szCs w:val="24"/>
        </w:rPr>
        <w:t>▲支持置管效期管理，根据置管有效期时间，自动提取应拔未拔患者名单。支持管路巡查管理，依据巡查情况，填写巡查结果、护理措施及拔管说明。</w:t>
      </w:r>
    </w:p>
    <w:p>
      <w:pPr>
        <w:wordWrap/>
        <w:spacing w:line="360" w:lineRule="auto"/>
        <w:ind w:left="0" w:leftChars="0" w:firstLine="480" w:firstLineChars="200"/>
        <w:rPr>
          <w:rFonts w:hint="eastAsia" w:cs="宋体"/>
          <w:b w:val="0"/>
          <w:bCs/>
          <w:szCs w:val="24"/>
        </w:rPr>
      </w:pPr>
      <w:r>
        <w:rPr>
          <w:rFonts w:hint="eastAsia" w:cs="宋体"/>
          <w:b w:val="0"/>
          <w:bCs/>
          <w:szCs w:val="24"/>
        </w:rPr>
        <w:t>3.28.6.4手术交接</w:t>
      </w:r>
    </w:p>
    <w:p>
      <w:pPr>
        <w:wordWrap/>
        <w:spacing w:line="360" w:lineRule="auto"/>
        <w:ind w:left="0" w:leftChars="0" w:firstLine="480" w:firstLineChars="200"/>
        <w:rPr>
          <w:rFonts w:hint="eastAsia" w:cs="宋体"/>
          <w:b w:val="0"/>
          <w:bCs/>
          <w:szCs w:val="24"/>
        </w:rPr>
      </w:pPr>
      <w:r>
        <w:rPr>
          <w:rFonts w:hint="eastAsia" w:cs="宋体"/>
          <w:b w:val="0"/>
          <w:bCs/>
          <w:szCs w:val="24"/>
        </w:rPr>
        <w:t>支持患者术前交接、手术核对、转苏醒、术后交接全流程通过PDA完成。能够通过消息提醒，提醒护士完成手术交接全流程。交接过程中自动生成护理记录单信息。</w:t>
      </w:r>
    </w:p>
    <w:p>
      <w:pPr>
        <w:wordWrap/>
        <w:spacing w:line="360" w:lineRule="auto"/>
        <w:ind w:left="0" w:leftChars="0" w:firstLine="480" w:firstLineChars="200"/>
        <w:rPr>
          <w:rFonts w:hint="eastAsia" w:cs="宋体"/>
          <w:b w:val="0"/>
          <w:bCs/>
          <w:szCs w:val="24"/>
        </w:rPr>
      </w:pPr>
      <w:r>
        <w:rPr>
          <w:rFonts w:hint="eastAsia" w:cs="宋体"/>
          <w:b w:val="0"/>
          <w:bCs/>
          <w:szCs w:val="24"/>
        </w:rPr>
        <w:t>3.28.6.5健康教育</w:t>
      </w:r>
    </w:p>
    <w:p>
      <w:pPr>
        <w:wordWrap/>
        <w:spacing w:line="360" w:lineRule="auto"/>
        <w:ind w:left="0" w:leftChars="0" w:firstLine="480" w:firstLineChars="200"/>
        <w:rPr>
          <w:rFonts w:hint="eastAsia" w:cs="宋体"/>
          <w:b w:val="0"/>
          <w:bCs/>
          <w:szCs w:val="24"/>
        </w:rPr>
      </w:pPr>
      <w:r>
        <w:rPr>
          <w:rFonts w:hint="eastAsia" w:cs="宋体"/>
          <w:b w:val="0"/>
          <w:bCs/>
          <w:szCs w:val="24"/>
        </w:rPr>
        <w:t>支持视频播放功能，通过PDA进行视频播放，完成健康宣教。对健康宣教结果进行评价。健康宣教过程中进行宣教督查，并记录督查结果。</w:t>
      </w:r>
    </w:p>
    <w:p>
      <w:pPr>
        <w:wordWrap/>
        <w:spacing w:line="360" w:lineRule="auto"/>
        <w:ind w:left="0" w:leftChars="0" w:firstLine="480" w:firstLineChars="200"/>
        <w:rPr>
          <w:rFonts w:hint="eastAsia" w:cs="宋体"/>
          <w:b w:val="0"/>
          <w:bCs/>
          <w:szCs w:val="24"/>
        </w:rPr>
      </w:pPr>
      <w:r>
        <w:rPr>
          <w:rFonts w:hint="eastAsia" w:cs="宋体"/>
          <w:b w:val="0"/>
          <w:bCs/>
          <w:szCs w:val="24"/>
        </w:rPr>
        <w:t>3.28.7智能提醒</w:t>
      </w:r>
    </w:p>
    <w:p>
      <w:pPr>
        <w:wordWrap/>
        <w:spacing w:line="360" w:lineRule="auto"/>
        <w:ind w:left="0" w:leftChars="0" w:firstLine="480" w:firstLineChars="200"/>
        <w:rPr>
          <w:rFonts w:hint="eastAsia" w:cs="宋体"/>
          <w:b w:val="0"/>
          <w:bCs/>
          <w:szCs w:val="24"/>
        </w:rPr>
      </w:pPr>
      <w:r>
        <w:rPr>
          <w:rFonts w:hint="eastAsia" w:cs="宋体"/>
          <w:b w:val="0"/>
          <w:bCs/>
          <w:szCs w:val="24"/>
        </w:rPr>
        <w:t>能够和HIS进行对接，确保消息推送的及时性。支持语音+震动双模式提醒。支持消息已读未读标记、已读信息查看、详情查看等功能。</w:t>
      </w:r>
    </w:p>
    <w:p>
      <w:pPr>
        <w:wordWrap/>
        <w:spacing w:line="360" w:lineRule="auto"/>
        <w:ind w:left="0" w:leftChars="0" w:firstLine="480" w:firstLineChars="200"/>
        <w:rPr>
          <w:rFonts w:hint="eastAsia" w:cs="宋体"/>
          <w:b w:val="0"/>
          <w:bCs/>
          <w:szCs w:val="24"/>
        </w:rPr>
      </w:pPr>
      <w:r>
        <w:rPr>
          <w:rFonts w:hint="eastAsia" w:cs="宋体"/>
          <w:b w:val="0"/>
          <w:bCs/>
          <w:szCs w:val="24"/>
        </w:rPr>
        <w:t>3.28.8护士交班</w:t>
      </w:r>
    </w:p>
    <w:p>
      <w:pPr>
        <w:wordWrap/>
        <w:spacing w:line="360" w:lineRule="auto"/>
        <w:ind w:left="0" w:leftChars="0" w:firstLine="480" w:firstLineChars="200"/>
        <w:rPr>
          <w:rFonts w:hint="eastAsia" w:cs="宋体"/>
          <w:b w:val="0"/>
          <w:bCs/>
          <w:szCs w:val="24"/>
        </w:rPr>
      </w:pPr>
      <w:r>
        <w:rPr>
          <w:rFonts w:hint="eastAsia" w:cs="宋体"/>
          <w:b w:val="0"/>
          <w:bCs/>
          <w:szCs w:val="24"/>
        </w:rPr>
        <w:t>支持护士交班界面可进行查阅，签字，对患者情况说明的书写。能够对科室重点病人进行汇总。能够填写各班次、各患者交班信息，并进行浏览。</w:t>
      </w:r>
    </w:p>
    <w:p>
      <w:pPr>
        <w:wordWrap/>
        <w:spacing w:line="360" w:lineRule="auto"/>
        <w:ind w:left="0" w:leftChars="0" w:firstLine="480" w:firstLineChars="200"/>
        <w:rPr>
          <w:rFonts w:hint="eastAsia" w:cs="宋体"/>
          <w:b w:val="0"/>
          <w:bCs/>
          <w:szCs w:val="24"/>
        </w:rPr>
      </w:pPr>
      <w:r>
        <w:rPr>
          <w:rFonts w:hint="eastAsia" w:cs="宋体"/>
          <w:b w:val="0"/>
          <w:bCs/>
          <w:szCs w:val="24"/>
        </w:rPr>
        <w:t>3.28.9排班计划</w:t>
      </w:r>
    </w:p>
    <w:p>
      <w:pPr>
        <w:wordWrap/>
        <w:spacing w:line="360" w:lineRule="auto"/>
        <w:ind w:left="0" w:leftChars="0" w:firstLine="480" w:firstLineChars="200"/>
        <w:rPr>
          <w:rFonts w:hint="eastAsia" w:cs="宋体"/>
          <w:b w:val="0"/>
          <w:bCs/>
          <w:szCs w:val="24"/>
        </w:rPr>
      </w:pPr>
      <w:r>
        <w:rPr>
          <w:rFonts w:hint="eastAsia" w:cs="宋体"/>
          <w:b w:val="0"/>
          <w:bCs/>
          <w:szCs w:val="24"/>
        </w:rPr>
        <w:t>支持HIS中进行排班，通过PDA获取排班计划信息。</w:t>
      </w:r>
    </w:p>
    <w:p>
      <w:pPr>
        <w:wordWrap/>
        <w:spacing w:line="360" w:lineRule="auto"/>
        <w:ind w:left="0" w:leftChars="0" w:firstLine="480" w:firstLineChars="200"/>
        <w:rPr>
          <w:rFonts w:hint="eastAsia" w:cs="宋体"/>
          <w:b w:val="0"/>
          <w:bCs/>
          <w:szCs w:val="24"/>
        </w:rPr>
      </w:pPr>
      <w:r>
        <w:rPr>
          <w:rFonts w:hint="eastAsia" w:cs="宋体"/>
          <w:b w:val="0"/>
          <w:bCs/>
          <w:szCs w:val="24"/>
        </w:rPr>
        <w:t>3.28.10出入管理</w:t>
      </w:r>
    </w:p>
    <w:p>
      <w:pPr>
        <w:wordWrap/>
        <w:spacing w:line="360" w:lineRule="auto"/>
        <w:ind w:left="0" w:leftChars="0" w:firstLine="480" w:firstLineChars="200"/>
        <w:rPr>
          <w:rFonts w:hint="eastAsia" w:cs="宋体"/>
          <w:b w:val="0"/>
          <w:bCs/>
          <w:szCs w:val="24"/>
        </w:rPr>
      </w:pPr>
      <w:r>
        <w:rPr>
          <w:rFonts w:hint="eastAsia" w:cs="宋体"/>
          <w:b w:val="0"/>
          <w:bCs/>
          <w:szCs w:val="24"/>
        </w:rPr>
        <w:t>支持查看病人出入情况；能够在出入登记里可添加病人出入情况，出入情况会在护理记录单，三测单等记录。</w:t>
      </w:r>
    </w:p>
    <w:p>
      <w:pPr>
        <w:wordWrap/>
        <w:spacing w:line="360" w:lineRule="auto"/>
        <w:ind w:left="0" w:leftChars="0" w:firstLine="480" w:firstLineChars="200"/>
        <w:rPr>
          <w:rFonts w:hint="eastAsia" w:cs="宋体"/>
          <w:b w:val="0"/>
          <w:bCs/>
          <w:szCs w:val="24"/>
        </w:rPr>
      </w:pPr>
      <w:r>
        <w:rPr>
          <w:rFonts w:hint="eastAsia" w:cs="宋体"/>
          <w:b w:val="0"/>
          <w:bCs/>
          <w:szCs w:val="24"/>
        </w:rPr>
        <w:t>3.28.11腕带管理</w:t>
      </w:r>
    </w:p>
    <w:p>
      <w:pPr>
        <w:wordWrap/>
        <w:spacing w:line="360" w:lineRule="auto"/>
        <w:ind w:left="0" w:leftChars="0" w:firstLine="480" w:firstLineChars="200"/>
        <w:rPr>
          <w:rFonts w:hint="eastAsia" w:cs="宋体"/>
          <w:b w:val="0"/>
          <w:bCs/>
          <w:szCs w:val="24"/>
        </w:rPr>
      </w:pPr>
      <w:r>
        <w:rPr>
          <w:rFonts w:hint="eastAsia" w:cs="宋体"/>
          <w:b w:val="0"/>
          <w:bCs/>
          <w:szCs w:val="24"/>
        </w:rPr>
        <w:t>支持RFID腕带和NFC腕带两种腕带的新发换发处理。支持通过感应绑定患者信息。</w:t>
      </w:r>
    </w:p>
    <w:p>
      <w:pPr>
        <w:wordWrap/>
        <w:spacing w:line="360" w:lineRule="auto"/>
        <w:ind w:left="0" w:leftChars="0" w:firstLine="480" w:firstLineChars="200"/>
        <w:rPr>
          <w:rFonts w:hint="eastAsia" w:cs="宋体"/>
          <w:b w:val="0"/>
          <w:bCs/>
          <w:szCs w:val="24"/>
        </w:rPr>
      </w:pPr>
      <w:r>
        <w:rPr>
          <w:rFonts w:hint="eastAsia" w:cs="宋体"/>
          <w:b w:val="0"/>
          <w:bCs/>
          <w:szCs w:val="24"/>
        </w:rPr>
        <w:t>3.28.12会诊</w:t>
      </w:r>
    </w:p>
    <w:p>
      <w:pPr>
        <w:wordWrap/>
        <w:spacing w:line="360" w:lineRule="auto"/>
        <w:ind w:left="0" w:leftChars="0" w:firstLine="480" w:firstLineChars="200"/>
        <w:rPr>
          <w:rFonts w:hint="eastAsia" w:cs="宋体"/>
          <w:b w:val="0"/>
          <w:bCs/>
          <w:szCs w:val="24"/>
        </w:rPr>
      </w:pPr>
      <w:r>
        <w:rPr>
          <w:rFonts w:hint="eastAsia" w:cs="宋体"/>
          <w:b w:val="0"/>
          <w:bCs/>
          <w:szCs w:val="24"/>
        </w:rPr>
        <w:t>支持同步HIS会诊信息至PDA。会诊中拍照上传图片信息。</w:t>
      </w:r>
    </w:p>
    <w:p>
      <w:pPr>
        <w:wordWrap/>
        <w:spacing w:line="360" w:lineRule="auto"/>
        <w:ind w:left="0" w:leftChars="0" w:firstLine="480" w:firstLineChars="200"/>
        <w:rPr>
          <w:rFonts w:hint="eastAsia" w:cs="宋体"/>
          <w:b w:val="0"/>
          <w:bCs/>
          <w:szCs w:val="24"/>
        </w:rPr>
      </w:pPr>
      <w:r>
        <w:rPr>
          <w:rFonts w:hint="eastAsia" w:cs="宋体"/>
          <w:b w:val="0"/>
          <w:bCs/>
          <w:szCs w:val="24"/>
        </w:rPr>
        <w:t>3.28.13备忘录</w:t>
      </w:r>
    </w:p>
    <w:p>
      <w:pPr>
        <w:wordWrap/>
        <w:spacing w:line="360" w:lineRule="auto"/>
        <w:ind w:left="0" w:leftChars="0" w:firstLine="480" w:firstLineChars="200"/>
        <w:rPr>
          <w:rFonts w:hint="eastAsia" w:cs="宋体"/>
          <w:b w:val="0"/>
          <w:bCs/>
          <w:szCs w:val="24"/>
        </w:rPr>
      </w:pPr>
      <w:r>
        <w:rPr>
          <w:rFonts w:hint="eastAsia" w:cs="宋体"/>
          <w:b w:val="0"/>
          <w:bCs/>
          <w:szCs w:val="24"/>
        </w:rPr>
        <w:t>支持个人备忘录、患者备忘录、科室备忘录三种模式。支持定义备忘录模板，并在书写备忘录时引用。支持通过闹铃+震动的模式提醒查看备忘录信息。</w:t>
      </w:r>
    </w:p>
    <w:p>
      <w:pPr>
        <w:wordWrap/>
        <w:spacing w:line="360" w:lineRule="auto"/>
        <w:ind w:left="0" w:leftChars="0" w:firstLine="480" w:firstLineChars="200"/>
        <w:rPr>
          <w:rFonts w:hint="eastAsia" w:cs="宋体"/>
          <w:b w:val="0"/>
          <w:bCs/>
          <w:szCs w:val="24"/>
        </w:rPr>
      </w:pPr>
      <w:r>
        <w:rPr>
          <w:rFonts w:hint="eastAsia" w:cs="宋体"/>
          <w:b w:val="0"/>
          <w:bCs/>
          <w:szCs w:val="24"/>
        </w:rPr>
        <w:t>3.29移动术前访视</w:t>
      </w:r>
    </w:p>
    <w:p>
      <w:pPr>
        <w:wordWrap/>
        <w:spacing w:line="360" w:lineRule="auto"/>
        <w:ind w:left="0" w:leftChars="0" w:firstLine="480" w:firstLineChars="200"/>
        <w:rPr>
          <w:rFonts w:hint="eastAsia" w:cs="宋体"/>
          <w:b w:val="0"/>
          <w:bCs/>
          <w:szCs w:val="24"/>
        </w:rPr>
      </w:pPr>
      <w:r>
        <w:rPr>
          <w:rFonts w:hint="eastAsia" w:cs="宋体"/>
          <w:b w:val="0"/>
          <w:bCs/>
          <w:szCs w:val="24"/>
        </w:rPr>
        <w:t>3.29.1手术患者确认</w:t>
      </w:r>
    </w:p>
    <w:p>
      <w:pPr>
        <w:wordWrap/>
        <w:spacing w:line="360" w:lineRule="auto"/>
        <w:ind w:left="0" w:leftChars="0" w:firstLine="480" w:firstLineChars="200"/>
        <w:rPr>
          <w:rFonts w:hint="eastAsia" w:cs="宋体"/>
          <w:b w:val="0"/>
          <w:bCs/>
          <w:szCs w:val="24"/>
        </w:rPr>
      </w:pPr>
      <w:r>
        <w:rPr>
          <w:rFonts w:hint="eastAsia" w:cs="宋体"/>
          <w:b w:val="0"/>
          <w:bCs/>
          <w:szCs w:val="24"/>
        </w:rPr>
        <w:t>使用移动终端对患者身份进行扫描核对,核对的内容包括病历号、姓名、年龄、性别、科室、床号等，确认手术患者身份。</w:t>
      </w:r>
    </w:p>
    <w:p>
      <w:pPr>
        <w:wordWrap/>
        <w:spacing w:line="360" w:lineRule="auto"/>
        <w:ind w:left="0" w:leftChars="0" w:firstLine="480" w:firstLineChars="200"/>
        <w:rPr>
          <w:rFonts w:hint="eastAsia" w:cs="宋体"/>
          <w:b w:val="0"/>
          <w:bCs/>
          <w:szCs w:val="24"/>
        </w:rPr>
      </w:pPr>
      <w:r>
        <w:rPr>
          <w:rFonts w:hint="eastAsia" w:cs="宋体"/>
          <w:b w:val="0"/>
          <w:bCs/>
          <w:szCs w:val="24"/>
        </w:rPr>
        <w:t>3.29.2患者临床信息</w:t>
      </w:r>
    </w:p>
    <w:p>
      <w:pPr>
        <w:wordWrap/>
        <w:spacing w:line="360" w:lineRule="auto"/>
        <w:ind w:left="0" w:leftChars="0" w:firstLine="480" w:firstLineChars="200"/>
        <w:rPr>
          <w:rFonts w:hint="eastAsia" w:cs="宋体"/>
          <w:b w:val="0"/>
          <w:bCs/>
          <w:szCs w:val="24"/>
        </w:rPr>
      </w:pPr>
      <w:r>
        <w:rPr>
          <w:rFonts w:hint="eastAsia" w:cs="宋体"/>
          <w:b w:val="0"/>
          <w:bCs/>
          <w:szCs w:val="24"/>
        </w:rPr>
        <w:t>可调阅患者临床信息，为手术麻醉提供临床支持。</w:t>
      </w:r>
    </w:p>
    <w:p>
      <w:pPr>
        <w:wordWrap/>
        <w:spacing w:line="360" w:lineRule="auto"/>
        <w:ind w:left="0" w:leftChars="0" w:firstLine="480" w:firstLineChars="200"/>
        <w:rPr>
          <w:rFonts w:hint="eastAsia" w:cs="宋体"/>
          <w:b w:val="0"/>
          <w:bCs/>
          <w:szCs w:val="24"/>
        </w:rPr>
      </w:pPr>
      <w:r>
        <w:rPr>
          <w:rFonts w:hint="eastAsia" w:cs="宋体"/>
          <w:b w:val="0"/>
          <w:bCs/>
          <w:szCs w:val="24"/>
        </w:rPr>
        <w:t>3.29.2术前访视计划</w:t>
      </w:r>
    </w:p>
    <w:p>
      <w:pPr>
        <w:wordWrap/>
        <w:spacing w:line="360" w:lineRule="auto"/>
        <w:ind w:left="0" w:leftChars="0" w:firstLine="480" w:firstLineChars="200"/>
        <w:rPr>
          <w:rFonts w:hint="eastAsia" w:cs="宋体"/>
          <w:b w:val="0"/>
          <w:bCs/>
          <w:szCs w:val="24"/>
        </w:rPr>
      </w:pPr>
      <w:r>
        <w:rPr>
          <w:rFonts w:hint="eastAsia" w:cs="宋体"/>
          <w:b w:val="0"/>
          <w:bCs/>
          <w:szCs w:val="24"/>
        </w:rPr>
        <w:t>根据医护人员制订的访视计划，对患者实施术前教育，并按照访视计划,进行术前访视。支持术前访视计划的查询。</w:t>
      </w:r>
    </w:p>
    <w:p>
      <w:pPr>
        <w:wordWrap/>
        <w:spacing w:line="360" w:lineRule="auto"/>
        <w:ind w:left="0" w:leftChars="0" w:firstLine="480" w:firstLineChars="200"/>
        <w:rPr>
          <w:rFonts w:hint="eastAsia" w:cs="宋体"/>
          <w:b w:val="0"/>
          <w:bCs/>
          <w:szCs w:val="24"/>
        </w:rPr>
      </w:pPr>
      <w:r>
        <w:rPr>
          <w:rFonts w:hint="eastAsia" w:cs="宋体"/>
          <w:b w:val="0"/>
          <w:bCs/>
          <w:szCs w:val="24"/>
        </w:rPr>
        <w:t>3.29.2术前访视记录</w:t>
      </w:r>
    </w:p>
    <w:p>
      <w:pPr>
        <w:wordWrap/>
        <w:spacing w:line="360" w:lineRule="auto"/>
        <w:ind w:left="0" w:leftChars="0" w:firstLine="480" w:firstLineChars="200"/>
        <w:rPr>
          <w:rFonts w:hint="eastAsia" w:cs="宋体"/>
          <w:b w:val="0"/>
          <w:bCs/>
          <w:szCs w:val="24"/>
        </w:rPr>
      </w:pPr>
      <w:r>
        <w:rPr>
          <w:rFonts w:hint="eastAsia" w:cs="宋体"/>
          <w:b w:val="0"/>
          <w:bCs/>
          <w:szCs w:val="24"/>
        </w:rPr>
        <w:t>将对患者的访视情况详细记录，以便了解访视情况，制定相应的护理措施或调整相关手术计划。</w:t>
      </w:r>
    </w:p>
    <w:p>
      <w:pPr>
        <w:wordWrap/>
        <w:spacing w:line="360" w:lineRule="auto"/>
        <w:ind w:left="0" w:leftChars="0" w:firstLine="480" w:firstLineChars="200"/>
        <w:rPr>
          <w:rFonts w:hint="eastAsia" w:cs="宋体"/>
          <w:b w:val="0"/>
          <w:bCs/>
          <w:szCs w:val="24"/>
        </w:rPr>
      </w:pPr>
      <w:r>
        <w:rPr>
          <w:rFonts w:hint="eastAsia" w:cs="宋体"/>
          <w:b w:val="0"/>
          <w:bCs/>
          <w:szCs w:val="24"/>
        </w:rPr>
        <w:t>3.30手术信息系统</w:t>
      </w:r>
    </w:p>
    <w:p>
      <w:pPr>
        <w:wordWrap/>
        <w:spacing w:line="360" w:lineRule="auto"/>
        <w:ind w:left="0" w:leftChars="0" w:firstLine="480" w:firstLineChars="200"/>
        <w:rPr>
          <w:rFonts w:hint="eastAsia" w:cs="宋体"/>
          <w:b w:val="0"/>
          <w:bCs/>
          <w:szCs w:val="24"/>
        </w:rPr>
      </w:pPr>
      <w:r>
        <w:rPr>
          <w:rFonts w:hint="eastAsia" w:cs="宋体"/>
          <w:b w:val="0"/>
          <w:bCs/>
          <w:szCs w:val="24"/>
        </w:rPr>
        <w:t>3.30.1手术申请</w:t>
      </w:r>
    </w:p>
    <w:p>
      <w:pPr>
        <w:wordWrap/>
        <w:spacing w:line="360" w:lineRule="auto"/>
        <w:ind w:left="0" w:leftChars="0" w:firstLine="480" w:firstLineChars="200"/>
        <w:rPr>
          <w:rFonts w:hint="eastAsia" w:cs="宋体"/>
          <w:b w:val="0"/>
          <w:bCs/>
          <w:szCs w:val="24"/>
        </w:rPr>
      </w:pPr>
      <w:r>
        <w:rPr>
          <w:rFonts w:hint="eastAsia" w:cs="宋体"/>
          <w:b w:val="0"/>
          <w:bCs/>
          <w:szCs w:val="24"/>
        </w:rPr>
        <w:t>支持根据手术级别获取手术医生名单。支持加急手术和非加急手术两种模式，加急手术可将预约时间提前至当天。支持通过消息提醒，将临床医生发起的手术申请提醒到手术室。</w:t>
      </w:r>
    </w:p>
    <w:p>
      <w:pPr>
        <w:wordWrap/>
        <w:spacing w:line="360" w:lineRule="auto"/>
        <w:ind w:left="0" w:leftChars="0" w:firstLine="480" w:firstLineChars="200"/>
        <w:rPr>
          <w:rFonts w:hint="eastAsia" w:cs="宋体"/>
          <w:b w:val="0"/>
          <w:bCs/>
          <w:szCs w:val="24"/>
        </w:rPr>
      </w:pPr>
      <w:r>
        <w:rPr>
          <w:rFonts w:hint="eastAsia" w:cs="宋体"/>
          <w:b w:val="0"/>
          <w:bCs/>
          <w:szCs w:val="24"/>
        </w:rPr>
        <w:t>3.30.2手术安排</w:t>
      </w:r>
    </w:p>
    <w:p>
      <w:pPr>
        <w:wordWrap/>
        <w:spacing w:line="360" w:lineRule="auto"/>
        <w:ind w:left="0" w:leftChars="0" w:firstLine="480" w:firstLineChars="200"/>
        <w:rPr>
          <w:rFonts w:hint="eastAsia" w:cs="宋体"/>
          <w:b w:val="0"/>
          <w:bCs/>
          <w:szCs w:val="24"/>
        </w:rPr>
      </w:pPr>
      <w:r>
        <w:rPr>
          <w:rFonts w:hint="eastAsia" w:cs="宋体"/>
          <w:b w:val="0"/>
          <w:bCs/>
          <w:szCs w:val="24"/>
        </w:rPr>
        <w:t>支持查看临床发起的手术申请信息。提供统一的手术排台界面，可对手术进行排台或撤销。能够通过拖拽式操作选择手术护士、麻醉医生、手术医生信息。</w:t>
      </w:r>
    </w:p>
    <w:p>
      <w:pPr>
        <w:wordWrap/>
        <w:spacing w:line="360" w:lineRule="auto"/>
        <w:ind w:left="0" w:leftChars="0" w:firstLine="480" w:firstLineChars="200"/>
        <w:rPr>
          <w:rFonts w:hint="eastAsia" w:cs="宋体"/>
          <w:b w:val="0"/>
          <w:bCs/>
          <w:szCs w:val="24"/>
        </w:rPr>
      </w:pPr>
      <w:r>
        <w:rPr>
          <w:rFonts w:hint="eastAsia" w:cs="宋体"/>
          <w:b w:val="0"/>
          <w:bCs/>
          <w:szCs w:val="24"/>
        </w:rPr>
        <w:t>手术安排完成后能够通过消息提醒系统提醒病区护士、医生进行手术交接。</w:t>
      </w:r>
    </w:p>
    <w:p>
      <w:pPr>
        <w:wordWrap/>
        <w:spacing w:line="360" w:lineRule="auto"/>
        <w:ind w:left="0" w:leftChars="0" w:firstLine="480" w:firstLineChars="200"/>
        <w:rPr>
          <w:rFonts w:hint="eastAsia" w:cs="宋体"/>
          <w:b w:val="0"/>
          <w:bCs/>
          <w:szCs w:val="24"/>
        </w:rPr>
      </w:pPr>
      <w:r>
        <w:rPr>
          <w:rFonts w:hint="eastAsia" w:cs="宋体"/>
          <w:b w:val="0"/>
          <w:bCs/>
          <w:szCs w:val="24"/>
        </w:rPr>
        <w:t>3.30.3手术护理</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支持病人手术过程中，临时医嘱的录入、审核、执行。提供临时医嘱药品模板。能够手术室相关费用的记账。支持费用浏览功能及费用补记功能。支持影像及检验结果查看。支持退药处理功能</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1</w:t>
      </w:r>
      <w:r>
        <w:rPr>
          <w:rFonts w:hint="eastAsia" w:cs="宋体"/>
          <w:b w:val="0"/>
          <w:bCs/>
          <w:szCs w:val="24"/>
        </w:rPr>
        <w:t>合理用血信息系统</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1</w:t>
      </w:r>
      <w:r>
        <w:rPr>
          <w:rFonts w:hint="eastAsia" w:cs="宋体"/>
          <w:b w:val="0"/>
          <w:bCs/>
          <w:szCs w:val="24"/>
        </w:rPr>
        <w:t>.1血制品库存管理</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▲支持调用中心血站的Web服务，将血制品信息导入本系统，支持在线订购</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1</w:t>
      </w:r>
      <w:r>
        <w:rPr>
          <w:rFonts w:hint="eastAsia" w:cs="宋体"/>
          <w:b w:val="0"/>
          <w:bCs/>
          <w:szCs w:val="24"/>
        </w:rPr>
        <w:t>.2 Excel文件入库</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支持通过读取excel文件中血制品信息入库</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1</w:t>
      </w:r>
      <w:r>
        <w:rPr>
          <w:rFonts w:hint="eastAsia" w:cs="宋体"/>
          <w:b w:val="0"/>
          <w:bCs/>
          <w:szCs w:val="24"/>
        </w:rPr>
        <w:t>.3血袋扫描入库</w:t>
      </w:r>
    </w:p>
    <w:p>
      <w:pPr>
        <w:wordWrap/>
        <w:spacing w:line="360" w:lineRule="auto"/>
        <w:ind w:left="0" w:leftChars="0" w:firstLine="480" w:firstLineChars="200"/>
        <w:rPr>
          <w:rFonts w:hint="eastAsia" w:cs="宋体"/>
          <w:b w:val="0"/>
          <w:bCs/>
          <w:szCs w:val="24"/>
        </w:rPr>
      </w:pPr>
      <w:r>
        <w:rPr>
          <w:rFonts w:hint="eastAsia" w:cs="宋体"/>
          <w:b w:val="0"/>
          <w:bCs/>
          <w:szCs w:val="24"/>
        </w:rPr>
        <w:t>支持通过扫描血袋上的四或者五个条码，自动识别血袋的相关信息。</w:t>
      </w:r>
    </w:p>
    <w:p>
      <w:pPr>
        <w:wordWrap/>
        <w:spacing w:line="360" w:lineRule="auto"/>
        <w:ind w:left="0" w:leftChars="0" w:firstLine="480" w:firstLineChars="200"/>
        <w:rPr>
          <w:rFonts w:hint="eastAsia" w:cs="宋体"/>
          <w:b w:val="0"/>
          <w:bCs/>
          <w:szCs w:val="24"/>
        </w:rPr>
      </w:pPr>
      <w:r>
        <w:rPr>
          <w:rFonts w:hint="eastAsia" w:cs="宋体"/>
          <w:b w:val="0"/>
          <w:bCs/>
          <w:szCs w:val="24"/>
        </w:rPr>
        <w:t>支持混合型扫描，光标在同一个输入框中，可以乱序扫描血袋上的各种条码，自动识别是哪种类型条码，并自动计算条码值对应的业务值。</w:t>
      </w:r>
    </w:p>
    <w:p>
      <w:pPr>
        <w:wordWrap/>
        <w:spacing w:line="360" w:lineRule="auto"/>
        <w:ind w:left="0" w:leftChars="0" w:firstLine="480" w:firstLineChars="200"/>
        <w:rPr>
          <w:rFonts w:hint="eastAsia" w:cs="宋体"/>
          <w:b w:val="0"/>
          <w:bCs/>
          <w:szCs w:val="24"/>
        </w:rPr>
      </w:pPr>
      <w:r>
        <w:rPr>
          <w:rFonts w:hint="eastAsia" w:cs="宋体"/>
          <w:b w:val="0"/>
          <w:bCs/>
          <w:szCs w:val="24"/>
        </w:rPr>
        <w:t>支持指向型扫描，光标在明确的业务值输入框中时，根据条码值自动计算业务值。</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1</w:t>
      </w:r>
      <w:r>
        <w:rPr>
          <w:rFonts w:hint="eastAsia" w:cs="宋体"/>
          <w:b w:val="0"/>
          <w:bCs/>
          <w:szCs w:val="24"/>
        </w:rPr>
        <w:t>.4入库查询</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支持可以按时间段、入库批号、入库明细和取消入库查询入库信息。支持本人可以取消本人入库记录，权限控制是否允许取消他人入库记录</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1</w:t>
      </w:r>
      <w:r>
        <w:rPr>
          <w:rFonts w:hint="eastAsia" w:cs="宋体"/>
          <w:b w:val="0"/>
          <w:bCs/>
          <w:szCs w:val="24"/>
        </w:rPr>
        <w:t>.5退回血站</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支持查看退回血站产生出库记录，支持全程扫码执行。打印设计退回血站出库单</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1</w:t>
      </w:r>
      <w:r>
        <w:rPr>
          <w:rFonts w:hint="eastAsia" w:cs="宋体"/>
          <w:b w:val="0"/>
          <w:bCs/>
          <w:szCs w:val="24"/>
        </w:rPr>
        <w:t>.6血制品效期和报损</w:t>
      </w:r>
    </w:p>
    <w:p>
      <w:pPr>
        <w:wordWrap/>
        <w:spacing w:line="360" w:lineRule="auto"/>
        <w:ind w:left="0" w:leftChars="0" w:firstLine="480" w:firstLineChars="200"/>
        <w:rPr>
          <w:rFonts w:hint="eastAsia" w:cs="宋体"/>
          <w:b w:val="0"/>
          <w:bCs/>
          <w:szCs w:val="24"/>
        </w:rPr>
      </w:pPr>
      <w:r>
        <w:rPr>
          <w:rFonts w:hint="eastAsia" w:cs="宋体"/>
          <w:b w:val="0"/>
          <w:bCs/>
          <w:szCs w:val="24"/>
        </w:rPr>
        <w:t>支持查看血制品效期、支持效期报警、支持报损出库。</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1</w:t>
      </w:r>
      <w:r>
        <w:rPr>
          <w:rFonts w:hint="eastAsia" w:cs="宋体"/>
          <w:b w:val="0"/>
          <w:bCs/>
          <w:szCs w:val="24"/>
        </w:rPr>
        <w:t>.7出库明细</w:t>
      </w:r>
    </w:p>
    <w:p>
      <w:pPr>
        <w:wordWrap/>
        <w:spacing w:line="360" w:lineRule="auto"/>
        <w:ind w:left="0" w:leftChars="0" w:firstLine="480" w:firstLineChars="200"/>
        <w:rPr>
          <w:rFonts w:hint="eastAsia" w:cs="宋体"/>
          <w:b w:val="0"/>
          <w:bCs/>
          <w:szCs w:val="24"/>
        </w:rPr>
      </w:pPr>
      <w:r>
        <w:rPr>
          <w:rFonts w:hint="eastAsia" w:cs="宋体"/>
          <w:b w:val="0"/>
          <w:bCs/>
          <w:szCs w:val="24"/>
        </w:rPr>
        <w:t>支持查看出库明细信息。</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1</w:t>
      </w:r>
      <w:r>
        <w:rPr>
          <w:rFonts w:hint="eastAsia" w:cs="宋体"/>
          <w:b w:val="0"/>
          <w:bCs/>
          <w:szCs w:val="24"/>
        </w:rPr>
        <w:t>.8实时库存</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支持实时计算各个血制品的不同血型的当前在库数量，显示库存明细（在库和预出库）可以根据入库时间段、入库批号、入库人、血制品类型、abo血型\、rh血型、血制品状态（在库、出库、待出库）、出库号、出库科室等查询血制品明细</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1</w:t>
      </w:r>
      <w:r>
        <w:rPr>
          <w:rFonts w:hint="eastAsia" w:cs="宋体"/>
          <w:b w:val="0"/>
          <w:bCs/>
          <w:szCs w:val="24"/>
        </w:rPr>
        <w:t>.9回收式自体输血记录单</w:t>
      </w:r>
    </w:p>
    <w:p>
      <w:pPr>
        <w:wordWrap/>
        <w:spacing w:line="360" w:lineRule="auto"/>
        <w:ind w:left="0" w:leftChars="0" w:firstLine="480" w:firstLineChars="200"/>
        <w:rPr>
          <w:rFonts w:hint="eastAsia" w:cs="宋体"/>
          <w:b w:val="0"/>
          <w:bCs/>
          <w:szCs w:val="24"/>
        </w:rPr>
      </w:pPr>
      <w:r>
        <w:rPr>
          <w:rFonts w:hint="eastAsia" w:cs="宋体"/>
          <w:b w:val="0"/>
          <w:bCs/>
          <w:szCs w:val="24"/>
        </w:rPr>
        <w:t>支持查询和修改已填写的记录单，新增记录单；支持手术过程中，记录使用回收式自体输血的过程中的数据。</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1</w:t>
      </w:r>
      <w:r>
        <w:rPr>
          <w:rFonts w:hint="eastAsia" w:cs="宋体"/>
          <w:b w:val="0"/>
          <w:bCs/>
          <w:szCs w:val="24"/>
        </w:rPr>
        <w:t>.10交换接班管理</w:t>
      </w:r>
    </w:p>
    <w:p>
      <w:pPr>
        <w:wordWrap/>
        <w:spacing w:line="360" w:lineRule="auto"/>
        <w:ind w:left="0" w:leftChars="0" w:firstLine="480" w:firstLineChars="200"/>
        <w:rPr>
          <w:rFonts w:hint="eastAsia" w:cs="宋体"/>
          <w:b w:val="0"/>
          <w:bCs/>
          <w:szCs w:val="24"/>
        </w:rPr>
      </w:pPr>
      <w:r>
        <w:rPr>
          <w:rFonts w:hint="eastAsia" w:cs="宋体"/>
          <w:b w:val="0"/>
          <w:bCs/>
          <w:szCs w:val="24"/>
        </w:rPr>
        <w:t>支持交接班时填写交班人的值班时间起止，支持按abo和Rh血型统计，支持查询值班期间的入库血袋数量，血量。</w:t>
      </w:r>
    </w:p>
    <w:p>
      <w:pPr>
        <w:wordWrap/>
        <w:spacing w:line="360" w:lineRule="auto"/>
        <w:ind w:left="0" w:leftChars="0" w:firstLine="480" w:firstLineChars="200"/>
        <w:rPr>
          <w:rFonts w:hint="eastAsia" w:cs="宋体"/>
          <w:b w:val="0"/>
          <w:bCs/>
          <w:szCs w:val="24"/>
        </w:rPr>
      </w:pPr>
      <w:r>
        <w:rPr>
          <w:rFonts w:hint="eastAsia" w:cs="宋体"/>
          <w:b w:val="0"/>
          <w:bCs/>
          <w:szCs w:val="24"/>
        </w:rPr>
        <w:t>支持查询值班期间的出库血袋数量，血量。支持查询交班时的库存数量，血量。</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1</w:t>
      </w:r>
      <w:r>
        <w:rPr>
          <w:rFonts w:hint="eastAsia" w:cs="宋体"/>
          <w:b w:val="0"/>
          <w:bCs/>
          <w:szCs w:val="24"/>
        </w:rPr>
        <w:t>.11交叉配血和出库</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支持显示和选择申请单，支持显示相关检验项目结果，支持填写初检和复检血型</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支持填写配血信息，默认是受血者与血袋配血。支持血袋与血袋配血，这种情况下第二袋血只能从本申请单的已配血中选择。</w:t>
      </w:r>
    </w:p>
    <w:p>
      <w:pPr>
        <w:wordWrap/>
        <w:spacing w:line="360" w:lineRule="auto"/>
        <w:ind w:left="0" w:leftChars="0" w:firstLine="480" w:firstLineChars="200"/>
        <w:rPr>
          <w:rFonts w:hint="eastAsia" w:cs="宋体"/>
          <w:b w:val="0"/>
          <w:bCs/>
          <w:szCs w:val="24"/>
        </w:rPr>
      </w:pPr>
      <w:r>
        <w:rPr>
          <w:rFonts w:hint="eastAsia" w:cs="宋体"/>
          <w:b w:val="0"/>
          <w:bCs/>
          <w:szCs w:val="24"/>
        </w:rPr>
        <w:t>支持更新输血申请单状态支持生成检验申请（开单和执行科室为输血科）、记帐、产生条码。</w:t>
      </w:r>
    </w:p>
    <w:p>
      <w:pPr>
        <w:wordWrap/>
        <w:spacing w:line="360" w:lineRule="auto"/>
        <w:ind w:left="0" w:leftChars="0" w:firstLine="480" w:firstLineChars="200"/>
        <w:rPr>
          <w:rFonts w:hint="eastAsia" w:cs="宋体"/>
          <w:b w:val="0"/>
          <w:bCs/>
          <w:szCs w:val="24"/>
        </w:rPr>
      </w:pPr>
      <w:r>
        <w:rPr>
          <w:rFonts w:hint="eastAsia" w:cs="宋体"/>
          <w:b w:val="0"/>
          <w:bCs/>
          <w:szCs w:val="24"/>
        </w:rPr>
        <w:t>支持记帐：血制品费用、交叉配血费用和次数。支持生成文字医嘱支持生成电子病历：交叉配血记录单</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1</w:t>
      </w:r>
      <w:r>
        <w:rPr>
          <w:rFonts w:hint="eastAsia" w:cs="宋体"/>
          <w:b w:val="0"/>
          <w:bCs/>
          <w:szCs w:val="24"/>
        </w:rPr>
        <w:t>.12检验扩展接口改造</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支持输血系统使用LIS的扩展接口设置和调用</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highlight w:val="none"/>
        </w:rPr>
      </w:pPr>
      <w:r>
        <w:rPr>
          <w:rFonts w:hint="eastAsia" w:cs="宋体"/>
          <w:b w:val="0"/>
          <w:bCs/>
          <w:szCs w:val="24"/>
          <w:highlight w:val="none"/>
        </w:rPr>
        <w:t>3.3</w:t>
      </w:r>
      <w:r>
        <w:rPr>
          <w:rFonts w:hint="eastAsia" w:cs="宋体"/>
          <w:b w:val="0"/>
          <w:bCs/>
          <w:szCs w:val="24"/>
          <w:highlight w:val="none"/>
          <w:lang w:val="en-US" w:eastAsia="zh-CN"/>
        </w:rPr>
        <w:t>2</w:t>
      </w:r>
      <w:r>
        <w:rPr>
          <w:rFonts w:hint="eastAsia" w:cs="宋体"/>
          <w:b w:val="0"/>
          <w:bCs/>
          <w:szCs w:val="24"/>
          <w:highlight w:val="none"/>
        </w:rPr>
        <w:t>随访信息系统</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highlight w:val="none"/>
        </w:rPr>
        <w:t>3</w:t>
      </w:r>
      <w:r>
        <w:rPr>
          <w:rFonts w:hint="eastAsia" w:cs="宋体"/>
          <w:b w:val="0"/>
          <w:bCs/>
          <w:szCs w:val="24"/>
          <w:highlight w:val="none"/>
          <w:lang w:val="en-US" w:eastAsia="zh-CN"/>
        </w:rPr>
        <w:t>2</w:t>
      </w:r>
      <w:r>
        <w:rPr>
          <w:rFonts w:hint="eastAsia" w:cs="宋体"/>
          <w:b w:val="0"/>
          <w:bCs/>
          <w:szCs w:val="24"/>
        </w:rPr>
        <w:t>.1系统管理</w:t>
      </w:r>
    </w:p>
    <w:p>
      <w:pPr>
        <w:wordWrap/>
        <w:spacing w:line="360" w:lineRule="auto"/>
        <w:ind w:left="0" w:leftChars="0" w:firstLine="480" w:firstLineChars="200"/>
        <w:rPr>
          <w:rFonts w:hint="eastAsia" w:cs="宋体"/>
          <w:b w:val="0"/>
          <w:bCs/>
          <w:szCs w:val="24"/>
        </w:rPr>
      </w:pPr>
      <w:r>
        <w:rPr>
          <w:rFonts w:hint="eastAsia" w:cs="宋体"/>
          <w:b w:val="0"/>
          <w:bCs/>
          <w:szCs w:val="24"/>
        </w:rPr>
        <w:t>整合患者完整资料，包括基本信息、门诊信息、住院信息、手术信息和随访记录等，并支持多条件检索查询某类患者。患者资料可以手动EXCEL导入，也可以从HIS、EMR、PACS等系统中自动导入。</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highlight w:val="none"/>
        </w:rPr>
        <w:t>3</w:t>
      </w:r>
      <w:r>
        <w:rPr>
          <w:rFonts w:hint="eastAsia" w:cs="宋体"/>
          <w:b w:val="0"/>
          <w:bCs/>
          <w:szCs w:val="24"/>
          <w:highlight w:val="none"/>
          <w:lang w:val="en-US" w:eastAsia="zh-CN"/>
        </w:rPr>
        <w:t>2</w:t>
      </w:r>
      <w:r>
        <w:rPr>
          <w:rFonts w:hint="eastAsia" w:cs="宋体"/>
          <w:b w:val="0"/>
          <w:bCs/>
          <w:szCs w:val="24"/>
        </w:rPr>
        <w:t>.2随访管理</w:t>
      </w:r>
    </w:p>
    <w:p>
      <w:pPr>
        <w:wordWrap/>
        <w:spacing w:line="360" w:lineRule="auto"/>
        <w:ind w:left="0" w:leftChars="0" w:firstLine="480" w:firstLineChars="200"/>
        <w:rPr>
          <w:rFonts w:hint="eastAsia" w:cs="宋体"/>
          <w:b w:val="0"/>
          <w:bCs/>
          <w:szCs w:val="24"/>
        </w:rPr>
      </w:pPr>
      <w:r>
        <w:rPr>
          <w:rFonts w:hint="eastAsia" w:cs="宋体"/>
          <w:b w:val="0"/>
          <w:bCs/>
          <w:szCs w:val="24"/>
        </w:rPr>
        <w:t>随访问卷模板化：要求为不同病种不同阶段的患者制定和匹配相应的随访问卷和随访计划，防止随访的随意性，保证了随访的规范化，为随访结果的统计分析提供基础。</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highlight w:val="none"/>
        </w:rPr>
        <w:t>3</w:t>
      </w:r>
      <w:r>
        <w:rPr>
          <w:rFonts w:hint="eastAsia" w:cs="宋体"/>
          <w:b w:val="0"/>
          <w:bCs/>
          <w:szCs w:val="24"/>
          <w:highlight w:val="none"/>
          <w:lang w:val="en-US" w:eastAsia="zh-CN"/>
        </w:rPr>
        <w:t>2</w:t>
      </w:r>
      <w:r>
        <w:rPr>
          <w:rFonts w:hint="eastAsia" w:cs="宋体"/>
          <w:b w:val="0"/>
          <w:bCs/>
          <w:szCs w:val="24"/>
        </w:rPr>
        <w:t>.3医患沟通</w:t>
      </w:r>
    </w:p>
    <w:p>
      <w:pPr>
        <w:wordWrap/>
        <w:spacing w:line="360" w:lineRule="auto"/>
        <w:ind w:left="0" w:leftChars="0" w:firstLine="480" w:firstLineChars="200"/>
        <w:rPr>
          <w:rFonts w:hint="eastAsia" w:cs="宋体"/>
          <w:b w:val="0"/>
          <w:bCs/>
          <w:szCs w:val="24"/>
        </w:rPr>
      </w:pPr>
      <w:r>
        <w:rPr>
          <w:rFonts w:hint="eastAsia" w:cs="宋体"/>
          <w:b w:val="0"/>
          <w:bCs/>
          <w:szCs w:val="24"/>
        </w:rPr>
        <w:t>电话随访：支持软件拨号，耳麦通话，电话录音。</w:t>
      </w:r>
    </w:p>
    <w:p>
      <w:pPr>
        <w:wordWrap/>
        <w:spacing w:line="360" w:lineRule="auto"/>
        <w:ind w:left="0" w:leftChars="0" w:firstLine="480" w:firstLineChars="200"/>
        <w:rPr>
          <w:rFonts w:hint="eastAsia" w:cs="宋体"/>
          <w:b w:val="0"/>
          <w:bCs/>
          <w:szCs w:val="24"/>
        </w:rPr>
      </w:pPr>
      <w:r>
        <w:rPr>
          <w:rFonts w:hint="eastAsia" w:cs="宋体"/>
          <w:b w:val="0"/>
          <w:bCs/>
          <w:szCs w:val="24"/>
        </w:rPr>
        <w:t>短信随访：系统可定时给患者发送随访短信，也可以群发个性化短信，支持回复。</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3</w:t>
      </w:r>
      <w:r>
        <w:rPr>
          <w:rFonts w:hint="eastAsia" w:cs="宋体"/>
          <w:b w:val="0"/>
          <w:bCs/>
          <w:szCs w:val="24"/>
        </w:rPr>
        <w:t>临床检验系统</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3</w:t>
      </w:r>
      <w:r>
        <w:rPr>
          <w:rFonts w:hint="eastAsia" w:cs="宋体"/>
          <w:b w:val="0"/>
          <w:bCs/>
          <w:szCs w:val="24"/>
        </w:rPr>
        <w:t>.1样本采集</w:t>
      </w:r>
    </w:p>
    <w:p>
      <w:pPr>
        <w:wordWrap/>
        <w:spacing w:line="360" w:lineRule="auto"/>
        <w:ind w:left="0" w:leftChars="0" w:firstLine="480" w:firstLineChars="200"/>
        <w:rPr>
          <w:rFonts w:hint="eastAsia" w:cs="宋体"/>
          <w:b w:val="0"/>
          <w:bCs/>
          <w:szCs w:val="24"/>
        </w:rPr>
      </w:pPr>
      <w:r>
        <w:rPr>
          <w:rFonts w:hint="eastAsia" w:cs="宋体"/>
          <w:b w:val="0"/>
          <w:bCs/>
          <w:szCs w:val="24"/>
        </w:rPr>
        <w:t>支持打印条码工作模式。支持按不同标本类型分类批量打印条码。支持标本条码作废、重打。</w:t>
      </w:r>
    </w:p>
    <w:p>
      <w:pPr>
        <w:wordWrap/>
        <w:spacing w:line="360" w:lineRule="auto"/>
        <w:ind w:left="0" w:leftChars="0" w:firstLine="480" w:firstLineChars="200"/>
        <w:rPr>
          <w:rFonts w:hint="eastAsia" w:cs="宋体"/>
          <w:b w:val="0"/>
          <w:bCs/>
          <w:szCs w:val="24"/>
        </w:rPr>
      </w:pPr>
      <w:r>
        <w:rPr>
          <w:rFonts w:hint="eastAsia" w:cs="宋体"/>
          <w:b w:val="0"/>
          <w:bCs/>
          <w:szCs w:val="24"/>
        </w:rPr>
        <w:t xml:space="preserve">支持自动提示本次采样需用的采样管类型、颜色等。支持打印的样本标签应有明确的标识，区分各个不同的小组。 </w:t>
      </w:r>
    </w:p>
    <w:p>
      <w:pPr>
        <w:wordWrap/>
        <w:spacing w:line="360" w:lineRule="auto"/>
        <w:ind w:left="0" w:leftChars="0" w:firstLine="480" w:firstLineChars="200"/>
        <w:rPr>
          <w:rFonts w:hint="eastAsia" w:cs="宋体"/>
          <w:b w:val="0"/>
          <w:bCs/>
          <w:szCs w:val="24"/>
        </w:rPr>
      </w:pPr>
      <w:r>
        <w:rPr>
          <w:rFonts w:hint="eastAsia" w:cs="宋体"/>
          <w:b w:val="0"/>
          <w:bCs/>
          <w:szCs w:val="24"/>
        </w:rPr>
        <w:t>支持样本采集模块有相应的样本采集信息的记录：包括样本采集时间、样本量、体温、其他采样说明等信息。</w:t>
      </w:r>
    </w:p>
    <w:p>
      <w:pPr>
        <w:wordWrap/>
        <w:spacing w:line="360" w:lineRule="auto"/>
        <w:ind w:left="0" w:leftChars="0" w:firstLine="480" w:firstLineChars="200"/>
        <w:rPr>
          <w:rFonts w:hint="eastAsia" w:cs="宋体"/>
          <w:b w:val="0"/>
          <w:bCs/>
          <w:szCs w:val="24"/>
        </w:rPr>
      </w:pPr>
      <w:r>
        <w:rPr>
          <w:rFonts w:hint="eastAsia" w:cs="宋体"/>
          <w:b w:val="0"/>
          <w:bCs/>
          <w:szCs w:val="24"/>
        </w:rPr>
        <w:t>支持标本采集后，系统根据检验组套相关规则自动生成回执单打印。支持指定标本类型、组套项目等在特定的工作站进行标本采集。支持拒收标本重新生成条码。</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3</w:t>
      </w:r>
      <w:r>
        <w:rPr>
          <w:rFonts w:hint="eastAsia" w:cs="宋体"/>
          <w:b w:val="0"/>
          <w:bCs/>
          <w:szCs w:val="24"/>
        </w:rPr>
        <w:t>.2样本送检、核收</w:t>
      </w:r>
    </w:p>
    <w:p>
      <w:pPr>
        <w:wordWrap/>
        <w:spacing w:line="360" w:lineRule="auto"/>
        <w:ind w:left="0" w:leftChars="0" w:firstLine="480" w:firstLineChars="200"/>
        <w:rPr>
          <w:rFonts w:hint="eastAsia" w:cs="宋体"/>
          <w:b w:val="0"/>
          <w:bCs/>
          <w:szCs w:val="24"/>
        </w:rPr>
      </w:pPr>
      <w:r>
        <w:rPr>
          <w:rFonts w:hint="eastAsia" w:cs="宋体"/>
          <w:b w:val="0"/>
          <w:bCs/>
          <w:szCs w:val="24"/>
        </w:rPr>
        <w:t>支持自动生成送检单。支持按照不同标本类型、组套类型进行设置送检规则。支持条形码读入进行核收。支持进行样本取消核收操作，并留有日志记录。</w:t>
      </w:r>
    </w:p>
    <w:p>
      <w:pPr>
        <w:wordWrap/>
        <w:spacing w:line="360" w:lineRule="auto"/>
        <w:ind w:left="0" w:leftChars="0" w:firstLine="480" w:firstLineChars="200"/>
        <w:rPr>
          <w:rFonts w:hint="eastAsia" w:cs="宋体"/>
          <w:b w:val="0"/>
          <w:bCs/>
          <w:szCs w:val="24"/>
        </w:rPr>
      </w:pPr>
      <w:r>
        <w:rPr>
          <w:rFonts w:hint="eastAsia" w:cs="宋体"/>
          <w:b w:val="0"/>
          <w:bCs/>
          <w:szCs w:val="24"/>
        </w:rPr>
        <w:t>支持对不合格的样本拒收，提示录入或选择拒收原因、拒收人和拒收时间备查，并自动将拒收消息提醒到采集工作站。</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3</w:t>
      </w:r>
      <w:r>
        <w:rPr>
          <w:rFonts w:hint="eastAsia" w:cs="宋体"/>
          <w:b w:val="0"/>
          <w:bCs/>
          <w:szCs w:val="24"/>
        </w:rPr>
        <w:t>.3常规检验</w:t>
      </w:r>
    </w:p>
    <w:p>
      <w:pPr>
        <w:wordWrap/>
        <w:spacing w:line="360" w:lineRule="auto"/>
        <w:ind w:left="0" w:leftChars="0" w:firstLine="480" w:firstLineChars="200"/>
        <w:rPr>
          <w:rFonts w:hint="eastAsia" w:cs="宋体"/>
          <w:b w:val="0"/>
          <w:bCs/>
          <w:szCs w:val="24"/>
        </w:rPr>
      </w:pPr>
      <w:r>
        <w:rPr>
          <w:rFonts w:hint="eastAsia" w:cs="宋体"/>
          <w:b w:val="0"/>
          <w:bCs/>
          <w:szCs w:val="24"/>
        </w:rPr>
        <w:t>支持自动接收仪器检验结果，自动生成计算项目的结果值,将不同的单项检测结果，自动归并到组合项目中。</w:t>
      </w:r>
    </w:p>
    <w:p>
      <w:pPr>
        <w:wordWrap/>
        <w:spacing w:line="360" w:lineRule="auto"/>
        <w:ind w:left="0" w:leftChars="0" w:firstLine="480" w:firstLineChars="200"/>
        <w:rPr>
          <w:rFonts w:hint="eastAsia" w:cs="宋体"/>
          <w:b w:val="0"/>
          <w:bCs/>
          <w:szCs w:val="24"/>
        </w:rPr>
      </w:pPr>
      <w:r>
        <w:rPr>
          <w:rFonts w:hint="eastAsia" w:cs="宋体"/>
          <w:b w:val="0"/>
          <w:bCs/>
          <w:szCs w:val="24"/>
        </w:rPr>
        <w:t>支持文字、数据和图形和图像显示检验结果。支持检验结果自动进行参考值范围检查，对正常结果和超限结果用不同颜色醒目提示。</w:t>
      </w:r>
    </w:p>
    <w:p>
      <w:pPr>
        <w:wordWrap/>
        <w:spacing w:line="360" w:lineRule="auto"/>
        <w:ind w:left="0" w:leftChars="0" w:firstLine="480" w:firstLineChars="200"/>
        <w:rPr>
          <w:rFonts w:hint="eastAsia" w:cs="宋体"/>
          <w:b w:val="0"/>
          <w:bCs/>
          <w:szCs w:val="24"/>
        </w:rPr>
      </w:pPr>
      <w:r>
        <w:rPr>
          <w:rFonts w:hint="eastAsia" w:cs="宋体"/>
          <w:b w:val="0"/>
          <w:bCs/>
          <w:szCs w:val="24"/>
        </w:rPr>
        <w:t>支持对同一病人的检验，如同一仪器不同时间的检验、在组内不同仪器上的检验，或在不同小组的检验时，可进行报告合并。</w:t>
      </w:r>
    </w:p>
    <w:p>
      <w:pPr>
        <w:wordWrap/>
        <w:spacing w:line="360" w:lineRule="auto"/>
        <w:ind w:left="0" w:leftChars="0" w:firstLine="480" w:firstLineChars="200"/>
        <w:rPr>
          <w:rFonts w:hint="eastAsia" w:cs="宋体"/>
          <w:b w:val="0"/>
          <w:bCs/>
          <w:szCs w:val="24"/>
        </w:rPr>
      </w:pPr>
      <w:r>
        <w:rPr>
          <w:rFonts w:hint="eastAsia" w:cs="宋体"/>
          <w:b w:val="0"/>
          <w:bCs/>
          <w:szCs w:val="24"/>
        </w:rPr>
        <w:t>支持计算一段时期内某个项目的平均值、最大值、最小值，标准值，变异系数等并自动生成分析图表。</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支持检验项目复查。支持条码自动拆分，达到一个标本在多个检验仪器上进行检验。支持查看样本生命周期内的时间节点、操作人信息等</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3</w:t>
      </w:r>
      <w:r>
        <w:rPr>
          <w:rFonts w:hint="eastAsia" w:cs="宋体"/>
          <w:b w:val="0"/>
          <w:bCs/>
          <w:szCs w:val="24"/>
        </w:rPr>
        <w:t>.4微生物专业检验</w:t>
      </w:r>
    </w:p>
    <w:p>
      <w:pPr>
        <w:wordWrap/>
        <w:spacing w:line="360" w:lineRule="auto"/>
        <w:ind w:left="0" w:leftChars="0" w:firstLine="480" w:firstLineChars="200"/>
        <w:rPr>
          <w:rFonts w:hint="eastAsia" w:cs="宋体"/>
          <w:b w:val="0"/>
          <w:bCs/>
          <w:szCs w:val="24"/>
        </w:rPr>
      </w:pPr>
      <w:r>
        <w:rPr>
          <w:rFonts w:hint="eastAsia" w:cs="宋体"/>
          <w:b w:val="0"/>
          <w:bCs/>
          <w:szCs w:val="24"/>
        </w:rPr>
        <w:t>支持微生物科、属、革兰氏分类设置，药敏抗生素分类定义。支持药敏模板设置，针对不同细菌分类设置不同药敏模板。支持对微生物、药敏药品设置WHO编码，并支持who导入导出。</w:t>
      </w:r>
    </w:p>
    <w:p>
      <w:pPr>
        <w:wordWrap/>
        <w:spacing w:line="360" w:lineRule="auto"/>
        <w:ind w:left="0" w:leftChars="0" w:firstLine="480" w:firstLineChars="200"/>
        <w:rPr>
          <w:rFonts w:hint="eastAsia" w:cs="宋体"/>
          <w:b w:val="0"/>
          <w:bCs/>
          <w:szCs w:val="24"/>
        </w:rPr>
      </w:pPr>
      <w:r>
        <w:rPr>
          <w:rFonts w:hint="eastAsia" w:cs="宋体"/>
          <w:b w:val="0"/>
          <w:bCs/>
          <w:szCs w:val="24"/>
        </w:rPr>
        <w:t>支持耐药规则设置，系统自动判断耐药、多重耐药、泛耐药。支持微生物三级报告制度。</w:t>
      </w:r>
    </w:p>
    <w:p>
      <w:pPr>
        <w:wordWrap/>
        <w:spacing w:line="360" w:lineRule="auto"/>
        <w:ind w:left="0" w:leftChars="0" w:firstLine="480" w:firstLineChars="200"/>
        <w:rPr>
          <w:rFonts w:hint="eastAsia" w:cs="宋体"/>
          <w:b w:val="0"/>
          <w:bCs/>
          <w:szCs w:val="24"/>
        </w:rPr>
      </w:pPr>
      <w:r>
        <w:rPr>
          <w:rFonts w:hint="eastAsia" w:cs="宋体"/>
          <w:b w:val="0"/>
          <w:bCs/>
          <w:szCs w:val="24"/>
        </w:rPr>
        <w:t>支持设置各种分类短语，可设置细菌分类以及不同分类下的细菌名称与输入快捷码。支持设置细菌培养的描述性短语，供技师快速调用。</w:t>
      </w:r>
    </w:p>
    <w:p>
      <w:pPr>
        <w:wordWrap/>
        <w:spacing w:line="360" w:lineRule="auto"/>
        <w:ind w:left="0" w:leftChars="0" w:firstLine="480" w:firstLineChars="200"/>
        <w:rPr>
          <w:rFonts w:hint="eastAsia" w:cs="宋体"/>
          <w:b w:val="0"/>
          <w:bCs/>
          <w:szCs w:val="24"/>
        </w:rPr>
      </w:pPr>
      <w:r>
        <w:rPr>
          <w:rFonts w:hint="eastAsia" w:cs="宋体"/>
          <w:b w:val="0"/>
          <w:bCs/>
          <w:szCs w:val="24"/>
        </w:rPr>
        <w:t>支持设置抗生素的分类名称、输入快捷码、默认抗生素、自动判定规则。支持设置不同抗生素的单位、高低值、参考值范围等。支持设置不同抗生素的使用方法、血药浓度、尿药浓度等。</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3</w:t>
      </w:r>
      <w:r>
        <w:rPr>
          <w:rFonts w:hint="eastAsia" w:cs="宋体"/>
          <w:b w:val="0"/>
          <w:bCs/>
          <w:szCs w:val="24"/>
        </w:rPr>
        <w:t>.5细胞形态学及镜检</w:t>
      </w:r>
    </w:p>
    <w:p>
      <w:pPr>
        <w:wordWrap/>
        <w:spacing w:line="360" w:lineRule="auto"/>
        <w:ind w:left="0" w:leftChars="0" w:firstLine="480" w:firstLineChars="200"/>
        <w:rPr>
          <w:rFonts w:hint="eastAsia" w:cs="宋体"/>
          <w:b w:val="0"/>
          <w:bCs/>
          <w:szCs w:val="24"/>
        </w:rPr>
      </w:pPr>
      <w:r>
        <w:rPr>
          <w:rFonts w:hint="eastAsia" w:cs="宋体"/>
          <w:b w:val="0"/>
          <w:bCs/>
          <w:szCs w:val="24"/>
        </w:rPr>
        <w:t>支持血片检验信息录入，包括取材、图片、染色及意见等信息的录入，并能够把自定义的临床建议生成结果短语提供参考。</w:t>
      </w:r>
    </w:p>
    <w:p>
      <w:pPr>
        <w:wordWrap/>
        <w:spacing w:line="360" w:lineRule="auto"/>
        <w:ind w:left="0" w:leftChars="0" w:firstLine="480" w:firstLineChars="200"/>
        <w:rPr>
          <w:rFonts w:hint="eastAsia" w:cs="宋体"/>
          <w:b w:val="0"/>
          <w:bCs/>
          <w:szCs w:val="24"/>
        </w:rPr>
      </w:pPr>
      <w:r>
        <w:rPr>
          <w:rFonts w:hint="eastAsia" w:cs="宋体"/>
          <w:b w:val="0"/>
          <w:bCs/>
          <w:szCs w:val="24"/>
        </w:rPr>
        <w:t>支持髓片检验信息录入，包括取材、图片、染色及意见等信息的录入，并能够把自定义的临床建议生成结果短语提供参考。</w:t>
      </w:r>
    </w:p>
    <w:p>
      <w:pPr>
        <w:wordWrap/>
        <w:spacing w:line="360" w:lineRule="auto"/>
        <w:ind w:left="0" w:leftChars="0" w:firstLine="480" w:firstLineChars="200"/>
        <w:rPr>
          <w:rFonts w:hint="eastAsia" w:cs="宋体"/>
          <w:b w:val="0"/>
          <w:bCs/>
          <w:szCs w:val="24"/>
        </w:rPr>
      </w:pPr>
      <w:r>
        <w:rPr>
          <w:rFonts w:hint="eastAsia" w:cs="宋体"/>
          <w:b w:val="0"/>
          <w:bCs/>
          <w:szCs w:val="24"/>
        </w:rPr>
        <w:t>支持外周血细胞形态学检查、组织化学染色检查结果的录入。支持模板、手工录入特殊分形的细胞信息，提供添加异常血细胞说明功能。</w:t>
      </w:r>
    </w:p>
    <w:p>
      <w:pPr>
        <w:wordWrap/>
        <w:spacing w:line="360" w:lineRule="auto"/>
        <w:ind w:left="0" w:leftChars="0" w:firstLine="480" w:firstLineChars="200"/>
        <w:rPr>
          <w:rFonts w:hint="eastAsia" w:cs="宋体"/>
          <w:b w:val="0"/>
          <w:bCs/>
          <w:szCs w:val="24"/>
        </w:rPr>
      </w:pPr>
      <w:r>
        <w:rPr>
          <w:rFonts w:hint="eastAsia" w:cs="宋体"/>
          <w:b w:val="0"/>
          <w:bCs/>
          <w:szCs w:val="24"/>
        </w:rPr>
        <w:t>支持镜检图片导入与显示，对镜检图像工作站实现及时的数据读取。</w:t>
      </w:r>
    </w:p>
    <w:p>
      <w:pPr>
        <w:wordWrap/>
        <w:spacing w:line="360" w:lineRule="auto"/>
        <w:ind w:left="0" w:leftChars="0" w:firstLine="480" w:firstLineChars="200"/>
        <w:rPr>
          <w:rFonts w:hint="eastAsia" w:cs="宋体"/>
          <w:b w:val="0"/>
          <w:bCs/>
          <w:szCs w:val="24"/>
        </w:rPr>
      </w:pPr>
      <w:r>
        <w:rPr>
          <w:rFonts w:hint="eastAsia" w:cs="宋体"/>
          <w:b w:val="0"/>
          <w:bCs/>
          <w:szCs w:val="24"/>
        </w:rPr>
        <w:t>支持细胞学检验查询，提供严格精密的统计分析功能，实现对细胞数量求和及相关的百分比计算。</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3</w:t>
      </w:r>
      <w:r>
        <w:rPr>
          <w:rFonts w:hint="eastAsia" w:cs="宋体"/>
          <w:b w:val="0"/>
          <w:bCs/>
          <w:szCs w:val="24"/>
        </w:rPr>
        <w:t>.6报告审定</w:t>
      </w:r>
    </w:p>
    <w:p>
      <w:pPr>
        <w:wordWrap/>
        <w:spacing w:line="360" w:lineRule="auto"/>
        <w:ind w:left="0" w:leftChars="0" w:firstLine="480" w:firstLineChars="200"/>
        <w:rPr>
          <w:rFonts w:hint="eastAsia" w:cs="宋体"/>
          <w:b w:val="0"/>
          <w:bCs/>
          <w:szCs w:val="24"/>
        </w:rPr>
      </w:pPr>
      <w:r>
        <w:rPr>
          <w:rFonts w:hint="eastAsia" w:cs="宋体"/>
          <w:b w:val="0"/>
          <w:bCs/>
          <w:szCs w:val="24"/>
        </w:rPr>
        <w:t>支持按照设定的规则自动检查检验结果错项、漏项、多项,提示检验结果的异常。支持单个审定与批量审定样本。</w:t>
      </w:r>
    </w:p>
    <w:p>
      <w:pPr>
        <w:wordWrap/>
        <w:spacing w:line="360" w:lineRule="auto"/>
        <w:ind w:left="0" w:leftChars="0" w:firstLine="480" w:firstLineChars="200"/>
        <w:rPr>
          <w:rFonts w:hint="eastAsia" w:cs="宋体"/>
          <w:b w:val="0"/>
          <w:bCs/>
          <w:szCs w:val="24"/>
        </w:rPr>
      </w:pPr>
      <w:r>
        <w:rPr>
          <w:rFonts w:hint="eastAsia" w:cs="宋体"/>
          <w:b w:val="0"/>
          <w:bCs/>
          <w:szCs w:val="24"/>
        </w:rPr>
        <w:t>支持检验报告支持实行双人审定制度,可以设定不同的审定权限。支持审定后的检验结果，不允许检验者进行修改。</w:t>
      </w:r>
    </w:p>
    <w:p>
      <w:pPr>
        <w:wordWrap/>
        <w:spacing w:line="360" w:lineRule="auto"/>
        <w:ind w:left="0" w:leftChars="0" w:firstLine="480" w:firstLineChars="200"/>
        <w:rPr>
          <w:rFonts w:hint="eastAsia" w:cs="宋体"/>
          <w:b w:val="0"/>
          <w:bCs/>
          <w:szCs w:val="24"/>
        </w:rPr>
      </w:pPr>
      <w:r>
        <w:rPr>
          <w:rFonts w:hint="eastAsia" w:cs="宋体"/>
          <w:b w:val="0"/>
          <w:bCs/>
          <w:szCs w:val="24"/>
        </w:rPr>
        <w:t>支持反审定，对于确需修改的检验报告，经特别授权人撤销审定后，重新修改并二次审定。支持设定只能同一审定者对自己审定过的报告进行反审定。</w:t>
      </w:r>
    </w:p>
    <w:p>
      <w:pPr>
        <w:wordWrap/>
        <w:spacing w:line="360" w:lineRule="auto"/>
        <w:ind w:left="0" w:leftChars="0" w:firstLine="480" w:firstLineChars="200"/>
        <w:rPr>
          <w:rFonts w:hint="eastAsia" w:cs="宋体"/>
          <w:b w:val="0"/>
          <w:bCs/>
          <w:szCs w:val="24"/>
        </w:rPr>
      </w:pPr>
      <w:r>
        <w:rPr>
          <w:rFonts w:hint="eastAsia" w:cs="宋体"/>
          <w:b w:val="0"/>
          <w:bCs/>
          <w:szCs w:val="24"/>
        </w:rPr>
        <w:t>支持自定义审定的规则，包括审定条件，自动审定，二次审定。</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3</w:t>
      </w:r>
      <w:r>
        <w:rPr>
          <w:rFonts w:hint="eastAsia" w:cs="宋体"/>
          <w:b w:val="0"/>
          <w:bCs/>
          <w:szCs w:val="24"/>
        </w:rPr>
        <w:t>.7报告发布、打印</w:t>
      </w:r>
    </w:p>
    <w:p>
      <w:pPr>
        <w:wordWrap/>
        <w:spacing w:line="360" w:lineRule="auto"/>
        <w:ind w:left="0" w:leftChars="0" w:firstLine="480" w:firstLineChars="200"/>
        <w:rPr>
          <w:rFonts w:hint="eastAsia" w:cs="宋体"/>
          <w:b w:val="0"/>
          <w:bCs/>
          <w:szCs w:val="24"/>
        </w:rPr>
      </w:pPr>
      <w:r>
        <w:rPr>
          <w:rFonts w:hint="eastAsia" w:cs="宋体"/>
          <w:b w:val="0"/>
          <w:bCs/>
          <w:szCs w:val="24"/>
        </w:rPr>
        <w:t>支持通过颜色或字体区别常规报告、急诊报告、打印报告、未打印报告等。支持急诊报告自动提示检验操作人员，防止超时报告。</w:t>
      </w:r>
    </w:p>
    <w:p>
      <w:pPr>
        <w:wordWrap/>
        <w:spacing w:line="360" w:lineRule="auto"/>
        <w:ind w:left="0" w:leftChars="0" w:firstLine="480" w:firstLineChars="200"/>
        <w:rPr>
          <w:rFonts w:hint="eastAsia" w:cs="宋体"/>
          <w:b w:val="0"/>
          <w:bCs/>
          <w:szCs w:val="24"/>
        </w:rPr>
      </w:pPr>
      <w:r>
        <w:rPr>
          <w:rFonts w:hint="eastAsia" w:cs="宋体"/>
          <w:b w:val="0"/>
          <w:bCs/>
          <w:szCs w:val="24"/>
        </w:rPr>
        <w:t>支持根据用户设置的打印规则，判断是否符合打印条件，自动调整打印输出检验报告单的内容，动态调整检验报告单。</w:t>
      </w:r>
    </w:p>
    <w:p>
      <w:pPr>
        <w:wordWrap/>
        <w:spacing w:line="360" w:lineRule="auto"/>
        <w:ind w:left="0" w:leftChars="0" w:firstLine="480" w:firstLineChars="200"/>
        <w:rPr>
          <w:rFonts w:hint="eastAsia" w:cs="宋体"/>
          <w:b w:val="0"/>
          <w:bCs/>
          <w:szCs w:val="24"/>
        </w:rPr>
      </w:pPr>
      <w:r>
        <w:rPr>
          <w:rFonts w:hint="eastAsia" w:cs="宋体"/>
          <w:b w:val="0"/>
          <w:bCs/>
          <w:szCs w:val="24"/>
        </w:rPr>
        <w:t>支持设置报告单类型，自定义报告单的输出内容，自定义报告单提示信息的方式。</w:t>
      </w:r>
    </w:p>
    <w:p>
      <w:pPr>
        <w:wordWrap/>
        <w:spacing w:line="360" w:lineRule="auto"/>
        <w:ind w:left="0" w:leftChars="0" w:firstLine="480" w:firstLineChars="200"/>
        <w:rPr>
          <w:rFonts w:hint="eastAsia" w:cs="宋体"/>
          <w:b w:val="0"/>
          <w:bCs/>
          <w:szCs w:val="24"/>
        </w:rPr>
      </w:pPr>
      <w:r>
        <w:rPr>
          <w:rFonts w:hint="eastAsia" w:cs="宋体"/>
          <w:b w:val="0"/>
          <w:bCs/>
          <w:szCs w:val="24"/>
        </w:rPr>
        <w:t>支持检验报告转换成PDF、JPG等通用格式文件，保存和发布。支持单个或成批量打印检验报告。</w:t>
      </w:r>
    </w:p>
    <w:p>
      <w:pPr>
        <w:wordWrap/>
        <w:spacing w:line="360" w:lineRule="auto"/>
        <w:ind w:left="0" w:leftChars="0" w:firstLine="480" w:firstLineChars="200"/>
        <w:rPr>
          <w:rFonts w:hint="eastAsia" w:cs="宋体"/>
          <w:b w:val="0"/>
          <w:bCs/>
          <w:szCs w:val="24"/>
        </w:rPr>
      </w:pPr>
      <w:r>
        <w:rPr>
          <w:rFonts w:hint="eastAsia" w:cs="宋体"/>
          <w:b w:val="0"/>
          <w:bCs/>
          <w:szCs w:val="24"/>
        </w:rPr>
        <w:t>支持提供检验报告预览功能。支持临床科室打印检验报告单。支持打印检验报告单时加入水印，防止检验报告被伪造。</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3</w:t>
      </w:r>
      <w:r>
        <w:rPr>
          <w:rFonts w:hint="eastAsia" w:cs="宋体"/>
          <w:b w:val="0"/>
          <w:bCs/>
          <w:szCs w:val="24"/>
        </w:rPr>
        <w:t>.8质控管理</w:t>
      </w:r>
    </w:p>
    <w:p>
      <w:pPr>
        <w:wordWrap/>
        <w:spacing w:line="360" w:lineRule="auto"/>
        <w:ind w:left="0" w:leftChars="0" w:firstLine="480" w:firstLineChars="200"/>
        <w:rPr>
          <w:rFonts w:hint="eastAsia" w:cs="宋体"/>
          <w:b w:val="0"/>
          <w:bCs/>
          <w:szCs w:val="24"/>
        </w:rPr>
      </w:pPr>
      <w:r>
        <w:rPr>
          <w:rFonts w:hint="eastAsia" w:cs="宋体"/>
          <w:b w:val="0"/>
          <w:bCs/>
          <w:szCs w:val="24"/>
        </w:rPr>
        <w:t>支持质控项目信息维护，支持按项目设置质控规则。支持显示指定时间范围内的所有水平的质控数据，过程数据，无效数据及不同状态等。</w:t>
      </w:r>
    </w:p>
    <w:p>
      <w:pPr>
        <w:wordWrap/>
        <w:spacing w:line="360" w:lineRule="auto"/>
        <w:ind w:left="0" w:leftChars="0" w:firstLine="480" w:firstLineChars="200"/>
        <w:rPr>
          <w:rFonts w:hint="eastAsia" w:cs="宋体"/>
          <w:b w:val="0"/>
          <w:bCs/>
          <w:szCs w:val="24"/>
        </w:rPr>
      </w:pPr>
      <w:r>
        <w:rPr>
          <w:rFonts w:hint="eastAsia" w:cs="宋体"/>
          <w:b w:val="0"/>
          <w:bCs/>
          <w:szCs w:val="24"/>
        </w:rPr>
        <w:t>支持按日期显示设备质控项目的各种水平的质控数据。支持对质控数据进行编辑，增加，删除，定量结果转换等操作。</w:t>
      </w:r>
    </w:p>
    <w:p>
      <w:pPr>
        <w:wordWrap/>
        <w:spacing w:line="360" w:lineRule="auto"/>
        <w:ind w:left="0" w:leftChars="0" w:firstLine="480" w:firstLineChars="200"/>
        <w:rPr>
          <w:rFonts w:hint="eastAsia" w:cs="宋体"/>
          <w:b w:val="0"/>
          <w:bCs/>
          <w:szCs w:val="24"/>
        </w:rPr>
      </w:pPr>
      <w:r>
        <w:rPr>
          <w:rFonts w:hint="eastAsia" w:cs="宋体"/>
          <w:b w:val="0"/>
          <w:bCs/>
          <w:szCs w:val="24"/>
        </w:rPr>
        <w:t>支持对质控数据进行审核，未经审核的质控数据不能进行打印，审核后的数据不可直接编辑。</w:t>
      </w:r>
    </w:p>
    <w:p>
      <w:pPr>
        <w:wordWrap/>
        <w:spacing w:line="360" w:lineRule="auto"/>
        <w:ind w:left="0" w:leftChars="0" w:firstLine="480" w:firstLineChars="200"/>
        <w:rPr>
          <w:rFonts w:hint="eastAsia" w:cs="宋体"/>
          <w:b w:val="0"/>
          <w:bCs/>
          <w:szCs w:val="24"/>
        </w:rPr>
      </w:pPr>
      <w:r>
        <w:rPr>
          <w:rFonts w:hint="eastAsia" w:cs="宋体"/>
          <w:b w:val="0"/>
          <w:bCs/>
          <w:szCs w:val="24"/>
        </w:rPr>
        <w:t>支持LJ图、Z分数图、优顿图、Monica图等。支持进行质控图打印前，提供输入与该质控图有关的说明信息。</w:t>
      </w:r>
    </w:p>
    <w:p>
      <w:pPr>
        <w:wordWrap/>
        <w:spacing w:line="360" w:lineRule="auto"/>
        <w:ind w:left="0" w:leftChars="0" w:firstLine="480" w:firstLineChars="200"/>
        <w:rPr>
          <w:rFonts w:hint="eastAsia" w:cs="宋体"/>
          <w:b w:val="0"/>
          <w:bCs/>
          <w:szCs w:val="24"/>
        </w:rPr>
      </w:pPr>
      <w:r>
        <w:rPr>
          <w:rFonts w:hint="eastAsia" w:cs="宋体"/>
          <w:b w:val="0"/>
          <w:bCs/>
          <w:szCs w:val="24"/>
        </w:rPr>
        <w:t>支持图像绘制时，调用质控数据失控管理算法，完成质控数据的失控判断，并可以在图像中直接显示失控的数据图标。支持绘制图像时，进行失控报告录入。</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3</w:t>
      </w:r>
      <w:r>
        <w:rPr>
          <w:rFonts w:hint="eastAsia" w:cs="宋体"/>
          <w:b w:val="0"/>
          <w:bCs/>
          <w:szCs w:val="24"/>
        </w:rPr>
        <w:t>.9设备维保</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3</w:t>
      </w:r>
      <w:r>
        <w:rPr>
          <w:rFonts w:hint="eastAsia" w:cs="宋体"/>
          <w:b w:val="0"/>
          <w:bCs/>
          <w:szCs w:val="24"/>
        </w:rPr>
        <w:t>.9.1设备信息完善</w:t>
      </w:r>
    </w:p>
    <w:p>
      <w:pPr>
        <w:wordWrap/>
        <w:spacing w:line="360" w:lineRule="auto"/>
        <w:ind w:left="0" w:leftChars="0" w:firstLine="480" w:firstLineChars="200"/>
        <w:rPr>
          <w:rFonts w:hint="eastAsia" w:cs="宋体"/>
          <w:b w:val="0"/>
          <w:bCs/>
          <w:szCs w:val="24"/>
        </w:rPr>
      </w:pPr>
      <w:r>
        <w:rPr>
          <w:rFonts w:hint="eastAsia" w:cs="宋体"/>
          <w:b w:val="0"/>
          <w:bCs/>
          <w:szCs w:val="24"/>
        </w:rPr>
        <w:t>支持维护设备校准信息，支持多种保养类型计划设置，支持设置提前预警天数、下次保养日期信息；</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3</w:t>
      </w:r>
      <w:r>
        <w:rPr>
          <w:rFonts w:hint="eastAsia" w:cs="宋体"/>
          <w:b w:val="0"/>
          <w:bCs/>
          <w:szCs w:val="24"/>
        </w:rPr>
        <w:t>.9.1设备定标管理</w:t>
      </w:r>
    </w:p>
    <w:p>
      <w:pPr>
        <w:wordWrap/>
        <w:spacing w:line="360" w:lineRule="auto"/>
        <w:ind w:left="0" w:leftChars="0" w:firstLine="480" w:firstLineChars="200"/>
        <w:rPr>
          <w:rFonts w:hint="eastAsia" w:cs="宋体"/>
          <w:b w:val="0"/>
          <w:bCs/>
          <w:szCs w:val="24"/>
        </w:rPr>
      </w:pPr>
      <w:r>
        <w:rPr>
          <w:rFonts w:hint="eastAsia" w:cs="宋体"/>
          <w:b w:val="0"/>
          <w:bCs/>
          <w:szCs w:val="24"/>
        </w:rPr>
        <w:t>支持新增、修改、删除定标记录；支持记录定标类型、定标项目、定标试剂批号、定标方法、定标结果等信息；</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3</w:t>
      </w:r>
      <w:r>
        <w:rPr>
          <w:rFonts w:hint="eastAsia" w:cs="宋体"/>
          <w:b w:val="0"/>
          <w:bCs/>
          <w:szCs w:val="24"/>
        </w:rPr>
        <w:t>.9.2设备校准管理</w:t>
      </w:r>
    </w:p>
    <w:p>
      <w:pPr>
        <w:wordWrap/>
        <w:spacing w:line="360" w:lineRule="auto"/>
        <w:ind w:left="0" w:leftChars="0" w:firstLine="480" w:firstLineChars="200"/>
        <w:rPr>
          <w:rFonts w:hint="eastAsia" w:cs="宋体"/>
          <w:b w:val="0"/>
          <w:bCs/>
          <w:szCs w:val="24"/>
        </w:rPr>
      </w:pPr>
      <w:r>
        <w:rPr>
          <w:rFonts w:hint="eastAsia" w:cs="宋体"/>
          <w:b w:val="0"/>
          <w:bCs/>
          <w:szCs w:val="24"/>
        </w:rPr>
        <w:t>支持新增、修改、删除校准记录；支持记录设备校准部门、校准内容、校准情况、校准过程、校准结果信息；</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3</w:t>
      </w:r>
      <w:r>
        <w:rPr>
          <w:rFonts w:hint="eastAsia" w:cs="宋体"/>
          <w:b w:val="0"/>
          <w:bCs/>
          <w:szCs w:val="24"/>
        </w:rPr>
        <w:t>.9.3设备保养管理</w:t>
      </w:r>
    </w:p>
    <w:p>
      <w:pPr>
        <w:wordWrap/>
        <w:spacing w:line="360" w:lineRule="auto"/>
        <w:ind w:left="0" w:leftChars="0" w:firstLine="480" w:firstLineChars="200"/>
        <w:rPr>
          <w:rFonts w:hint="eastAsia" w:cs="宋体"/>
          <w:b w:val="0"/>
          <w:bCs/>
          <w:szCs w:val="24"/>
        </w:rPr>
      </w:pPr>
      <w:r>
        <w:rPr>
          <w:rFonts w:hint="eastAsia" w:cs="宋体"/>
          <w:b w:val="0"/>
          <w:bCs/>
          <w:szCs w:val="24"/>
        </w:rPr>
        <w:t>支持记录设备保养类型、保养内容、保养后设备状态、下次保养日期等信息；</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3</w:t>
      </w:r>
      <w:r>
        <w:rPr>
          <w:rFonts w:hint="eastAsia" w:cs="宋体"/>
          <w:b w:val="0"/>
          <w:bCs/>
          <w:szCs w:val="24"/>
        </w:rPr>
        <w:t>.9.4设备维修管理</w:t>
      </w:r>
    </w:p>
    <w:p>
      <w:pPr>
        <w:wordWrap/>
        <w:spacing w:line="360" w:lineRule="auto"/>
        <w:ind w:left="0" w:leftChars="0" w:firstLine="480" w:firstLineChars="200"/>
        <w:rPr>
          <w:rFonts w:hint="eastAsia" w:cs="宋体"/>
          <w:b w:val="0"/>
          <w:bCs/>
          <w:szCs w:val="24"/>
        </w:rPr>
      </w:pPr>
      <w:r>
        <w:rPr>
          <w:rFonts w:hint="eastAsia" w:cs="宋体"/>
          <w:b w:val="0"/>
          <w:bCs/>
          <w:szCs w:val="24"/>
        </w:rPr>
        <w:t>支持记录设备故障时间、故障描述、维修时间、维修人、维修单位、维修费用、维修过程等信息；</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3</w:t>
      </w:r>
      <w:r>
        <w:rPr>
          <w:rFonts w:hint="eastAsia" w:cs="宋体"/>
          <w:b w:val="0"/>
          <w:bCs/>
          <w:szCs w:val="24"/>
        </w:rPr>
        <w:t>.10环境设备监测</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3</w:t>
      </w:r>
      <w:r>
        <w:rPr>
          <w:rFonts w:hint="eastAsia" w:cs="宋体"/>
          <w:b w:val="0"/>
          <w:bCs/>
          <w:szCs w:val="24"/>
        </w:rPr>
        <w:t>.10.1监测项目信息设置</w:t>
      </w:r>
    </w:p>
    <w:p>
      <w:pPr>
        <w:wordWrap/>
        <w:spacing w:line="360" w:lineRule="auto"/>
        <w:ind w:left="0" w:leftChars="0" w:firstLine="480" w:firstLineChars="200"/>
        <w:rPr>
          <w:rFonts w:hint="eastAsia" w:cs="宋体"/>
          <w:b w:val="0"/>
          <w:bCs/>
          <w:szCs w:val="24"/>
        </w:rPr>
      </w:pPr>
      <w:r>
        <w:rPr>
          <w:rFonts w:hint="eastAsia" w:cs="宋体"/>
          <w:b w:val="0"/>
          <w:bCs/>
          <w:szCs w:val="24"/>
        </w:rPr>
        <w:t>支持选择监测项目，支持设置监测仪相关信息，支持设定正常阈值范围或状态码信息，支持连接监测仪接口；</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3</w:t>
      </w:r>
      <w:r>
        <w:rPr>
          <w:rFonts w:hint="eastAsia" w:cs="宋体"/>
          <w:b w:val="0"/>
          <w:bCs/>
          <w:szCs w:val="24"/>
        </w:rPr>
        <w:t>.10.2环境设备监测控制台</w:t>
      </w:r>
    </w:p>
    <w:p>
      <w:pPr>
        <w:wordWrap/>
        <w:spacing w:line="360" w:lineRule="auto"/>
        <w:ind w:left="0" w:leftChars="0" w:firstLine="480" w:firstLineChars="200"/>
        <w:rPr>
          <w:rFonts w:hint="eastAsia" w:cs="宋体"/>
          <w:b w:val="0"/>
          <w:bCs/>
          <w:szCs w:val="24"/>
        </w:rPr>
      </w:pPr>
      <w:r>
        <w:rPr>
          <w:rFonts w:hint="eastAsia" w:cs="宋体"/>
          <w:b w:val="0"/>
          <w:bCs/>
          <w:szCs w:val="24"/>
        </w:rPr>
        <w:t>支持查询显示所有监测点信息；支持汇总监测点所属监测项目、告警数据；支持单条/批量处理告警监测数据；</w:t>
      </w:r>
    </w:p>
    <w:p>
      <w:pPr>
        <w:wordWrap/>
        <w:spacing w:line="360" w:lineRule="auto"/>
        <w:ind w:left="0" w:leftChars="0" w:firstLine="480" w:firstLineChars="200"/>
        <w:rPr>
          <w:rFonts w:hint="eastAsia" w:cs="宋体"/>
          <w:b w:val="0"/>
          <w:bCs/>
          <w:szCs w:val="24"/>
        </w:rPr>
      </w:pPr>
      <w:r>
        <w:rPr>
          <w:rFonts w:hint="eastAsia" w:cs="宋体"/>
          <w:b w:val="0"/>
          <w:bCs/>
          <w:szCs w:val="24"/>
        </w:rPr>
        <w:t>仪器通讯接口：支持检验仪器的单向通讯、双向通讯，直接从LIS系统读取检验项目。</w:t>
      </w:r>
    </w:p>
    <w:p>
      <w:pPr>
        <w:wordWrap/>
        <w:spacing w:line="360" w:lineRule="auto"/>
        <w:ind w:left="0" w:leftChars="0" w:firstLine="480" w:firstLineChars="200"/>
        <w:rPr>
          <w:rFonts w:hint="eastAsia" w:cs="宋体"/>
          <w:b w:val="0"/>
          <w:bCs/>
          <w:szCs w:val="24"/>
        </w:rPr>
      </w:pPr>
      <w:r>
        <w:rPr>
          <w:rFonts w:hint="eastAsia" w:cs="宋体"/>
          <w:b w:val="0"/>
          <w:bCs/>
          <w:szCs w:val="24"/>
        </w:rPr>
        <w:t>提供试管打包机接口程序，支持不同厂家的试管打包机连接到LIS系统，支持把不同小组，不同设备所做的样本自动分开。</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4</w:t>
      </w:r>
      <w:r>
        <w:rPr>
          <w:rFonts w:hint="eastAsia" w:cs="宋体"/>
          <w:b w:val="0"/>
          <w:bCs/>
          <w:szCs w:val="24"/>
        </w:rPr>
        <w:t>医学影像系统</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4</w:t>
      </w:r>
      <w:r>
        <w:rPr>
          <w:rFonts w:hint="eastAsia" w:cs="宋体"/>
          <w:b w:val="0"/>
          <w:bCs/>
          <w:szCs w:val="24"/>
        </w:rPr>
        <w:t>.1预约登记</w:t>
      </w:r>
    </w:p>
    <w:p>
      <w:pPr>
        <w:wordWrap/>
        <w:spacing w:line="360" w:lineRule="auto"/>
        <w:ind w:left="0" w:leftChars="0" w:firstLine="480" w:firstLineChars="200"/>
        <w:rPr>
          <w:rFonts w:hint="eastAsia" w:cs="宋体"/>
          <w:b w:val="0"/>
          <w:bCs/>
          <w:szCs w:val="24"/>
        </w:rPr>
      </w:pPr>
      <w:r>
        <w:rPr>
          <w:rFonts w:hint="eastAsia" w:cs="宋体"/>
          <w:b w:val="0"/>
          <w:bCs/>
          <w:szCs w:val="24"/>
        </w:rPr>
        <w:t>支持预约登记/取消功能、并支持短信提醒。支持根据检查类型、检查部位、检查方法等规则进行分诊。支持检查单打印，可打印条码。</w:t>
      </w:r>
    </w:p>
    <w:p>
      <w:pPr>
        <w:wordWrap/>
        <w:spacing w:line="360" w:lineRule="auto"/>
        <w:ind w:left="0" w:leftChars="0" w:firstLine="480" w:firstLineChars="200"/>
        <w:rPr>
          <w:rFonts w:hint="eastAsia" w:cs="宋体"/>
          <w:b w:val="0"/>
          <w:bCs/>
          <w:szCs w:val="24"/>
        </w:rPr>
      </w:pPr>
      <w:r>
        <w:rPr>
          <w:rFonts w:hint="eastAsia" w:cs="宋体"/>
          <w:b w:val="0"/>
          <w:bCs/>
          <w:szCs w:val="24"/>
        </w:rPr>
        <w:t>支持多个检查项目合并登记。支持读取医保卡、身份证、电子健康码等多种方式获取患者基本信息。</w:t>
      </w:r>
    </w:p>
    <w:p>
      <w:pPr>
        <w:wordWrap/>
        <w:spacing w:line="360" w:lineRule="auto"/>
        <w:ind w:left="0" w:leftChars="0" w:firstLine="480" w:firstLineChars="200"/>
        <w:rPr>
          <w:rFonts w:hint="eastAsia" w:cs="宋体"/>
          <w:b w:val="0"/>
          <w:bCs/>
          <w:szCs w:val="24"/>
        </w:rPr>
      </w:pPr>
      <w:r>
        <w:rPr>
          <w:rFonts w:hint="eastAsia" w:cs="宋体"/>
          <w:b w:val="0"/>
          <w:bCs/>
          <w:szCs w:val="24"/>
        </w:rPr>
        <w:t>支持三无人员绿色通道登记。支持影像叫号及撤销叫号。</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4</w:t>
      </w:r>
      <w:r>
        <w:rPr>
          <w:rFonts w:hint="eastAsia" w:cs="宋体"/>
          <w:b w:val="0"/>
          <w:bCs/>
          <w:szCs w:val="24"/>
        </w:rPr>
        <w:t>.2图像管理</w:t>
      </w:r>
    </w:p>
    <w:p>
      <w:pPr>
        <w:wordWrap/>
        <w:spacing w:line="360" w:lineRule="auto"/>
        <w:ind w:left="0" w:leftChars="0" w:firstLine="480" w:firstLineChars="200"/>
        <w:rPr>
          <w:rFonts w:hint="eastAsia" w:cs="宋体"/>
          <w:b w:val="0"/>
          <w:bCs/>
          <w:szCs w:val="24"/>
        </w:rPr>
      </w:pPr>
      <w:r>
        <w:rPr>
          <w:rFonts w:hint="eastAsia" w:cs="宋体"/>
          <w:b w:val="0"/>
          <w:bCs/>
          <w:szCs w:val="24"/>
        </w:rPr>
        <w:t>▲支持影像分级存储，解决医院/医联体/医疗集团网络瓶颈。支持数据接收功能，接收、获取影像设备的DICOM3.0和非DICOM3.0格式的影像数据。提供自定义显示图像的相关信息。</w:t>
      </w:r>
    </w:p>
    <w:p>
      <w:pPr>
        <w:wordWrap/>
        <w:spacing w:line="360" w:lineRule="auto"/>
        <w:ind w:left="0" w:leftChars="0" w:firstLine="480" w:firstLineChars="200"/>
        <w:rPr>
          <w:rFonts w:hint="eastAsia" w:cs="宋体"/>
          <w:b w:val="0"/>
          <w:bCs/>
          <w:szCs w:val="24"/>
        </w:rPr>
      </w:pPr>
      <w:r>
        <w:rPr>
          <w:rFonts w:hint="eastAsia" w:cs="宋体"/>
          <w:b w:val="0"/>
          <w:bCs/>
          <w:szCs w:val="24"/>
        </w:rPr>
        <w:t>提供缩放、移动、镜像、反相、旋转、滤波、锐化、伪彩、播放、窗宽窗位调节等图像处理功能。</w:t>
      </w:r>
    </w:p>
    <w:p>
      <w:pPr>
        <w:wordWrap/>
        <w:spacing w:line="360" w:lineRule="auto"/>
        <w:ind w:left="0" w:leftChars="0" w:firstLine="480" w:firstLineChars="200"/>
        <w:rPr>
          <w:rFonts w:hint="eastAsia" w:cs="宋体"/>
          <w:b w:val="0"/>
          <w:bCs/>
          <w:szCs w:val="24"/>
        </w:rPr>
      </w:pPr>
      <w:r>
        <w:rPr>
          <w:rFonts w:hint="eastAsia" w:cs="宋体"/>
          <w:b w:val="0"/>
          <w:bCs/>
          <w:szCs w:val="24"/>
        </w:rPr>
        <w:t>提供ROI值、长度、角度、面积等数据的测量；以及标注、注释等测量、标注功能。</w:t>
      </w:r>
    </w:p>
    <w:p>
      <w:pPr>
        <w:wordWrap/>
        <w:spacing w:line="360" w:lineRule="auto"/>
        <w:ind w:left="0" w:leftChars="0" w:firstLine="480" w:firstLineChars="200"/>
        <w:rPr>
          <w:rFonts w:hint="eastAsia" w:cs="宋体"/>
          <w:b w:val="0"/>
          <w:bCs/>
          <w:szCs w:val="24"/>
        </w:rPr>
      </w:pPr>
      <w:r>
        <w:rPr>
          <w:rFonts w:hint="eastAsia" w:cs="宋体"/>
          <w:b w:val="0"/>
          <w:bCs/>
          <w:szCs w:val="24"/>
        </w:rPr>
        <w:t>支持JPG、BMP等多种格式存储，以及转化成DICOM3.0格式功能；支持DICOM3.0的打印输出，支持海量数据存储、迁移管理。支持图像对比功能。</w:t>
      </w:r>
    </w:p>
    <w:p>
      <w:pPr>
        <w:wordWrap/>
        <w:spacing w:line="360" w:lineRule="auto"/>
        <w:ind w:left="0" w:leftChars="0" w:firstLine="480" w:firstLineChars="200"/>
        <w:rPr>
          <w:rFonts w:hint="eastAsia" w:cs="宋体"/>
          <w:b w:val="0"/>
          <w:bCs/>
          <w:szCs w:val="24"/>
        </w:rPr>
      </w:pPr>
      <w:r>
        <w:rPr>
          <w:rFonts w:hint="eastAsia" w:cs="宋体"/>
          <w:b w:val="0"/>
          <w:bCs/>
          <w:szCs w:val="24"/>
        </w:rPr>
        <w:t>提供三维重建（如MPR、VR）功能、使用频率自动排序功能、图像处理结果快照功能，供临床医生参考。</w:t>
      </w:r>
    </w:p>
    <w:p>
      <w:pPr>
        <w:wordWrap/>
        <w:spacing w:line="360" w:lineRule="auto"/>
        <w:ind w:left="0" w:leftChars="0" w:firstLine="480" w:firstLineChars="200"/>
        <w:rPr>
          <w:rFonts w:hint="eastAsia" w:cs="宋体"/>
          <w:b w:val="0"/>
          <w:bCs/>
          <w:szCs w:val="24"/>
        </w:rPr>
      </w:pPr>
      <w:r>
        <w:rPr>
          <w:rFonts w:hint="eastAsia" w:cs="宋体"/>
          <w:b w:val="0"/>
          <w:bCs/>
          <w:szCs w:val="24"/>
        </w:rPr>
        <w:t>支持报告审核修订版本痕迹对比功能。支持检查多报告功能。支持检查报告结果阴阳性标记。支持检查报告危急值标记，并发送到临床。支持报告书写双签，审核工作管理机制。</w:t>
      </w:r>
    </w:p>
    <w:p>
      <w:pPr>
        <w:wordWrap/>
        <w:spacing w:line="360" w:lineRule="auto"/>
        <w:ind w:left="0" w:leftChars="0" w:firstLine="480" w:firstLineChars="200"/>
        <w:rPr>
          <w:rFonts w:hint="eastAsia" w:cs="宋体"/>
          <w:b w:val="0"/>
          <w:bCs/>
          <w:szCs w:val="24"/>
        </w:rPr>
      </w:pPr>
      <w:r>
        <w:rPr>
          <w:rFonts w:hint="eastAsia" w:cs="宋体"/>
          <w:b w:val="0"/>
          <w:bCs/>
          <w:szCs w:val="24"/>
        </w:rPr>
        <w:t>支持影像质控功能，可以对图像报告进行分级，并可对胶片的使用进行统计查询。支持胶片打印管理，保存胶片打印记录。</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5</w:t>
      </w:r>
      <w:r>
        <w:rPr>
          <w:rFonts w:hint="eastAsia" w:cs="宋体"/>
          <w:b w:val="0"/>
          <w:bCs/>
          <w:szCs w:val="24"/>
        </w:rPr>
        <w:t>超声图文报告系统</w:t>
      </w:r>
    </w:p>
    <w:p>
      <w:pPr>
        <w:wordWrap/>
        <w:spacing w:line="360" w:lineRule="auto"/>
        <w:ind w:left="0" w:leftChars="0" w:firstLine="480" w:firstLineChars="200"/>
        <w:rPr>
          <w:rFonts w:hint="eastAsia" w:cs="宋体"/>
          <w:b w:val="0"/>
          <w:bCs/>
          <w:szCs w:val="24"/>
        </w:rPr>
      </w:pPr>
      <w:r>
        <w:rPr>
          <w:rFonts w:hint="eastAsia" w:cs="宋体"/>
          <w:b w:val="0"/>
          <w:bCs/>
          <w:szCs w:val="24"/>
        </w:rPr>
        <w:t>支持超声类DICOM设备接入。支持BNC/S-VIDEO/RGB等多种视频接口，并可配置。</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支持调整采集卡参数；如亮度、对比度、色调、饱和度、锐利度、伽玛、白平衡、逆光补偿等</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支持视频录像，允许设置压缩格式；录像时仍支持单帧图像的采集；支持声音的录制。</w:t>
      </w:r>
    </w:p>
    <w:p>
      <w:pPr>
        <w:wordWrap/>
        <w:spacing w:line="360" w:lineRule="auto"/>
        <w:ind w:left="0" w:leftChars="0" w:firstLine="480" w:firstLineChars="200"/>
        <w:rPr>
          <w:rFonts w:hint="eastAsia" w:cs="宋体"/>
          <w:b w:val="0"/>
          <w:bCs/>
          <w:szCs w:val="24"/>
        </w:rPr>
      </w:pPr>
      <w:r>
        <w:rPr>
          <w:rFonts w:hint="eastAsia" w:cs="宋体"/>
          <w:b w:val="0"/>
          <w:bCs/>
          <w:szCs w:val="24"/>
        </w:rPr>
        <w:t>支持检查/诊断双工模式（即后台采图方式），以提高效率； 支持按自定义的区域采集图像；支持多种脚踏板、手柄采集图像。支持采集图像时主板喇叭发声提醒。支持断网时离线采集图像。</w:t>
      </w:r>
    </w:p>
    <w:p>
      <w:pPr>
        <w:wordWrap/>
        <w:spacing w:line="360" w:lineRule="auto"/>
        <w:ind w:left="0" w:leftChars="0" w:firstLine="480" w:firstLineChars="200"/>
        <w:rPr>
          <w:rFonts w:hint="eastAsia" w:cs="宋体"/>
          <w:b w:val="0"/>
          <w:bCs/>
          <w:szCs w:val="24"/>
        </w:rPr>
      </w:pPr>
      <w:r>
        <w:rPr>
          <w:rFonts w:hint="eastAsia" w:cs="宋体"/>
          <w:b w:val="0"/>
          <w:bCs/>
          <w:szCs w:val="24"/>
        </w:rPr>
        <w:t>支持报告书写一键审核打印功能。图文报告支持不同版式的报告打印格式定义及指定打印机。支持用户方便灵活的定义模板，提高报告生成速度。</w:t>
      </w:r>
    </w:p>
    <w:p>
      <w:pPr>
        <w:wordWrap/>
        <w:spacing w:line="360" w:lineRule="auto"/>
        <w:ind w:left="0" w:leftChars="0" w:firstLine="480" w:firstLineChars="200"/>
        <w:rPr>
          <w:rFonts w:hint="eastAsia" w:cs="宋体"/>
          <w:b w:val="0"/>
          <w:bCs/>
          <w:szCs w:val="24"/>
        </w:rPr>
      </w:pPr>
      <w:r>
        <w:rPr>
          <w:rFonts w:hint="eastAsia" w:cs="宋体"/>
          <w:b w:val="0"/>
          <w:bCs/>
          <w:szCs w:val="24"/>
        </w:rPr>
        <w:t>支持按照检查部位自动搜索诊断模板。支持报告审核修订版本痕迹对比功能。支持报告操作日志记录，提供查询。支持将报告内容一键存为模板。</w:t>
      </w:r>
    </w:p>
    <w:p>
      <w:pPr>
        <w:wordWrap/>
        <w:spacing w:line="360" w:lineRule="auto"/>
        <w:ind w:left="0" w:leftChars="0" w:firstLine="480" w:firstLineChars="200"/>
        <w:rPr>
          <w:rFonts w:hint="eastAsia" w:cs="宋体"/>
          <w:b w:val="0"/>
          <w:bCs/>
          <w:szCs w:val="24"/>
        </w:rPr>
      </w:pPr>
      <w:r>
        <w:rPr>
          <w:rFonts w:hint="eastAsia" w:cs="宋体"/>
          <w:b w:val="0"/>
          <w:bCs/>
          <w:szCs w:val="24"/>
        </w:rPr>
        <w:t>报告书写时，支持该患者其他检查报告、历史检查报告对比，查看患者诊疗信息，如病历、医嘱、检验结果等。</w:t>
      </w:r>
    </w:p>
    <w:p>
      <w:pPr>
        <w:wordWrap/>
        <w:spacing w:line="360" w:lineRule="auto"/>
        <w:ind w:left="0" w:leftChars="0" w:firstLine="480" w:firstLineChars="200"/>
        <w:rPr>
          <w:rFonts w:hint="eastAsia" w:cs="宋体"/>
          <w:b w:val="0"/>
          <w:bCs/>
          <w:szCs w:val="24"/>
        </w:rPr>
      </w:pPr>
      <w:r>
        <w:rPr>
          <w:rFonts w:hint="eastAsia" w:cs="宋体"/>
          <w:b w:val="0"/>
          <w:bCs/>
          <w:szCs w:val="24"/>
        </w:rPr>
        <w:t>支持检查多报告功能。支持检查报告结果阴阳性标记。支持检查报告危急值标记，并发送到临床。支持报告书写双签，审核工作管理机制。</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6</w:t>
      </w:r>
      <w:r>
        <w:rPr>
          <w:rFonts w:hint="eastAsia" w:cs="宋体"/>
          <w:b w:val="0"/>
          <w:bCs/>
          <w:szCs w:val="24"/>
        </w:rPr>
        <w:t>镜检图文报告系统</w:t>
      </w:r>
    </w:p>
    <w:p>
      <w:pPr>
        <w:wordWrap/>
        <w:spacing w:line="360" w:lineRule="auto"/>
        <w:ind w:left="0" w:leftChars="0" w:firstLine="480" w:firstLineChars="200"/>
        <w:rPr>
          <w:rFonts w:hint="eastAsia" w:cs="宋体"/>
          <w:b w:val="0"/>
          <w:bCs/>
          <w:szCs w:val="24"/>
        </w:rPr>
      </w:pPr>
      <w:r>
        <w:rPr>
          <w:rFonts w:hint="eastAsia" w:cs="宋体"/>
          <w:b w:val="0"/>
          <w:bCs/>
          <w:szCs w:val="24"/>
        </w:rPr>
        <w:t>支持BNC/S-VIDEO/RGB等多种视频接口，并可配置。 支持调整采集卡参数。</w:t>
      </w:r>
    </w:p>
    <w:p>
      <w:pPr>
        <w:wordWrap/>
        <w:spacing w:line="360" w:lineRule="auto"/>
        <w:ind w:left="0" w:leftChars="0" w:firstLine="480" w:firstLineChars="200"/>
        <w:rPr>
          <w:rFonts w:hint="eastAsia" w:cs="宋体"/>
          <w:b w:val="0"/>
          <w:bCs/>
          <w:szCs w:val="24"/>
        </w:rPr>
      </w:pPr>
      <w:r>
        <w:rPr>
          <w:rFonts w:hint="eastAsia" w:cs="宋体"/>
          <w:b w:val="0"/>
          <w:bCs/>
          <w:szCs w:val="24"/>
        </w:rPr>
        <w:t>支持视频录像，允许设置压缩格式；录像时仍支持单帧图像的采集；支持声音的录制。</w:t>
      </w:r>
    </w:p>
    <w:p>
      <w:pPr>
        <w:wordWrap/>
        <w:spacing w:line="360" w:lineRule="auto"/>
        <w:ind w:left="0" w:leftChars="0" w:firstLine="480" w:firstLineChars="200"/>
        <w:rPr>
          <w:rFonts w:hint="eastAsia" w:cs="宋体"/>
          <w:b w:val="0"/>
          <w:bCs/>
          <w:szCs w:val="24"/>
        </w:rPr>
      </w:pPr>
      <w:r>
        <w:rPr>
          <w:rFonts w:hint="eastAsia" w:cs="宋体"/>
          <w:b w:val="0"/>
          <w:bCs/>
          <w:szCs w:val="24"/>
        </w:rPr>
        <w:t>支持检查/诊断双工模式（即后台采图方式），支持按自定义的区域采集图像；支持多种脚踏板、手柄采集图像。支持采集图像时主板喇叭发声提醒。支持断网时离线采集图像。</w:t>
      </w:r>
    </w:p>
    <w:p>
      <w:pPr>
        <w:wordWrap/>
        <w:spacing w:line="360" w:lineRule="auto"/>
        <w:ind w:left="0" w:leftChars="0" w:firstLine="480" w:firstLineChars="200"/>
        <w:rPr>
          <w:rFonts w:hint="eastAsia" w:cs="宋体"/>
          <w:b w:val="0"/>
          <w:bCs/>
          <w:szCs w:val="24"/>
        </w:rPr>
      </w:pPr>
      <w:r>
        <w:rPr>
          <w:rFonts w:hint="eastAsia" w:cs="宋体"/>
          <w:b w:val="0"/>
          <w:bCs/>
          <w:szCs w:val="24"/>
        </w:rPr>
        <w:t>支持报告书写一键审核打印功能。图文报告支持不同版式的报告打印格式定义及指定打印机支持用户方便灵活的定义模板，提高报告生成速度。</w:t>
      </w:r>
    </w:p>
    <w:p>
      <w:pPr>
        <w:wordWrap/>
        <w:spacing w:line="360" w:lineRule="auto"/>
        <w:ind w:left="0" w:leftChars="0" w:firstLine="480" w:firstLineChars="200"/>
        <w:rPr>
          <w:rFonts w:hint="eastAsia" w:cs="宋体"/>
          <w:b w:val="0"/>
          <w:bCs/>
          <w:szCs w:val="24"/>
        </w:rPr>
      </w:pPr>
      <w:r>
        <w:rPr>
          <w:rFonts w:hint="eastAsia" w:cs="宋体"/>
          <w:b w:val="0"/>
          <w:bCs/>
          <w:szCs w:val="24"/>
        </w:rPr>
        <w:t>提供结构化报告模板，专业词汇和默认项，书写报告方便快捷。支持按照检查部位自动搜索诊断模板。支持快速输入关联病理检查结论。</w:t>
      </w:r>
    </w:p>
    <w:p>
      <w:pPr>
        <w:wordWrap/>
        <w:spacing w:line="360" w:lineRule="auto"/>
        <w:ind w:left="0" w:leftChars="0" w:firstLine="480" w:firstLineChars="200"/>
        <w:rPr>
          <w:rFonts w:hint="eastAsia" w:cs="宋体"/>
          <w:b w:val="0"/>
          <w:bCs/>
          <w:szCs w:val="24"/>
        </w:rPr>
      </w:pPr>
      <w:r>
        <w:rPr>
          <w:rFonts w:hint="eastAsia" w:cs="宋体"/>
          <w:b w:val="0"/>
          <w:bCs/>
          <w:szCs w:val="24"/>
        </w:rPr>
        <w:t>支持报告审核修订版本痕迹对比功能。支持报告操作日志记录，提供查询。支持将报告内容一键存为模板。</w:t>
      </w:r>
    </w:p>
    <w:p>
      <w:pPr>
        <w:wordWrap/>
        <w:spacing w:line="360" w:lineRule="auto"/>
        <w:ind w:left="0" w:leftChars="0" w:firstLine="480" w:firstLineChars="200"/>
        <w:rPr>
          <w:rFonts w:hint="eastAsia" w:cs="宋体"/>
          <w:b w:val="0"/>
          <w:bCs/>
          <w:szCs w:val="24"/>
        </w:rPr>
      </w:pPr>
      <w:r>
        <w:rPr>
          <w:rFonts w:hint="eastAsia" w:cs="宋体"/>
          <w:b w:val="0"/>
          <w:bCs/>
          <w:szCs w:val="24"/>
        </w:rPr>
        <w:t>报告书写时，支持该患者其他检查报告、历史检查报告对比，查看患者诊疗信息，如病历、医嘱、检验结果等。</w:t>
      </w:r>
    </w:p>
    <w:p>
      <w:pPr>
        <w:wordWrap/>
        <w:spacing w:line="360" w:lineRule="auto"/>
        <w:ind w:left="0" w:leftChars="0" w:firstLine="480" w:firstLineChars="200"/>
        <w:rPr>
          <w:rFonts w:hint="eastAsia" w:cs="宋体"/>
          <w:b w:val="0"/>
          <w:bCs/>
          <w:szCs w:val="24"/>
        </w:rPr>
      </w:pPr>
      <w:r>
        <w:rPr>
          <w:rFonts w:hint="eastAsia" w:cs="宋体"/>
          <w:b w:val="0"/>
          <w:bCs/>
          <w:szCs w:val="24"/>
        </w:rPr>
        <w:t>支持检查多报告功能。支持检查报告结果阴阳性标记。支持检查报告危急值标记，并发送到临床。支持报告书写双签，审核工作管理机制。</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7</w:t>
      </w:r>
      <w:r>
        <w:rPr>
          <w:rFonts w:hint="eastAsia" w:cs="宋体"/>
          <w:b w:val="0"/>
          <w:bCs/>
          <w:szCs w:val="24"/>
        </w:rPr>
        <w:t>电生理信息系统</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7</w:t>
      </w:r>
      <w:r>
        <w:rPr>
          <w:rFonts w:hint="eastAsia" w:cs="宋体"/>
          <w:b w:val="0"/>
          <w:bCs/>
          <w:szCs w:val="24"/>
        </w:rPr>
        <w:t>.1心电申请</w:t>
      </w:r>
    </w:p>
    <w:p>
      <w:pPr>
        <w:wordWrap/>
        <w:spacing w:line="360" w:lineRule="auto"/>
        <w:ind w:left="0" w:leftChars="0" w:firstLine="480" w:firstLineChars="200"/>
        <w:rPr>
          <w:rFonts w:hint="eastAsia" w:cs="宋体"/>
          <w:b w:val="0"/>
          <w:bCs/>
          <w:szCs w:val="24"/>
        </w:rPr>
      </w:pPr>
      <w:r>
        <w:rPr>
          <w:rFonts w:hint="eastAsia" w:cs="宋体"/>
          <w:b w:val="0"/>
          <w:bCs/>
          <w:szCs w:val="24"/>
        </w:rPr>
        <w:t>支持自动获取患者申请单信息，包括患者就诊卡号、患者类型、姓名、年龄、性别、住院床号、申请科室、申请医生、临床诊断、检查费用。</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7</w:t>
      </w:r>
      <w:r>
        <w:rPr>
          <w:rFonts w:hint="eastAsia" w:cs="宋体"/>
          <w:b w:val="0"/>
          <w:bCs/>
          <w:szCs w:val="24"/>
        </w:rPr>
        <w:t>.2预约登记</w:t>
      </w:r>
    </w:p>
    <w:p>
      <w:pPr>
        <w:wordWrap/>
        <w:spacing w:line="360" w:lineRule="auto"/>
        <w:ind w:left="0" w:leftChars="0" w:firstLine="480" w:firstLineChars="200"/>
        <w:rPr>
          <w:rFonts w:hint="eastAsia" w:cs="宋体"/>
          <w:b w:val="0"/>
          <w:bCs/>
          <w:szCs w:val="24"/>
        </w:rPr>
      </w:pPr>
      <w:r>
        <w:rPr>
          <w:rFonts w:hint="eastAsia" w:cs="宋体"/>
          <w:b w:val="0"/>
          <w:bCs/>
          <w:szCs w:val="24"/>
        </w:rPr>
        <w:t>支持常规心电检查预约信息的登记、预约。支持预约信息的更改和查询。</w:t>
      </w:r>
    </w:p>
    <w:p>
      <w:pPr>
        <w:wordWrap/>
        <w:spacing w:line="360" w:lineRule="auto"/>
        <w:ind w:left="0" w:leftChars="0" w:firstLine="480" w:firstLineChars="200"/>
        <w:rPr>
          <w:rFonts w:hint="eastAsia" w:cs="宋体"/>
          <w:b w:val="0"/>
          <w:bCs/>
          <w:szCs w:val="24"/>
        </w:rPr>
      </w:pPr>
      <w:r>
        <w:rPr>
          <w:rFonts w:hint="eastAsia" w:cs="宋体"/>
          <w:b w:val="0"/>
          <w:bCs/>
          <w:szCs w:val="24"/>
        </w:rPr>
        <w:t>支持与HIS接口，可直接根据病人条码卡获取病人基本资料，及缴费记账信息。</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7</w:t>
      </w:r>
      <w:r>
        <w:rPr>
          <w:rFonts w:hint="eastAsia" w:cs="宋体"/>
          <w:b w:val="0"/>
          <w:bCs/>
          <w:szCs w:val="24"/>
        </w:rPr>
        <w:t>.3心电采集</w:t>
      </w:r>
    </w:p>
    <w:p>
      <w:pPr>
        <w:wordWrap/>
        <w:spacing w:line="360" w:lineRule="auto"/>
        <w:ind w:left="0" w:leftChars="0" w:firstLine="480" w:firstLineChars="200"/>
        <w:rPr>
          <w:rFonts w:hint="eastAsia" w:cs="宋体"/>
          <w:b w:val="0"/>
          <w:bCs/>
          <w:szCs w:val="24"/>
        </w:rPr>
      </w:pPr>
      <w:r>
        <w:rPr>
          <w:rFonts w:hint="eastAsia" w:cs="宋体"/>
          <w:b w:val="0"/>
          <w:bCs/>
          <w:szCs w:val="24"/>
        </w:rPr>
        <w:t>支持临床、门诊医生工作站、体检工作站电子申请单下达。支持采集多种厂家的心电图机数据。</w:t>
      </w:r>
    </w:p>
    <w:p>
      <w:pPr>
        <w:wordWrap/>
        <w:spacing w:line="360" w:lineRule="auto"/>
        <w:ind w:left="0" w:leftChars="0" w:firstLine="480" w:firstLineChars="200"/>
        <w:rPr>
          <w:rFonts w:hint="eastAsia" w:cs="宋体"/>
          <w:b w:val="0"/>
          <w:bCs/>
          <w:szCs w:val="24"/>
        </w:rPr>
      </w:pPr>
      <w:r>
        <w:rPr>
          <w:rFonts w:hint="eastAsia" w:cs="宋体"/>
          <w:b w:val="0"/>
          <w:bCs/>
          <w:szCs w:val="24"/>
        </w:rPr>
        <w:t>支持实时采集到心电数据，心电图形无变形，无失真，信号无损耗，原始数据完整保存到服务器。</w:t>
      </w:r>
    </w:p>
    <w:p>
      <w:pPr>
        <w:wordWrap/>
        <w:spacing w:line="360" w:lineRule="auto"/>
        <w:ind w:left="0" w:leftChars="0" w:firstLine="480" w:firstLineChars="200"/>
        <w:rPr>
          <w:rFonts w:hint="eastAsia" w:cs="宋体"/>
          <w:b w:val="0"/>
          <w:bCs/>
          <w:szCs w:val="24"/>
        </w:rPr>
      </w:pPr>
      <w:r>
        <w:rPr>
          <w:rFonts w:hint="eastAsia" w:cs="宋体"/>
          <w:b w:val="0"/>
          <w:bCs/>
          <w:szCs w:val="24"/>
        </w:rPr>
        <w:t>支持查看心电波形及患者心电原始数据，如心率、P波正向、负向提示、T波正向、负向提示、QT/QTC、P-R间期，QRS时间等。</w:t>
      </w:r>
    </w:p>
    <w:p>
      <w:pPr>
        <w:wordWrap/>
        <w:spacing w:line="360" w:lineRule="auto"/>
        <w:ind w:left="0" w:leftChars="0" w:firstLine="480" w:firstLineChars="200"/>
        <w:rPr>
          <w:rFonts w:hint="eastAsia" w:cs="宋体"/>
          <w:b w:val="0"/>
          <w:bCs/>
          <w:szCs w:val="24"/>
        </w:rPr>
      </w:pPr>
      <w:r>
        <w:rPr>
          <w:rFonts w:hint="eastAsia" w:cs="宋体"/>
          <w:b w:val="0"/>
          <w:bCs/>
          <w:szCs w:val="24"/>
        </w:rPr>
        <w:t>支持RR间期联动测量，单个导联电压调节毫伏高度。提供系列辅助分析工具如心电模板，病例对比，重新确定QRS和心率等。</w:t>
      </w:r>
    </w:p>
    <w:p>
      <w:pPr>
        <w:wordWrap/>
        <w:spacing w:line="360" w:lineRule="auto"/>
        <w:ind w:left="0" w:leftChars="0" w:firstLine="480" w:firstLineChars="200"/>
        <w:rPr>
          <w:rFonts w:hint="eastAsia" w:cs="宋体"/>
          <w:b w:val="0"/>
          <w:bCs/>
          <w:szCs w:val="24"/>
        </w:rPr>
      </w:pPr>
      <w:r>
        <w:rPr>
          <w:rFonts w:hint="eastAsia" w:cs="宋体"/>
          <w:b w:val="0"/>
          <w:bCs/>
          <w:szCs w:val="24"/>
        </w:rPr>
        <w:t>支持历史心电图的对比功能，可同屏显示两幅。</w:t>
      </w:r>
    </w:p>
    <w:p>
      <w:pPr>
        <w:wordWrap/>
        <w:spacing w:line="360" w:lineRule="auto"/>
        <w:ind w:left="0" w:leftChars="0" w:firstLine="480" w:firstLineChars="200"/>
        <w:rPr>
          <w:rFonts w:hint="eastAsia" w:cs="宋体"/>
          <w:b w:val="0"/>
          <w:bCs/>
          <w:szCs w:val="24"/>
        </w:rPr>
      </w:pPr>
      <w:r>
        <w:rPr>
          <w:rFonts w:hint="eastAsia" w:cs="宋体"/>
          <w:b w:val="0"/>
          <w:bCs/>
          <w:szCs w:val="24"/>
        </w:rPr>
        <w:t>3.3</w:t>
      </w:r>
      <w:r>
        <w:rPr>
          <w:rFonts w:hint="eastAsia" w:cs="宋体"/>
          <w:b w:val="0"/>
          <w:bCs/>
          <w:szCs w:val="24"/>
          <w:lang w:val="en-US" w:eastAsia="zh-CN"/>
        </w:rPr>
        <w:t>7</w:t>
      </w:r>
      <w:r>
        <w:rPr>
          <w:rFonts w:hint="eastAsia" w:cs="宋体"/>
          <w:b w:val="0"/>
          <w:bCs/>
          <w:szCs w:val="24"/>
        </w:rPr>
        <w:t>.4心电报告</w:t>
      </w:r>
    </w:p>
    <w:p>
      <w:pPr>
        <w:wordWrap/>
        <w:spacing w:line="360" w:lineRule="auto"/>
        <w:ind w:left="0" w:leftChars="0" w:firstLine="480" w:firstLineChars="200"/>
        <w:rPr>
          <w:rFonts w:hint="eastAsia" w:cs="宋体"/>
          <w:b w:val="0"/>
          <w:bCs/>
          <w:szCs w:val="24"/>
        </w:rPr>
      </w:pPr>
      <w:r>
        <w:rPr>
          <w:rFonts w:hint="eastAsia" w:cs="宋体"/>
          <w:b w:val="0"/>
          <w:bCs/>
          <w:szCs w:val="24"/>
        </w:rPr>
        <w:t>提供2x5、4x2.5、4x2.5+1、10x1格式报告图形。提供可由医生管理的诊断语句库。支持输出PDF格式的报告、打印报告。</w:t>
      </w:r>
    </w:p>
    <w:p>
      <w:pPr>
        <w:wordWrap/>
        <w:spacing w:line="360" w:lineRule="auto"/>
        <w:ind w:left="0" w:leftChars="0" w:firstLine="480" w:firstLineChars="200"/>
        <w:rPr>
          <w:rFonts w:hint="eastAsia" w:cs="宋体"/>
          <w:b w:val="0"/>
          <w:bCs/>
          <w:szCs w:val="24"/>
        </w:rPr>
      </w:pPr>
      <w:r>
        <w:rPr>
          <w:rFonts w:hint="eastAsia" w:cs="宋体"/>
          <w:b w:val="0"/>
          <w:bCs/>
          <w:szCs w:val="24"/>
        </w:rPr>
        <w:t>支持调阅和浏览心电图报告，提供带有厘米纸网格心电图。支持浏览原始心电图和诊断结论。</w:t>
      </w:r>
    </w:p>
    <w:p>
      <w:pPr>
        <w:wordWrap/>
        <w:spacing w:line="360" w:lineRule="auto"/>
        <w:ind w:left="0" w:leftChars="0" w:firstLine="480" w:firstLineChars="200"/>
        <w:rPr>
          <w:rFonts w:hint="eastAsia" w:cs="宋体"/>
          <w:b w:val="0"/>
          <w:bCs/>
          <w:szCs w:val="24"/>
        </w:rPr>
      </w:pPr>
      <w:r>
        <w:rPr>
          <w:rFonts w:hint="eastAsia" w:cs="宋体"/>
          <w:b w:val="0"/>
          <w:bCs/>
          <w:szCs w:val="24"/>
        </w:rPr>
        <w:t>支持对心电图数据的分级，分科室权限管理，设定录入、采集、报告书写、报告审核、报告浏览权限。</w:t>
      </w:r>
    </w:p>
    <w:p>
      <w:pPr>
        <w:wordWrap/>
        <w:spacing w:line="360" w:lineRule="auto"/>
        <w:ind w:left="0" w:leftChars="0" w:firstLine="480" w:firstLineChars="200"/>
        <w:rPr>
          <w:rFonts w:hint="eastAsia" w:cs="宋体"/>
          <w:b w:val="0"/>
          <w:bCs/>
          <w:szCs w:val="24"/>
        </w:rPr>
      </w:pPr>
      <w:r>
        <w:rPr>
          <w:rFonts w:hint="eastAsia" w:cs="宋体"/>
          <w:b w:val="0"/>
          <w:bCs/>
          <w:szCs w:val="24"/>
        </w:rPr>
        <w:t>支持记录修改日志，包括对病人基本信息，检查时间，诊断结论等。支持HIS医生工作站或护士工作站调阅心电图报告、原图分析。</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38</w:t>
      </w:r>
      <w:r>
        <w:rPr>
          <w:rFonts w:hint="eastAsia" w:cs="宋体"/>
          <w:b w:val="0"/>
          <w:bCs/>
          <w:szCs w:val="24"/>
        </w:rPr>
        <w:t>病理信息系统</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38</w:t>
      </w:r>
      <w:r>
        <w:rPr>
          <w:rFonts w:hint="eastAsia" w:cs="宋体"/>
          <w:b w:val="0"/>
          <w:bCs/>
          <w:szCs w:val="24"/>
        </w:rPr>
        <w:t>.1申请</w:t>
      </w:r>
    </w:p>
    <w:p>
      <w:pPr>
        <w:wordWrap/>
        <w:spacing w:line="360" w:lineRule="auto"/>
        <w:ind w:left="0" w:leftChars="0" w:firstLine="480" w:firstLineChars="200"/>
        <w:rPr>
          <w:rFonts w:hint="eastAsia" w:cs="宋体"/>
          <w:b w:val="0"/>
          <w:bCs/>
          <w:szCs w:val="24"/>
        </w:rPr>
      </w:pPr>
      <w:r>
        <w:rPr>
          <w:rFonts w:hint="eastAsia" w:cs="宋体"/>
          <w:b w:val="0"/>
          <w:bCs/>
          <w:szCs w:val="24"/>
        </w:rPr>
        <w:t>由临床医生或门诊医生书写电子申请单。打开申请单时，可以读取病人的基本信息和诊断信息，自动填充到对应的申请单内容中，保存电子申请单时自动生成医嘱信息。</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38</w:t>
      </w:r>
      <w:r>
        <w:rPr>
          <w:rFonts w:hint="eastAsia" w:cs="宋体"/>
          <w:b w:val="0"/>
          <w:bCs/>
          <w:szCs w:val="24"/>
        </w:rPr>
        <w:t>.2登记</w:t>
      </w:r>
    </w:p>
    <w:p>
      <w:pPr>
        <w:wordWrap/>
        <w:spacing w:line="360" w:lineRule="auto"/>
        <w:ind w:left="0" w:leftChars="0" w:firstLine="480" w:firstLineChars="200"/>
        <w:rPr>
          <w:rFonts w:hint="eastAsia" w:cs="宋体"/>
          <w:b w:val="0"/>
          <w:bCs/>
          <w:szCs w:val="24"/>
        </w:rPr>
      </w:pPr>
      <w:r>
        <w:rPr>
          <w:rFonts w:hint="eastAsia" w:cs="宋体"/>
          <w:b w:val="0"/>
          <w:bCs/>
          <w:szCs w:val="24"/>
        </w:rPr>
        <w:t>待检查患者的检查经过护士确认或门诊收款收费后，病理科可以对检查进行登记。用病人卡号或者直接查找可读取病人信息，并同时获取申请单信息，登记人员确认信息无误后接收即可。</w:t>
      </w:r>
    </w:p>
    <w:p>
      <w:pPr>
        <w:wordWrap/>
        <w:spacing w:line="360" w:lineRule="auto"/>
        <w:ind w:left="0" w:leftChars="0" w:firstLine="480" w:firstLineChars="200"/>
        <w:rPr>
          <w:rFonts w:hint="eastAsia" w:cs="宋体"/>
          <w:b w:val="0"/>
          <w:bCs/>
          <w:szCs w:val="24"/>
        </w:rPr>
      </w:pPr>
      <w:r>
        <w:rPr>
          <w:rFonts w:hint="eastAsia" w:cs="宋体"/>
          <w:b w:val="0"/>
          <w:bCs/>
          <w:szCs w:val="24"/>
        </w:rPr>
        <w:t>如果有紧急病号或者其他情况，无卡无费用信息，可以提供绿色通道登记，以满足此特殊情况，此时输入病人信息及检查方法即可。</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38</w:t>
      </w:r>
      <w:r>
        <w:rPr>
          <w:rFonts w:hint="eastAsia" w:cs="宋体"/>
          <w:b w:val="0"/>
          <w:bCs/>
          <w:szCs w:val="24"/>
        </w:rPr>
        <w:t>.3检查</w:t>
      </w:r>
    </w:p>
    <w:p>
      <w:pPr>
        <w:wordWrap/>
        <w:spacing w:line="360" w:lineRule="auto"/>
        <w:ind w:left="0" w:leftChars="0" w:firstLine="480" w:firstLineChars="200"/>
        <w:rPr>
          <w:rFonts w:hint="eastAsia" w:cs="宋体"/>
          <w:b w:val="0"/>
          <w:bCs/>
          <w:szCs w:val="24"/>
        </w:rPr>
      </w:pPr>
      <w:r>
        <w:rPr>
          <w:rFonts w:hint="eastAsia" w:cs="宋体"/>
          <w:b w:val="0"/>
          <w:bCs/>
          <w:szCs w:val="24"/>
        </w:rPr>
        <w:t>检查又分为：取材，切片，阅片三部分。可以对送检组织进行处理后的每个腊块进行编号，记录材块信息组织名称，并可以书写送检组织的大体所见。</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38</w:t>
      </w:r>
      <w:r>
        <w:rPr>
          <w:rFonts w:hint="eastAsia" w:cs="宋体"/>
          <w:b w:val="0"/>
          <w:bCs/>
          <w:szCs w:val="24"/>
        </w:rPr>
        <w:t>.4报告</w:t>
      </w:r>
    </w:p>
    <w:p>
      <w:pPr>
        <w:wordWrap/>
        <w:spacing w:line="360" w:lineRule="auto"/>
        <w:ind w:left="0" w:leftChars="0" w:firstLine="480" w:firstLineChars="200"/>
        <w:rPr>
          <w:rFonts w:hint="eastAsia" w:cs="宋体"/>
          <w:b w:val="0"/>
          <w:bCs/>
          <w:szCs w:val="24"/>
        </w:rPr>
      </w:pPr>
      <w:r>
        <w:rPr>
          <w:rFonts w:hint="eastAsia" w:cs="宋体"/>
          <w:b w:val="0"/>
          <w:bCs/>
          <w:szCs w:val="24"/>
        </w:rPr>
        <w:t>书写患者报告，采用所见即所得报告模式，直观展示报告，报告模板方便报告书写，模板元素库将报告进行结构化，进一步简化报告的书写。报告中可以插入采集的图像，生成图文报告。</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39</w:t>
      </w:r>
      <w:r>
        <w:rPr>
          <w:rFonts w:hint="eastAsia" w:cs="宋体"/>
          <w:b w:val="0"/>
          <w:bCs/>
          <w:szCs w:val="24"/>
        </w:rPr>
        <w:t>医务科管理系统</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39</w:t>
      </w:r>
      <w:r>
        <w:rPr>
          <w:rFonts w:hint="eastAsia" w:cs="宋体"/>
          <w:b w:val="0"/>
          <w:bCs/>
          <w:szCs w:val="24"/>
        </w:rPr>
        <w:t>.1医政管理</w:t>
      </w:r>
    </w:p>
    <w:p>
      <w:pPr>
        <w:wordWrap/>
        <w:spacing w:line="360" w:lineRule="auto"/>
        <w:ind w:left="0" w:leftChars="0" w:firstLine="480" w:firstLineChars="200"/>
        <w:rPr>
          <w:rFonts w:hint="eastAsia" w:cs="宋体"/>
          <w:b w:val="0"/>
          <w:bCs/>
          <w:szCs w:val="24"/>
        </w:rPr>
      </w:pPr>
      <w:r>
        <w:rPr>
          <w:rFonts w:hint="eastAsia" w:cs="宋体"/>
          <w:b w:val="0"/>
          <w:bCs/>
          <w:szCs w:val="24"/>
        </w:rPr>
        <w:t>包括科室每月绩效考核、员工晋升与定级考核、医师日常行为记分（纠纷扣分、表扬加分、配合医务情况评分）、医师定期考核、离退休人员返聘考核功能。</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39</w:t>
      </w:r>
      <w:r>
        <w:rPr>
          <w:rFonts w:hint="eastAsia" w:cs="宋体"/>
          <w:b w:val="0"/>
          <w:bCs/>
          <w:szCs w:val="24"/>
        </w:rPr>
        <w:t>.2医疗纠纷管理</w:t>
      </w:r>
    </w:p>
    <w:p>
      <w:pPr>
        <w:wordWrap/>
        <w:spacing w:line="360" w:lineRule="auto"/>
        <w:ind w:left="0" w:leftChars="0" w:firstLine="480" w:firstLineChars="200"/>
        <w:rPr>
          <w:rFonts w:hint="eastAsia" w:cs="宋体"/>
          <w:b w:val="0"/>
          <w:bCs/>
          <w:szCs w:val="24"/>
        </w:rPr>
      </w:pPr>
      <w:r>
        <w:rPr>
          <w:rFonts w:hint="eastAsia" w:cs="宋体"/>
          <w:b w:val="0"/>
          <w:bCs/>
          <w:szCs w:val="24"/>
        </w:rPr>
        <w:t>实现投诉/纠纷基本信息、处理信息的查询。</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39</w:t>
      </w:r>
      <w:r>
        <w:rPr>
          <w:rFonts w:hint="eastAsia" w:cs="宋体"/>
          <w:b w:val="0"/>
          <w:bCs/>
          <w:szCs w:val="24"/>
        </w:rPr>
        <w:t>.3文件管理</w:t>
      </w:r>
    </w:p>
    <w:p>
      <w:pPr>
        <w:wordWrap/>
        <w:spacing w:line="360" w:lineRule="auto"/>
        <w:ind w:left="0" w:leftChars="0" w:firstLine="480" w:firstLineChars="200"/>
        <w:rPr>
          <w:rFonts w:hint="eastAsia" w:cs="宋体"/>
          <w:b w:val="0"/>
          <w:bCs/>
          <w:szCs w:val="24"/>
        </w:rPr>
      </w:pPr>
      <w:r>
        <w:rPr>
          <w:rFonts w:hint="eastAsia" w:cs="宋体"/>
          <w:b w:val="0"/>
          <w:bCs/>
          <w:szCs w:val="24"/>
        </w:rPr>
        <w:t>实现文件的上传、删除、下载等维护管理。支持文本文件、word、PDF、图片等附件。</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39</w:t>
      </w:r>
      <w:r>
        <w:rPr>
          <w:rFonts w:hint="eastAsia" w:cs="宋体"/>
          <w:b w:val="0"/>
          <w:bCs/>
          <w:szCs w:val="24"/>
        </w:rPr>
        <w:t>.4质量控制</w:t>
      </w:r>
    </w:p>
    <w:p>
      <w:pPr>
        <w:wordWrap/>
        <w:spacing w:line="360" w:lineRule="auto"/>
        <w:ind w:left="0" w:leftChars="0" w:firstLine="480" w:firstLineChars="200"/>
        <w:rPr>
          <w:rFonts w:hint="eastAsia" w:cs="宋体"/>
          <w:b w:val="0"/>
          <w:bCs/>
          <w:szCs w:val="24"/>
        </w:rPr>
      </w:pPr>
      <w:r>
        <w:rPr>
          <w:rFonts w:hint="eastAsia" w:cs="宋体"/>
          <w:b w:val="0"/>
          <w:bCs/>
          <w:szCs w:val="24"/>
        </w:rPr>
        <w:t>实现月末发布下月质控重点内容、月末科室上交自查报告、每月第一周下科室进行上月质控内容检查、月中对核查结果进行反馈。</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提供对计划的数据进行增删改查；提供对质量次数的维护功能；提供对质量计划的基本信息（质量计划名称）维护功能提供对质量计划的检查人员维护功能</w:t>
      </w:r>
      <w:r>
        <w:rPr>
          <w:rFonts w:hint="eastAsia" w:cs="宋体"/>
          <w:b w:val="0"/>
          <w:bCs/>
          <w:szCs w:val="24"/>
          <w:lang w:eastAsia="zh-CN"/>
        </w:rPr>
        <w:t>。</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提供对质量计划的检查指标维护的功能；提供提交功能，提交后才可以进行检查，提交后不能修改</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39</w:t>
      </w:r>
      <w:r>
        <w:rPr>
          <w:rFonts w:hint="eastAsia" w:cs="宋体"/>
          <w:b w:val="0"/>
          <w:bCs/>
          <w:szCs w:val="24"/>
        </w:rPr>
        <w:t>.5三级公立医院绩效考核</w:t>
      </w:r>
    </w:p>
    <w:p>
      <w:pPr>
        <w:wordWrap/>
        <w:spacing w:line="360" w:lineRule="auto"/>
        <w:ind w:left="0" w:leftChars="0" w:firstLine="480" w:firstLineChars="200"/>
        <w:rPr>
          <w:rFonts w:hint="eastAsia" w:cs="宋体"/>
          <w:b w:val="0"/>
          <w:bCs/>
          <w:szCs w:val="24"/>
        </w:rPr>
      </w:pPr>
      <w:r>
        <w:rPr>
          <w:rFonts w:hint="eastAsia" w:cs="宋体"/>
          <w:b w:val="0"/>
          <w:bCs/>
          <w:szCs w:val="24"/>
        </w:rPr>
        <w:t>包括绩效考核数据的计算和统计分析；系统提供基本的数据校验功能，同时支持按时间段查询绩效考核结果。</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39</w:t>
      </w:r>
      <w:r>
        <w:rPr>
          <w:rFonts w:hint="eastAsia" w:cs="宋体"/>
          <w:b w:val="0"/>
          <w:bCs/>
          <w:szCs w:val="24"/>
        </w:rPr>
        <w:t>.6指标管理</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根据模块分体系管理，包含资质管理、新技术管理、质量管理等功能；提供指标体系内容新增、编辑和删除功能；提供指标体系内容导出excel表功能</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0</w:t>
      </w:r>
      <w:r>
        <w:rPr>
          <w:rFonts w:hint="eastAsia" w:cs="宋体"/>
          <w:b w:val="0"/>
          <w:bCs/>
          <w:szCs w:val="24"/>
        </w:rPr>
        <w:t>电子病历质量管系统</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0</w:t>
      </w:r>
      <w:r>
        <w:rPr>
          <w:rFonts w:hint="eastAsia" w:cs="宋体"/>
          <w:b w:val="0"/>
          <w:bCs/>
          <w:szCs w:val="24"/>
        </w:rPr>
        <w:t>.1时限质控</w:t>
      </w:r>
    </w:p>
    <w:p>
      <w:pPr>
        <w:wordWrap/>
        <w:spacing w:line="360" w:lineRule="auto"/>
        <w:ind w:left="0" w:leftChars="0" w:firstLine="480" w:firstLineChars="200"/>
        <w:rPr>
          <w:rFonts w:hint="eastAsia" w:cs="宋体"/>
          <w:b w:val="0"/>
          <w:bCs/>
          <w:szCs w:val="24"/>
        </w:rPr>
      </w:pPr>
      <w:r>
        <w:rPr>
          <w:rFonts w:hint="eastAsia" w:cs="宋体"/>
          <w:b w:val="0"/>
          <w:bCs/>
          <w:szCs w:val="24"/>
        </w:rPr>
        <w:t>支持医生打开患者病历时，自动弹出时限质控提醒。提供统一的时限质控概览界面，便于了解质控结果。系统内置时限质控规则，可根据医院需求进行规则拓展。</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0</w:t>
      </w:r>
      <w:r>
        <w:rPr>
          <w:rFonts w:hint="eastAsia" w:cs="宋体"/>
          <w:b w:val="0"/>
          <w:bCs/>
          <w:szCs w:val="24"/>
        </w:rPr>
        <w:t>.2文档质控</w:t>
      </w:r>
    </w:p>
    <w:p>
      <w:pPr>
        <w:wordWrap/>
        <w:spacing w:line="360" w:lineRule="auto"/>
        <w:ind w:left="0" w:leftChars="0" w:firstLine="480" w:firstLineChars="200"/>
        <w:rPr>
          <w:rFonts w:hint="eastAsia" w:cs="宋体"/>
          <w:b w:val="0"/>
          <w:bCs/>
          <w:szCs w:val="24"/>
        </w:rPr>
      </w:pPr>
      <w:r>
        <w:rPr>
          <w:rFonts w:hint="eastAsia" w:cs="宋体"/>
          <w:b w:val="0"/>
          <w:bCs/>
          <w:szCs w:val="24"/>
        </w:rPr>
        <w:t>▲系统内置国家《电子病历数据集数据元》标准，可根据《电子病历数据集数据元》标准进行文档质控。支持拓展数据集数据元标准，并进行质控。支持定义公共质控、敏感词质控、互斥词质控。支持检查已创建的病历文档，是否缺项、必填项没填写。</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0</w:t>
      </w:r>
      <w:r>
        <w:rPr>
          <w:rFonts w:hint="eastAsia" w:cs="宋体"/>
          <w:b w:val="0"/>
          <w:bCs/>
          <w:szCs w:val="24"/>
        </w:rPr>
        <w:t>.3终末质控</w:t>
      </w:r>
    </w:p>
    <w:p>
      <w:pPr>
        <w:wordWrap/>
        <w:spacing w:line="360" w:lineRule="auto"/>
        <w:ind w:left="0" w:leftChars="0" w:firstLine="480" w:firstLineChars="200"/>
        <w:rPr>
          <w:rFonts w:hint="eastAsia" w:cs="宋体"/>
          <w:b w:val="0"/>
          <w:bCs/>
          <w:szCs w:val="24"/>
        </w:rPr>
      </w:pPr>
      <w:r>
        <w:rPr>
          <w:rFonts w:hint="eastAsia" w:cs="宋体"/>
          <w:b w:val="0"/>
          <w:bCs/>
          <w:szCs w:val="24"/>
        </w:rPr>
        <w:t>支持对患者的病历文档进行自动评分和人工评分，并且计算出病历等级。支持定义评分标准，如：《病案首页评分标准》。</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0</w:t>
      </w:r>
      <w:r>
        <w:rPr>
          <w:rFonts w:hint="eastAsia" w:cs="宋体"/>
          <w:b w:val="0"/>
          <w:bCs/>
          <w:szCs w:val="24"/>
        </w:rPr>
        <w:t>.4核心制度质控</w:t>
      </w:r>
    </w:p>
    <w:p>
      <w:pPr>
        <w:wordWrap/>
        <w:spacing w:line="360" w:lineRule="auto"/>
        <w:ind w:left="0" w:leftChars="0" w:firstLine="480" w:firstLineChars="200"/>
        <w:rPr>
          <w:rFonts w:hint="eastAsia" w:cs="宋体"/>
          <w:b w:val="0"/>
          <w:bCs/>
          <w:szCs w:val="24"/>
        </w:rPr>
      </w:pPr>
      <w:r>
        <w:rPr>
          <w:rFonts w:hint="eastAsia" w:cs="宋体"/>
          <w:b w:val="0"/>
          <w:bCs/>
          <w:szCs w:val="24"/>
        </w:rPr>
        <w:t>支持根据医院需求、科室、定义不同的核心制度质控规则。支持根据核心制度质控规则提取未满足要求的患者名单。</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0</w:t>
      </w:r>
      <w:r>
        <w:rPr>
          <w:rFonts w:hint="eastAsia" w:cs="宋体"/>
          <w:b w:val="0"/>
          <w:bCs/>
          <w:szCs w:val="24"/>
        </w:rPr>
        <w:t>.5分级质控</w:t>
      </w:r>
    </w:p>
    <w:p>
      <w:pPr>
        <w:wordWrap/>
        <w:spacing w:line="360" w:lineRule="auto"/>
        <w:ind w:left="0" w:leftChars="0" w:firstLine="480" w:firstLineChars="200"/>
        <w:rPr>
          <w:rFonts w:hint="eastAsia" w:cs="宋体"/>
          <w:b w:val="0"/>
          <w:bCs/>
          <w:szCs w:val="24"/>
        </w:rPr>
      </w:pPr>
      <w:r>
        <w:rPr>
          <w:rFonts w:hint="eastAsia" w:cs="宋体"/>
          <w:b w:val="0"/>
          <w:bCs/>
          <w:szCs w:val="24"/>
        </w:rPr>
        <w:t>一级质控：事中质控：医生在书写病历时，随时可以查看当前病历的质控信息。医师质控：医师可对自己负责的患者进行质控。科室质控：科主任可对本科室所有患者进行质控。</w:t>
      </w:r>
    </w:p>
    <w:p>
      <w:pPr>
        <w:wordWrap/>
        <w:spacing w:line="360" w:lineRule="auto"/>
        <w:ind w:left="0" w:leftChars="0" w:firstLine="480" w:firstLineChars="200"/>
        <w:rPr>
          <w:rFonts w:hint="eastAsia" w:cs="宋体"/>
          <w:b w:val="0"/>
          <w:bCs/>
          <w:szCs w:val="24"/>
        </w:rPr>
      </w:pPr>
      <w:r>
        <w:rPr>
          <w:rFonts w:hint="eastAsia" w:cs="宋体"/>
          <w:b w:val="0"/>
          <w:bCs/>
          <w:szCs w:val="24"/>
        </w:rPr>
        <w:t>二级质控：病案室或质控专员可对已出院患者进行质控。</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三级质控：病案室或医务科或质控专员定期/不定期对患者进行抽查质控</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0</w:t>
      </w:r>
      <w:r>
        <w:rPr>
          <w:rFonts w:hint="eastAsia" w:cs="宋体"/>
          <w:b w:val="0"/>
          <w:bCs/>
          <w:szCs w:val="24"/>
        </w:rPr>
        <w:t>.6人工质控</w:t>
      </w:r>
    </w:p>
    <w:p>
      <w:pPr>
        <w:wordWrap/>
        <w:spacing w:line="360" w:lineRule="auto"/>
        <w:ind w:left="0" w:leftChars="0" w:firstLine="480" w:firstLineChars="200"/>
        <w:rPr>
          <w:rFonts w:hint="eastAsia" w:cs="宋体"/>
          <w:b w:val="0"/>
          <w:bCs/>
          <w:szCs w:val="24"/>
        </w:rPr>
      </w:pPr>
      <w:r>
        <w:rPr>
          <w:rFonts w:hint="eastAsia" w:cs="宋体"/>
          <w:b w:val="0"/>
          <w:bCs/>
          <w:szCs w:val="24"/>
        </w:rPr>
        <w:t>支持质控员可针对病历存在的缺陷手工录入缺陷内容以及扣分原因。支持质控员可根据评分标准进行单项扣分、多项扣分以及单项否决评分。</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0</w:t>
      </w:r>
      <w:r>
        <w:rPr>
          <w:rFonts w:hint="eastAsia" w:cs="宋体"/>
          <w:b w:val="0"/>
          <w:bCs/>
          <w:szCs w:val="24"/>
        </w:rPr>
        <w:t>.7质控报表</w:t>
      </w:r>
    </w:p>
    <w:p>
      <w:pPr>
        <w:wordWrap/>
        <w:spacing w:line="360" w:lineRule="auto"/>
        <w:ind w:left="0" w:leftChars="0" w:firstLine="480" w:firstLineChars="200"/>
        <w:rPr>
          <w:rFonts w:hint="eastAsia" w:cs="宋体"/>
          <w:b w:val="0"/>
          <w:bCs/>
          <w:szCs w:val="24"/>
        </w:rPr>
      </w:pPr>
      <w:r>
        <w:rPr>
          <w:rFonts w:hint="eastAsia" w:cs="宋体"/>
          <w:b w:val="0"/>
          <w:bCs/>
          <w:szCs w:val="24"/>
        </w:rPr>
        <w:t>支持时限质控统计查询、文档质控统计查询、终末质控统计查询等。支持查看质控明细，包括患者姓名、年龄、卡号、床号、就诊时间、质控信息、签名医师、签名时间、质控消息等。</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1</w:t>
      </w:r>
      <w:r>
        <w:rPr>
          <w:rFonts w:hint="eastAsia" w:cs="宋体"/>
          <w:b w:val="0"/>
          <w:bCs/>
          <w:szCs w:val="24"/>
        </w:rPr>
        <w:t>医嘱闭环管理系统</w:t>
      </w:r>
    </w:p>
    <w:p>
      <w:pPr>
        <w:wordWrap/>
        <w:spacing w:line="360" w:lineRule="auto"/>
        <w:ind w:left="0" w:leftChars="0" w:firstLine="480" w:firstLineChars="200"/>
        <w:rPr>
          <w:rFonts w:hint="eastAsia" w:cs="宋体"/>
          <w:b w:val="0"/>
          <w:bCs/>
          <w:szCs w:val="24"/>
        </w:rPr>
      </w:pPr>
      <w:r>
        <w:rPr>
          <w:rFonts w:hint="eastAsia" w:cs="宋体"/>
          <w:b w:val="0"/>
          <w:bCs/>
          <w:szCs w:val="24"/>
        </w:rPr>
        <w:t>提供统一的闭环定义及闭环概览界面。支持根据医院情况定义流程节点。支持定义节点名称字体、状态颜色、节点信息字体。</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2</w:t>
      </w:r>
      <w:r>
        <w:rPr>
          <w:rFonts w:hint="eastAsia" w:cs="宋体"/>
          <w:b w:val="0"/>
          <w:bCs/>
          <w:szCs w:val="24"/>
        </w:rPr>
        <w:t>单病种管理系统</w:t>
      </w:r>
    </w:p>
    <w:p>
      <w:pPr>
        <w:wordWrap/>
        <w:spacing w:line="360" w:lineRule="auto"/>
        <w:ind w:left="0" w:leftChars="0" w:firstLine="480" w:firstLineChars="200"/>
        <w:rPr>
          <w:rFonts w:hint="eastAsia" w:cs="宋体"/>
          <w:b w:val="0"/>
          <w:bCs/>
          <w:szCs w:val="24"/>
        </w:rPr>
      </w:pPr>
      <w:r>
        <w:rPr>
          <w:rFonts w:hint="eastAsia" w:cs="宋体"/>
          <w:b w:val="0"/>
          <w:bCs/>
          <w:szCs w:val="24"/>
        </w:rPr>
        <w:t>▲支持51种单病种数据上报。支持单病种病人根据规则自动提取。支持患者基本信息自动导入到单病种报告卡中。支持对已填报信息自动效验。支持评分工具按评分标准自动化评分。支持VTE病人数据手工提取。</w:t>
      </w:r>
    </w:p>
    <w:p>
      <w:pPr>
        <w:wordWrap/>
        <w:spacing w:line="360" w:lineRule="auto"/>
        <w:ind w:left="0" w:leftChars="0" w:firstLine="480" w:firstLineChars="200"/>
        <w:rPr>
          <w:rFonts w:hint="eastAsia" w:cs="宋体"/>
          <w:b w:val="0"/>
          <w:bCs/>
          <w:szCs w:val="24"/>
        </w:rPr>
      </w:pPr>
      <w:r>
        <w:rPr>
          <w:rFonts w:hint="eastAsia" w:cs="宋体"/>
          <w:b w:val="0"/>
          <w:bCs/>
          <w:szCs w:val="24"/>
        </w:rPr>
        <w:t>审核：支持单病种报告单个、批量审核。</w:t>
      </w:r>
    </w:p>
    <w:p>
      <w:pPr>
        <w:wordWrap/>
        <w:spacing w:line="360" w:lineRule="auto"/>
        <w:ind w:left="0" w:leftChars="0" w:firstLine="480" w:firstLineChars="200"/>
        <w:rPr>
          <w:rFonts w:hint="eastAsia" w:cs="宋体"/>
          <w:b w:val="0"/>
          <w:bCs/>
          <w:szCs w:val="24"/>
        </w:rPr>
      </w:pPr>
      <w:r>
        <w:rPr>
          <w:rFonts w:hint="eastAsia" w:cs="宋体"/>
          <w:b w:val="0"/>
          <w:bCs/>
          <w:szCs w:val="24"/>
        </w:rPr>
        <w:t>上传：支持与国家单病种平台对接，实现自动上报。</w:t>
      </w:r>
    </w:p>
    <w:p>
      <w:pPr>
        <w:wordWrap/>
        <w:spacing w:line="360" w:lineRule="auto"/>
        <w:ind w:left="0" w:leftChars="0" w:firstLine="480" w:firstLineChars="200"/>
        <w:rPr>
          <w:rFonts w:hint="eastAsia" w:cs="宋体"/>
          <w:b w:val="0"/>
          <w:bCs/>
          <w:szCs w:val="24"/>
        </w:rPr>
      </w:pPr>
      <w:r>
        <w:rPr>
          <w:rFonts w:hint="eastAsia" w:cs="宋体"/>
          <w:b w:val="0"/>
          <w:bCs/>
          <w:szCs w:val="24"/>
        </w:rPr>
        <w:t>查询统计：支持单病种已报、不上报查询。支持单病种漏报查询。支持单病种按病种、科室、状态分类查询。</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3</w:t>
      </w:r>
      <w:r>
        <w:rPr>
          <w:rFonts w:hint="eastAsia" w:cs="宋体"/>
          <w:b w:val="0"/>
          <w:bCs/>
          <w:szCs w:val="24"/>
        </w:rPr>
        <w:t>不良事件上报系统</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3</w:t>
      </w:r>
      <w:r>
        <w:rPr>
          <w:rFonts w:hint="eastAsia" w:cs="宋体"/>
          <w:b w:val="0"/>
          <w:bCs/>
          <w:szCs w:val="24"/>
        </w:rPr>
        <w:t>.1事件上报</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▲支持药品事件、医疗事件、护理事件、输血事件、医疗器械、治安消防等多种类型的不良事件上报</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3</w:t>
      </w:r>
      <w:r>
        <w:rPr>
          <w:rFonts w:hint="eastAsia" w:cs="宋体"/>
          <w:b w:val="0"/>
          <w:bCs/>
          <w:szCs w:val="24"/>
        </w:rPr>
        <w:t>.2本人报告的不良事件</w:t>
      </w:r>
    </w:p>
    <w:p>
      <w:pPr>
        <w:wordWrap/>
        <w:spacing w:line="360" w:lineRule="auto"/>
        <w:ind w:left="0" w:leftChars="0" w:firstLine="480" w:firstLineChars="200"/>
        <w:rPr>
          <w:rFonts w:hint="eastAsia" w:cs="宋体"/>
          <w:b w:val="0"/>
          <w:bCs/>
          <w:szCs w:val="24"/>
        </w:rPr>
      </w:pPr>
      <w:r>
        <w:rPr>
          <w:rFonts w:hint="eastAsia" w:cs="宋体"/>
          <w:b w:val="0"/>
          <w:bCs/>
          <w:szCs w:val="24"/>
        </w:rPr>
        <w:t>可以查询编辑删除找回本人报告的不良事件。支持根据报告日期、事件名称、患者姓名、事件状态、发生时间、事件摘要等信息进行查询。支持查看不良事件上报历史记录。支持根据颜色区分不良事件上报状态。</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3</w:t>
      </w:r>
      <w:r>
        <w:rPr>
          <w:rFonts w:hint="eastAsia" w:cs="宋体"/>
          <w:b w:val="0"/>
          <w:bCs/>
          <w:szCs w:val="24"/>
        </w:rPr>
        <w:t>.3不良事件处理</w:t>
      </w:r>
    </w:p>
    <w:p>
      <w:pPr>
        <w:wordWrap/>
        <w:spacing w:line="360" w:lineRule="auto"/>
        <w:ind w:left="0" w:leftChars="0" w:firstLine="480" w:firstLineChars="200"/>
        <w:rPr>
          <w:rFonts w:hint="eastAsia" w:cs="宋体"/>
          <w:b w:val="0"/>
          <w:bCs/>
          <w:szCs w:val="24"/>
        </w:rPr>
      </w:pPr>
      <w:r>
        <w:rPr>
          <w:rFonts w:hint="eastAsia" w:cs="宋体"/>
          <w:b w:val="0"/>
          <w:bCs/>
          <w:szCs w:val="24"/>
        </w:rPr>
        <w:t>支持权限控制：范围权限（医疗单位、科室、不良事件），内嵌权限（删除、审核、督办、分析、归档等）；</w:t>
      </w:r>
    </w:p>
    <w:p>
      <w:pPr>
        <w:wordWrap/>
        <w:spacing w:line="360" w:lineRule="auto"/>
        <w:ind w:left="0" w:leftChars="0" w:firstLine="480" w:firstLineChars="200"/>
        <w:rPr>
          <w:rFonts w:hint="eastAsia" w:cs="宋体"/>
          <w:b w:val="0"/>
          <w:bCs/>
          <w:szCs w:val="24"/>
        </w:rPr>
      </w:pPr>
      <w:r>
        <w:rPr>
          <w:rFonts w:hint="eastAsia" w:cs="宋体"/>
          <w:b w:val="0"/>
          <w:bCs/>
          <w:szCs w:val="24"/>
        </w:rPr>
        <w:t>支持不良事件查询，可根据多种查询条件进行查询；支持对不良事件上报的编辑、备注、删除、找回、分析、反馈、督办、审核、取消审核、整改、归档、取消归档操作。</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4</w:t>
      </w:r>
      <w:r>
        <w:rPr>
          <w:rFonts w:hint="eastAsia" w:cs="宋体"/>
          <w:b w:val="0"/>
          <w:bCs/>
          <w:szCs w:val="24"/>
        </w:rPr>
        <w:t>医疗准入管理系统</w:t>
      </w:r>
    </w:p>
    <w:p>
      <w:pPr>
        <w:wordWrap/>
        <w:spacing w:line="360" w:lineRule="auto"/>
        <w:ind w:left="0" w:leftChars="0" w:firstLine="480" w:firstLineChars="200"/>
        <w:rPr>
          <w:rFonts w:hint="eastAsia" w:cs="宋体"/>
          <w:b w:val="0"/>
          <w:bCs/>
          <w:szCs w:val="24"/>
        </w:rPr>
      </w:pPr>
      <w:r>
        <w:rPr>
          <w:rFonts w:hint="eastAsia" w:cs="宋体"/>
          <w:b w:val="0"/>
          <w:bCs/>
          <w:szCs w:val="24"/>
        </w:rPr>
        <w:t>技术申请：提供对新技术基本信息（技术名称、技术代码、先进性、医疗风险等）维护功能；</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跟踪申请：提供审批功能；（新技术申请完成后，会跟踪一段时间，新技术追踪流程：分中期、终期、延期（追踪申请-医务科审核））</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转常申请：提供对转常申请数据的增删改查；提供上传附件功能；提供新技术转常申请表预览功能；</w:t>
      </w:r>
    </w:p>
    <w:p>
      <w:pPr>
        <w:wordWrap/>
        <w:spacing w:line="360" w:lineRule="auto"/>
        <w:ind w:left="0" w:leftChars="0" w:firstLine="480" w:firstLineChars="200"/>
        <w:rPr>
          <w:rFonts w:hint="eastAsia" w:cs="宋体"/>
          <w:b w:val="0"/>
          <w:bCs/>
          <w:szCs w:val="24"/>
        </w:rPr>
      </w:pPr>
      <w:r>
        <w:rPr>
          <w:rFonts w:hint="eastAsia" w:cs="宋体"/>
          <w:b w:val="0"/>
          <w:bCs/>
          <w:szCs w:val="24"/>
        </w:rPr>
        <w:t>评优申请：提供对评优申请数据的增删改查；提供上传附件功能；提供新技术评优申请表预览功能；</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新技术总体详情</w:t>
      </w:r>
      <w:r>
        <w:rPr>
          <w:rFonts w:hint="eastAsia" w:cs="宋体"/>
          <w:b w:val="0"/>
          <w:bCs/>
          <w:szCs w:val="24"/>
          <w:lang w:eastAsia="zh-CN"/>
        </w:rPr>
        <w:t>；</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提供查看新技术总体详详情功能；提供模糊查询功能</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5</w:t>
      </w:r>
      <w:r>
        <w:rPr>
          <w:rFonts w:hint="eastAsia" w:cs="宋体"/>
          <w:b w:val="0"/>
          <w:bCs/>
          <w:szCs w:val="24"/>
        </w:rPr>
        <w:t>危急值管理系统</w:t>
      </w:r>
    </w:p>
    <w:p>
      <w:pPr>
        <w:wordWrap/>
        <w:spacing w:line="360" w:lineRule="auto"/>
        <w:ind w:left="0" w:leftChars="0" w:firstLine="480" w:firstLineChars="200"/>
        <w:rPr>
          <w:rFonts w:hint="eastAsia" w:cs="宋体"/>
          <w:b w:val="0"/>
          <w:bCs/>
          <w:szCs w:val="24"/>
        </w:rPr>
      </w:pPr>
      <w:r>
        <w:rPr>
          <w:rFonts w:hint="eastAsia" w:cs="宋体"/>
          <w:b w:val="0"/>
          <w:bCs/>
          <w:szCs w:val="24"/>
        </w:rPr>
        <w:t>支持对检验项目的危急值判定规则进行设置。支持对检查项目中的危急值结果进行标记。支持危急值结果进行醒目显示设置。</w:t>
      </w:r>
    </w:p>
    <w:p>
      <w:pPr>
        <w:wordWrap/>
        <w:spacing w:line="360" w:lineRule="auto"/>
        <w:ind w:left="0" w:leftChars="0" w:firstLine="480" w:firstLineChars="200"/>
        <w:rPr>
          <w:rFonts w:hint="eastAsia" w:cs="宋体"/>
          <w:b w:val="0"/>
          <w:bCs/>
          <w:szCs w:val="24"/>
        </w:rPr>
      </w:pPr>
      <w:r>
        <w:rPr>
          <w:rFonts w:hint="eastAsia" w:cs="宋体"/>
          <w:b w:val="0"/>
          <w:bCs/>
          <w:szCs w:val="24"/>
        </w:rPr>
        <w:t>支持危急值结果自动推送和提醒到临床。支持与医院短信平台对接，危急值信息直接通知到相关人员。</w:t>
      </w:r>
    </w:p>
    <w:p>
      <w:pPr>
        <w:wordWrap/>
        <w:spacing w:line="360" w:lineRule="auto"/>
        <w:ind w:left="0" w:leftChars="0" w:firstLine="480" w:firstLineChars="200"/>
        <w:rPr>
          <w:rFonts w:hint="eastAsia" w:cs="宋体"/>
          <w:b w:val="0"/>
          <w:bCs/>
          <w:szCs w:val="24"/>
        </w:rPr>
      </w:pPr>
      <w:r>
        <w:rPr>
          <w:rFonts w:hint="eastAsia" w:cs="宋体"/>
          <w:b w:val="0"/>
          <w:bCs/>
          <w:szCs w:val="24"/>
        </w:rPr>
        <w:t>支持危急值结果分级处理，未在要求时间内处理的信息将直接向上一级人员继续推送。</w:t>
      </w:r>
    </w:p>
    <w:p>
      <w:pPr>
        <w:wordWrap/>
        <w:spacing w:line="360" w:lineRule="auto"/>
        <w:ind w:left="0" w:leftChars="0" w:firstLine="480" w:firstLineChars="200"/>
        <w:rPr>
          <w:rFonts w:hint="eastAsia" w:cs="宋体"/>
          <w:b w:val="0"/>
          <w:bCs/>
          <w:szCs w:val="24"/>
        </w:rPr>
      </w:pPr>
      <w:r>
        <w:rPr>
          <w:rFonts w:hint="eastAsia" w:cs="宋体"/>
          <w:b w:val="0"/>
          <w:bCs/>
          <w:szCs w:val="24"/>
        </w:rPr>
        <w:t>支持危急值闭环管理流程自定义。支持危急值的数据统计分析与查询。</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6</w:t>
      </w:r>
      <w:r>
        <w:rPr>
          <w:rFonts w:hint="eastAsia" w:cs="宋体"/>
          <w:b w:val="0"/>
          <w:bCs/>
          <w:szCs w:val="24"/>
        </w:rPr>
        <w:t>病历首页质控系统</w:t>
      </w:r>
    </w:p>
    <w:p>
      <w:pPr>
        <w:wordWrap/>
        <w:spacing w:line="360" w:lineRule="auto"/>
        <w:ind w:left="0" w:leftChars="0" w:firstLine="480" w:firstLineChars="200"/>
        <w:rPr>
          <w:rFonts w:hint="eastAsia" w:cs="宋体"/>
          <w:b w:val="0"/>
          <w:bCs/>
          <w:szCs w:val="24"/>
        </w:rPr>
      </w:pPr>
      <w:r>
        <w:rPr>
          <w:rFonts w:hint="eastAsia" w:cs="宋体"/>
          <w:b w:val="0"/>
          <w:bCs/>
          <w:szCs w:val="24"/>
        </w:rPr>
        <w:t>提供灵活多样的检索方式，包括首页内容的查询、病案号查询、未归档病案的查询。对病案号查询要支持病人姓名的模糊查询。</w:t>
      </w:r>
    </w:p>
    <w:p>
      <w:pPr>
        <w:wordWrap/>
        <w:spacing w:line="360" w:lineRule="auto"/>
        <w:ind w:left="0" w:leftChars="0" w:firstLine="480" w:firstLineChars="200"/>
        <w:rPr>
          <w:rFonts w:hint="eastAsia" w:cs="宋体"/>
          <w:b w:val="0"/>
          <w:bCs/>
          <w:szCs w:val="24"/>
        </w:rPr>
      </w:pPr>
      <w:r>
        <w:rPr>
          <w:rFonts w:hint="eastAsia" w:cs="宋体"/>
          <w:b w:val="0"/>
          <w:bCs/>
          <w:szCs w:val="24"/>
        </w:rPr>
        <w:t>对检索结果要有多种形式的显示或输出形式，依据标准的疾病分类、手术分类代码处理一病多名问题。</w:t>
      </w:r>
    </w:p>
    <w:p>
      <w:pPr>
        <w:wordWrap/>
        <w:spacing w:line="360" w:lineRule="auto"/>
        <w:ind w:left="0" w:leftChars="0" w:firstLine="480" w:firstLineChars="200"/>
        <w:rPr>
          <w:rFonts w:hint="eastAsia" w:cs="宋体"/>
          <w:b w:val="0"/>
          <w:bCs/>
          <w:szCs w:val="24"/>
        </w:rPr>
      </w:pPr>
      <w:r>
        <w:rPr>
          <w:rFonts w:hint="eastAsia" w:cs="宋体"/>
          <w:b w:val="0"/>
          <w:bCs/>
          <w:szCs w:val="24"/>
        </w:rPr>
        <w:t>支持对病案档案号进行管理，对漏用的档案号进行再利用，重复的档案号进行重新分配。</w:t>
      </w:r>
    </w:p>
    <w:p>
      <w:pPr>
        <w:wordWrap/>
        <w:spacing w:line="360" w:lineRule="auto"/>
        <w:ind w:left="0" w:leftChars="0" w:firstLine="480" w:firstLineChars="200"/>
        <w:rPr>
          <w:rFonts w:hint="eastAsia" w:cs="宋体"/>
          <w:b w:val="0"/>
          <w:bCs/>
          <w:szCs w:val="24"/>
        </w:rPr>
      </w:pPr>
      <w:r>
        <w:rPr>
          <w:rFonts w:hint="eastAsia" w:cs="宋体"/>
          <w:b w:val="0"/>
          <w:bCs/>
          <w:szCs w:val="24"/>
        </w:rPr>
        <w:t>支持对首页内容异常情况进行修改，例如出院时间、医生误操作记录等。</w:t>
      </w:r>
    </w:p>
    <w:p>
      <w:pPr>
        <w:wordWrap/>
        <w:spacing w:line="360" w:lineRule="auto"/>
        <w:ind w:left="0" w:leftChars="0" w:firstLine="480" w:firstLineChars="200"/>
        <w:rPr>
          <w:rFonts w:hint="eastAsia" w:cs="宋体"/>
          <w:b w:val="0"/>
          <w:bCs/>
          <w:szCs w:val="24"/>
        </w:rPr>
      </w:pPr>
      <w:r>
        <w:rPr>
          <w:rFonts w:hint="eastAsia" w:cs="宋体"/>
          <w:b w:val="0"/>
          <w:bCs/>
          <w:szCs w:val="24"/>
        </w:rPr>
        <w:t>支持病人费用发生变化后对已产生的费用进行校验修正支持单个校验和批量校验。</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7</w:t>
      </w:r>
      <w:r>
        <w:rPr>
          <w:rFonts w:hint="eastAsia" w:cs="宋体"/>
          <w:b w:val="0"/>
          <w:bCs/>
          <w:szCs w:val="24"/>
        </w:rPr>
        <w:t>病案管理系统</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7</w:t>
      </w:r>
      <w:r>
        <w:rPr>
          <w:rFonts w:hint="eastAsia" w:cs="宋体"/>
          <w:b w:val="0"/>
          <w:bCs/>
          <w:szCs w:val="24"/>
        </w:rPr>
        <w:t>.1基本设置</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7</w:t>
      </w:r>
      <w:r>
        <w:rPr>
          <w:rFonts w:hint="eastAsia" w:cs="宋体"/>
          <w:b w:val="0"/>
          <w:bCs/>
          <w:szCs w:val="24"/>
        </w:rPr>
        <w:t>.1.1病案首页工作表设置</w:t>
      </w:r>
    </w:p>
    <w:p>
      <w:pPr>
        <w:wordWrap/>
        <w:spacing w:line="360" w:lineRule="auto"/>
        <w:ind w:left="0" w:leftChars="0" w:firstLine="480" w:firstLineChars="200"/>
        <w:rPr>
          <w:rFonts w:hint="eastAsia" w:cs="宋体"/>
          <w:b w:val="0"/>
          <w:bCs/>
          <w:szCs w:val="24"/>
        </w:rPr>
      </w:pPr>
      <w:r>
        <w:rPr>
          <w:rFonts w:hint="eastAsia" w:cs="宋体"/>
          <w:b w:val="0"/>
          <w:bCs/>
          <w:szCs w:val="24"/>
        </w:rPr>
        <w:t>支持通过病案首页工作表设置定义病案首页必填信息。支持定义病案首页字段默认值信息。支持定义各个字段在入院登记处、护士站、医生站、病案室是否必填。</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7</w:t>
      </w:r>
      <w:r>
        <w:rPr>
          <w:rFonts w:hint="eastAsia" w:cs="宋体"/>
          <w:b w:val="0"/>
          <w:bCs/>
          <w:szCs w:val="24"/>
        </w:rPr>
        <w:t>.1.2病案首页效验设置</w:t>
      </w:r>
    </w:p>
    <w:p>
      <w:pPr>
        <w:wordWrap/>
        <w:spacing w:line="360" w:lineRule="auto"/>
        <w:ind w:left="0" w:leftChars="0" w:firstLine="480" w:firstLineChars="200"/>
        <w:rPr>
          <w:rFonts w:hint="eastAsia" w:cs="宋体"/>
          <w:b w:val="0"/>
          <w:bCs/>
          <w:szCs w:val="24"/>
        </w:rPr>
      </w:pPr>
      <w:r>
        <w:rPr>
          <w:rFonts w:hint="eastAsia" w:cs="宋体"/>
          <w:b w:val="0"/>
          <w:bCs/>
          <w:szCs w:val="24"/>
        </w:rPr>
        <w:t>支持根据脚本配置定义病案首页效验规则。支持可视化编码定义。</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7</w:t>
      </w:r>
      <w:r>
        <w:rPr>
          <w:rFonts w:hint="eastAsia" w:cs="宋体"/>
          <w:b w:val="0"/>
          <w:bCs/>
          <w:szCs w:val="24"/>
        </w:rPr>
        <w:t>.1.3费用类型设置</w:t>
      </w:r>
    </w:p>
    <w:p>
      <w:pPr>
        <w:wordWrap/>
        <w:spacing w:line="360" w:lineRule="auto"/>
        <w:ind w:left="0" w:leftChars="0" w:firstLine="480" w:firstLineChars="200"/>
        <w:rPr>
          <w:rFonts w:hint="eastAsia" w:cs="宋体"/>
          <w:b w:val="0"/>
          <w:bCs/>
          <w:szCs w:val="24"/>
        </w:rPr>
      </w:pPr>
      <w:r>
        <w:rPr>
          <w:rFonts w:hint="eastAsia" w:cs="宋体"/>
          <w:b w:val="0"/>
          <w:bCs/>
          <w:szCs w:val="24"/>
        </w:rPr>
        <w:t>支持根据核算分类对照，与病案首页费用类型进行对照。支持对照后，在病案首页打印时调用。</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7</w:t>
      </w:r>
      <w:r>
        <w:rPr>
          <w:rFonts w:hint="eastAsia" w:cs="宋体"/>
          <w:b w:val="0"/>
          <w:bCs/>
          <w:szCs w:val="24"/>
        </w:rPr>
        <w:t>.1.4床位设置</w:t>
      </w:r>
    </w:p>
    <w:p>
      <w:pPr>
        <w:wordWrap/>
        <w:spacing w:line="360" w:lineRule="auto"/>
        <w:ind w:left="0" w:leftChars="0" w:firstLine="480" w:firstLineChars="200"/>
        <w:rPr>
          <w:rFonts w:hint="eastAsia" w:cs="宋体"/>
          <w:b w:val="0"/>
          <w:bCs/>
          <w:szCs w:val="24"/>
        </w:rPr>
      </w:pPr>
      <w:r>
        <w:rPr>
          <w:rFonts w:hint="eastAsia" w:cs="宋体"/>
          <w:b w:val="0"/>
          <w:bCs/>
          <w:szCs w:val="24"/>
        </w:rPr>
        <w:t>支持定义各科室实际开放床位，根据实际开放床位数，计算占床日等数据。</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7</w:t>
      </w:r>
      <w:r>
        <w:rPr>
          <w:rFonts w:hint="eastAsia" w:cs="宋体"/>
          <w:b w:val="0"/>
          <w:bCs/>
          <w:szCs w:val="24"/>
        </w:rPr>
        <w:t>.1.5科室不写病历设置</w:t>
      </w:r>
    </w:p>
    <w:p>
      <w:pPr>
        <w:wordWrap/>
        <w:spacing w:line="360" w:lineRule="auto"/>
        <w:ind w:left="0" w:leftChars="0" w:firstLine="480" w:firstLineChars="200"/>
        <w:rPr>
          <w:rFonts w:hint="eastAsia" w:cs="宋体"/>
          <w:b w:val="0"/>
          <w:bCs/>
          <w:szCs w:val="24"/>
        </w:rPr>
      </w:pPr>
      <w:r>
        <w:rPr>
          <w:rFonts w:hint="eastAsia" w:cs="宋体"/>
          <w:b w:val="0"/>
          <w:bCs/>
          <w:szCs w:val="24"/>
        </w:rPr>
        <w:t>支持区分写病历和不写病历科室名单。根据名单信息，在病案首页填写时，及出院时进行逻辑控制。</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7</w:t>
      </w:r>
      <w:r>
        <w:rPr>
          <w:rFonts w:hint="eastAsia" w:cs="宋体"/>
          <w:b w:val="0"/>
          <w:bCs/>
          <w:szCs w:val="24"/>
        </w:rPr>
        <w:t>.1.6病首辅助功能</w:t>
      </w:r>
    </w:p>
    <w:p>
      <w:pPr>
        <w:wordWrap/>
        <w:spacing w:line="360" w:lineRule="auto"/>
        <w:ind w:left="0" w:leftChars="0" w:firstLine="480" w:firstLineChars="200"/>
        <w:rPr>
          <w:rFonts w:hint="eastAsia" w:cs="宋体"/>
          <w:b w:val="0"/>
          <w:bCs/>
          <w:szCs w:val="24"/>
        </w:rPr>
      </w:pPr>
      <w:r>
        <w:rPr>
          <w:rFonts w:hint="eastAsia" w:cs="宋体"/>
          <w:b w:val="0"/>
          <w:bCs/>
          <w:szCs w:val="24"/>
        </w:rPr>
        <w:t>支持病案室修改患者出院时间。支持病案室根据费用类型效正患者病首费用信息。支持修改病历标志，填写不写病历或写病历原因。支持按科室、按全院设置档案号规则。</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7</w:t>
      </w:r>
      <w:r>
        <w:rPr>
          <w:rFonts w:hint="eastAsia" w:cs="宋体"/>
          <w:b w:val="0"/>
          <w:bCs/>
          <w:szCs w:val="24"/>
        </w:rPr>
        <w:t>.1.7节假日设置</w:t>
      </w:r>
    </w:p>
    <w:p>
      <w:pPr>
        <w:wordWrap/>
        <w:spacing w:line="360" w:lineRule="auto"/>
        <w:ind w:left="0" w:leftChars="0" w:firstLine="480" w:firstLineChars="200"/>
        <w:rPr>
          <w:rFonts w:hint="eastAsia" w:cs="宋体"/>
          <w:b w:val="0"/>
          <w:bCs/>
          <w:szCs w:val="24"/>
        </w:rPr>
      </w:pPr>
      <w:r>
        <w:rPr>
          <w:rFonts w:hint="eastAsia" w:cs="宋体"/>
          <w:b w:val="0"/>
          <w:bCs/>
          <w:szCs w:val="24"/>
        </w:rPr>
        <w:t>支持设置节假日信息，并在计算病历移交率时进行判断，排除节假日。</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7</w:t>
      </w:r>
      <w:r>
        <w:rPr>
          <w:rFonts w:hint="eastAsia" w:cs="宋体"/>
          <w:b w:val="0"/>
          <w:bCs/>
          <w:szCs w:val="24"/>
        </w:rPr>
        <w:t>.2病历归档</w:t>
      </w:r>
    </w:p>
    <w:p>
      <w:pPr>
        <w:wordWrap/>
        <w:spacing w:line="360" w:lineRule="auto"/>
        <w:ind w:left="0" w:leftChars="0" w:firstLine="480" w:firstLineChars="200"/>
        <w:rPr>
          <w:rFonts w:hint="eastAsia" w:cs="宋体"/>
          <w:b w:val="0"/>
          <w:bCs/>
          <w:szCs w:val="24"/>
        </w:rPr>
      </w:pPr>
      <w:r>
        <w:rPr>
          <w:rFonts w:hint="eastAsia" w:cs="宋体"/>
          <w:b w:val="0"/>
          <w:bCs/>
          <w:szCs w:val="24"/>
        </w:rPr>
        <w:t>支持病历三级移交管理规范。支持逐级倒退，撤销移交信息。支持已移交病历进行加锁、或解锁；全流程支持申请及审批。支持病历三日移交率查询。支持提取各科室三日移交率明细信息。</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7</w:t>
      </w:r>
      <w:r>
        <w:rPr>
          <w:rFonts w:hint="eastAsia" w:cs="宋体"/>
          <w:b w:val="0"/>
          <w:bCs/>
          <w:szCs w:val="24"/>
        </w:rPr>
        <w:t>.3病历示踪</w:t>
      </w:r>
    </w:p>
    <w:p>
      <w:pPr>
        <w:wordWrap/>
        <w:spacing w:line="360" w:lineRule="auto"/>
        <w:ind w:left="0" w:leftChars="0" w:firstLine="480" w:firstLineChars="200"/>
        <w:rPr>
          <w:rFonts w:hint="eastAsia" w:cs="宋体"/>
          <w:b w:val="0"/>
          <w:bCs/>
          <w:szCs w:val="24"/>
        </w:rPr>
      </w:pPr>
      <w:r>
        <w:rPr>
          <w:rFonts w:hint="eastAsia" w:cs="宋体"/>
          <w:b w:val="0"/>
          <w:bCs/>
          <w:szCs w:val="24"/>
        </w:rPr>
        <w:t>支持各科室进行病历借阅。支持在病历借阅过程中填写借阅人、借阅科室、借阅时间、借阅原因信息。</w:t>
      </w:r>
    </w:p>
    <w:p>
      <w:pPr>
        <w:wordWrap/>
        <w:spacing w:line="360" w:lineRule="auto"/>
        <w:ind w:left="0" w:leftChars="0" w:firstLine="480" w:firstLineChars="200"/>
        <w:rPr>
          <w:rFonts w:hint="eastAsia" w:cs="宋体"/>
          <w:b w:val="0"/>
          <w:bCs/>
          <w:szCs w:val="24"/>
        </w:rPr>
      </w:pPr>
      <w:r>
        <w:rPr>
          <w:rFonts w:hint="eastAsia" w:cs="宋体"/>
          <w:b w:val="0"/>
          <w:bCs/>
          <w:szCs w:val="24"/>
        </w:rPr>
        <w:t>支持填写病历复印个人信息，包括复印者姓名、证件信息、与患者关系、复印分数、页数等信息。</w:t>
      </w:r>
    </w:p>
    <w:p>
      <w:pPr>
        <w:wordWrap/>
        <w:spacing w:line="360" w:lineRule="auto"/>
        <w:ind w:left="0" w:leftChars="0" w:firstLine="480" w:firstLineChars="200"/>
        <w:rPr>
          <w:rFonts w:hint="eastAsia" w:cs="宋体"/>
          <w:b w:val="0"/>
          <w:bCs/>
          <w:szCs w:val="24"/>
        </w:rPr>
      </w:pPr>
      <w:r>
        <w:rPr>
          <w:rFonts w:hint="eastAsia" w:cs="宋体"/>
          <w:b w:val="0"/>
          <w:bCs/>
          <w:szCs w:val="24"/>
        </w:rPr>
        <w:t>3.4</w:t>
      </w:r>
      <w:r>
        <w:rPr>
          <w:rFonts w:hint="eastAsia" w:cs="宋体"/>
          <w:b w:val="0"/>
          <w:bCs/>
          <w:szCs w:val="24"/>
          <w:lang w:val="en-US" w:eastAsia="zh-CN"/>
        </w:rPr>
        <w:t>7</w:t>
      </w:r>
      <w:r>
        <w:rPr>
          <w:rFonts w:hint="eastAsia" w:cs="宋体"/>
          <w:b w:val="0"/>
          <w:bCs/>
          <w:szCs w:val="24"/>
        </w:rPr>
        <w:t>.4数据上报</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支持各类主管部门规定的病案相关上报接口的自动上报，几个典型的自动上报场景如下：卫统4上报、DRGs上报、HQMS上报、三级医院绩效考核上报、肿瘤上报、发热门诊上报</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48</w:t>
      </w:r>
      <w:r>
        <w:rPr>
          <w:rFonts w:hint="eastAsia" w:cs="宋体"/>
          <w:b w:val="0"/>
          <w:bCs/>
          <w:szCs w:val="24"/>
        </w:rPr>
        <w:t>统计信息系统</w:t>
      </w:r>
    </w:p>
    <w:p>
      <w:pPr>
        <w:wordWrap/>
        <w:spacing w:line="360" w:lineRule="auto"/>
        <w:ind w:left="0" w:leftChars="0" w:firstLine="480" w:firstLineChars="200"/>
        <w:rPr>
          <w:rFonts w:hint="eastAsia" w:cs="宋体"/>
          <w:b w:val="0"/>
          <w:bCs/>
          <w:szCs w:val="24"/>
        </w:rPr>
      </w:pPr>
      <w:r>
        <w:rPr>
          <w:rFonts w:hint="eastAsia" w:cs="宋体"/>
          <w:b w:val="0"/>
          <w:bCs/>
          <w:szCs w:val="24"/>
        </w:rPr>
        <w:t>支持以向导方式或可视化编辑方式自动生成报表，实现所见即所得的效果，支持对报表进行授权控制。支持报表多格式，一个报表可以有多张格式，使用相同数据源。</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49</w:t>
      </w:r>
      <w:r>
        <w:rPr>
          <w:rFonts w:hint="eastAsia" w:cs="宋体"/>
          <w:b w:val="0"/>
          <w:bCs/>
          <w:szCs w:val="24"/>
        </w:rPr>
        <w:t>各类报卡系统</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49</w:t>
      </w:r>
      <w:r>
        <w:rPr>
          <w:rFonts w:hint="eastAsia" w:cs="宋体"/>
          <w:b w:val="0"/>
          <w:bCs/>
          <w:szCs w:val="24"/>
        </w:rPr>
        <w:t>.1医生报卡管理</w:t>
      </w:r>
    </w:p>
    <w:p>
      <w:pPr>
        <w:wordWrap/>
        <w:spacing w:line="360" w:lineRule="auto"/>
        <w:ind w:left="0" w:leftChars="0" w:firstLine="480" w:firstLineChars="200"/>
        <w:rPr>
          <w:rFonts w:hint="eastAsia" w:cs="宋体"/>
          <w:b w:val="0"/>
          <w:bCs/>
          <w:szCs w:val="24"/>
        </w:rPr>
      </w:pPr>
      <w:r>
        <w:rPr>
          <w:rFonts w:hint="eastAsia" w:cs="宋体"/>
          <w:b w:val="0"/>
          <w:bCs/>
          <w:szCs w:val="24"/>
        </w:rPr>
        <w:t>所有报卡均自动提取患者一般情况信息，门诊病例包括姓名、性别、年龄等，住院病例包括姓名、性别、年龄、住址、电话、身份证等。</w:t>
      </w:r>
    </w:p>
    <w:p>
      <w:pPr>
        <w:wordWrap/>
        <w:spacing w:line="360" w:lineRule="auto"/>
        <w:ind w:left="0" w:leftChars="0" w:firstLine="480" w:firstLineChars="200"/>
        <w:rPr>
          <w:rFonts w:hint="eastAsia" w:cs="宋体"/>
          <w:b w:val="0"/>
          <w:bCs/>
          <w:szCs w:val="24"/>
        </w:rPr>
      </w:pPr>
      <w:r>
        <w:rPr>
          <w:rFonts w:hint="eastAsia" w:cs="宋体"/>
          <w:b w:val="0"/>
          <w:bCs/>
          <w:szCs w:val="24"/>
        </w:rPr>
        <w:t>传染病报告卡：14周岁以下儿童报卡时应强制填报家长姓名信息。根据传染病诊断名称自动附加传染病相应附卡。支持同一页面显示出多个传染病及多个传染病附卡。</w:t>
      </w:r>
    </w:p>
    <w:p>
      <w:pPr>
        <w:wordWrap/>
        <w:spacing w:line="360" w:lineRule="auto"/>
        <w:ind w:left="0" w:leftChars="0" w:firstLine="480" w:firstLineChars="200"/>
        <w:rPr>
          <w:rFonts w:hint="eastAsia" w:cs="宋体"/>
          <w:b w:val="0"/>
          <w:bCs/>
          <w:szCs w:val="24"/>
        </w:rPr>
      </w:pPr>
      <w:r>
        <w:rPr>
          <w:rFonts w:hint="eastAsia" w:cs="宋体"/>
          <w:b w:val="0"/>
          <w:bCs/>
          <w:szCs w:val="24"/>
        </w:rPr>
        <w:t>支持对病人地址进行疾控标准地址的精准智能转换。能通过地址快速分析到省、市、县、区。可识别比较复杂的地址模式。</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49</w:t>
      </w:r>
      <w:r>
        <w:rPr>
          <w:rFonts w:hint="eastAsia" w:cs="宋体"/>
          <w:b w:val="0"/>
          <w:bCs/>
          <w:szCs w:val="24"/>
        </w:rPr>
        <w:t>.2中华人民共和国传染病报告卡</w:t>
      </w:r>
    </w:p>
    <w:p>
      <w:pPr>
        <w:wordWrap/>
        <w:spacing w:line="360" w:lineRule="auto"/>
        <w:ind w:left="0" w:leftChars="0" w:firstLine="480" w:firstLineChars="200"/>
        <w:rPr>
          <w:rFonts w:hint="eastAsia" w:cs="宋体"/>
          <w:b w:val="0"/>
          <w:bCs/>
          <w:szCs w:val="24"/>
        </w:rPr>
      </w:pPr>
      <w:r>
        <w:rPr>
          <w:rFonts w:hint="eastAsia" w:cs="宋体"/>
          <w:b w:val="0"/>
          <w:bCs/>
          <w:szCs w:val="24"/>
        </w:rPr>
        <w:t>支持在门诊医师、住院医师、病案首页下诊断时，自动弹出报告卡内容。</w:t>
      </w:r>
    </w:p>
    <w:p>
      <w:pPr>
        <w:wordWrap/>
        <w:spacing w:line="360" w:lineRule="auto"/>
        <w:ind w:left="0" w:leftChars="0" w:firstLine="480" w:firstLineChars="200"/>
        <w:rPr>
          <w:rFonts w:hint="eastAsia" w:cs="宋体"/>
          <w:b w:val="0"/>
          <w:bCs/>
          <w:szCs w:val="24"/>
        </w:rPr>
      </w:pPr>
      <w:r>
        <w:rPr>
          <w:rFonts w:hint="eastAsia" w:cs="宋体"/>
          <w:b w:val="0"/>
          <w:bCs/>
          <w:szCs w:val="24"/>
        </w:rPr>
        <w:t>支持定义报告卡是否启用、是否必填、优先级等信息。支持定义报告卡弹出关联诊断类型。支持患者信息自动导入。</w:t>
      </w:r>
    </w:p>
    <w:p>
      <w:pPr>
        <w:wordWrap/>
        <w:spacing w:line="360" w:lineRule="auto"/>
        <w:ind w:left="0" w:leftChars="0" w:firstLine="480" w:firstLineChars="200"/>
        <w:rPr>
          <w:rFonts w:hint="eastAsia" w:cs="宋体"/>
          <w:b w:val="0"/>
          <w:bCs/>
          <w:szCs w:val="24"/>
        </w:rPr>
      </w:pPr>
      <w:r>
        <w:rPr>
          <w:rFonts w:hint="eastAsia" w:cs="宋体"/>
          <w:b w:val="0"/>
          <w:bCs/>
          <w:szCs w:val="24"/>
        </w:rPr>
        <w:t>支持根据医师选项自动判断生成相关附卡。支持定义时间范围内不再重复报卡。</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支持肿瘤卡、新生儿卡上报、死亡卡上报、心脑血管卡上报、慢阻肺卡上报</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49</w:t>
      </w:r>
      <w:r>
        <w:rPr>
          <w:rFonts w:hint="eastAsia" w:cs="宋体"/>
          <w:b w:val="0"/>
          <w:bCs/>
          <w:szCs w:val="24"/>
        </w:rPr>
        <w:t>.3审核</w:t>
      </w:r>
    </w:p>
    <w:p>
      <w:pPr>
        <w:wordWrap/>
        <w:spacing w:line="360" w:lineRule="auto"/>
        <w:ind w:left="0" w:leftChars="0" w:firstLine="480" w:firstLineChars="200"/>
        <w:rPr>
          <w:rFonts w:hint="eastAsia" w:cs="宋体"/>
          <w:b w:val="0"/>
          <w:bCs/>
          <w:szCs w:val="24"/>
        </w:rPr>
      </w:pPr>
      <w:r>
        <w:rPr>
          <w:rFonts w:hint="eastAsia" w:cs="宋体"/>
          <w:b w:val="0"/>
          <w:bCs/>
          <w:szCs w:val="24"/>
        </w:rPr>
        <w:t>支持医师对未审核报告卡信息修改。支持报告卡填报完成后审核。支持公卫科依据权限修改、删除报告卡信息。</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49</w:t>
      </w:r>
      <w:r>
        <w:rPr>
          <w:rFonts w:hint="eastAsia" w:cs="宋体"/>
          <w:b w:val="0"/>
          <w:bCs/>
          <w:szCs w:val="24"/>
        </w:rPr>
        <w:t>.4查询统计</w:t>
      </w:r>
    </w:p>
    <w:p>
      <w:pPr>
        <w:wordWrap/>
        <w:spacing w:line="360" w:lineRule="auto"/>
        <w:ind w:left="0" w:leftChars="0" w:firstLine="480" w:firstLineChars="200"/>
        <w:rPr>
          <w:rFonts w:hint="eastAsia" w:cs="宋体"/>
          <w:b w:val="0"/>
          <w:bCs/>
          <w:szCs w:val="24"/>
        </w:rPr>
      </w:pPr>
      <w:r>
        <w:rPr>
          <w:rFonts w:hint="eastAsia" w:cs="宋体"/>
          <w:b w:val="0"/>
          <w:bCs/>
          <w:szCs w:val="24"/>
        </w:rPr>
        <w:t>支持根据病种、患者、上报科室、上报医师、审核状态等信息查询报告卡。</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0</w:t>
      </w:r>
      <w:r>
        <w:rPr>
          <w:rFonts w:hint="eastAsia" w:cs="宋体"/>
          <w:b w:val="0"/>
          <w:bCs/>
          <w:szCs w:val="24"/>
        </w:rPr>
        <w:t>护理部管理系统</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0</w:t>
      </w:r>
      <w:r>
        <w:rPr>
          <w:rFonts w:hint="eastAsia" w:cs="宋体"/>
          <w:b w:val="0"/>
          <w:bCs/>
          <w:szCs w:val="24"/>
        </w:rPr>
        <w:t>.1护士排班</w:t>
      </w:r>
    </w:p>
    <w:p>
      <w:pPr>
        <w:wordWrap/>
        <w:spacing w:line="360" w:lineRule="auto"/>
        <w:ind w:left="0" w:leftChars="0" w:firstLine="480" w:firstLineChars="200"/>
        <w:rPr>
          <w:rFonts w:hint="eastAsia" w:cs="宋体"/>
          <w:b w:val="0"/>
          <w:bCs/>
          <w:szCs w:val="24"/>
        </w:rPr>
      </w:pPr>
      <w:r>
        <w:rPr>
          <w:rFonts w:hint="eastAsia" w:cs="宋体"/>
          <w:b w:val="0"/>
          <w:bCs/>
          <w:szCs w:val="24"/>
        </w:rPr>
        <w:t>支持对各病区护士以及护士长进行班次安排和调整。支持对人员的每个班次的排班数量、排班时间进行统计。支持批量调整班次，减少排班操作。支持各个护理单元人员排班情况的查询。</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0</w:t>
      </w:r>
      <w:r>
        <w:rPr>
          <w:rFonts w:hint="eastAsia" w:cs="宋体"/>
          <w:b w:val="0"/>
          <w:bCs/>
          <w:szCs w:val="24"/>
        </w:rPr>
        <w:t>.2满意度调查</w:t>
      </w:r>
    </w:p>
    <w:p>
      <w:pPr>
        <w:wordWrap/>
        <w:spacing w:line="360" w:lineRule="auto"/>
        <w:ind w:left="0" w:leftChars="0" w:firstLine="480" w:firstLineChars="200"/>
        <w:rPr>
          <w:rFonts w:hint="eastAsia" w:cs="宋体"/>
          <w:b w:val="0"/>
          <w:bCs/>
          <w:szCs w:val="24"/>
        </w:rPr>
      </w:pPr>
      <w:r>
        <w:rPr>
          <w:rFonts w:hint="eastAsia" w:cs="宋体"/>
          <w:b w:val="0"/>
          <w:bCs/>
          <w:szCs w:val="24"/>
        </w:rPr>
        <w:t>支持根据医院满意度调查分类自动提取各科室满意度情况。支持汇总各病区满意度总分、扣分、实得分、满意率情况。支持填写各病区患者满意度指标值，并填写问题说明。</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1</w:t>
      </w:r>
      <w:r>
        <w:rPr>
          <w:rFonts w:hint="eastAsia" w:cs="宋体"/>
          <w:b w:val="0"/>
          <w:bCs/>
          <w:szCs w:val="24"/>
        </w:rPr>
        <w:t>护理质量管理系统</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1</w:t>
      </w:r>
      <w:r>
        <w:rPr>
          <w:rFonts w:hint="eastAsia" w:cs="宋体"/>
          <w:b w:val="0"/>
          <w:bCs/>
          <w:szCs w:val="24"/>
        </w:rPr>
        <w:t>.1护理质控</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1</w:t>
      </w:r>
      <w:r>
        <w:rPr>
          <w:rFonts w:hint="eastAsia" w:cs="宋体"/>
          <w:b w:val="0"/>
          <w:bCs/>
          <w:szCs w:val="24"/>
        </w:rPr>
        <w:t>.1.1质控计划制定</w:t>
      </w:r>
    </w:p>
    <w:p>
      <w:pPr>
        <w:wordWrap/>
        <w:spacing w:line="360" w:lineRule="auto"/>
        <w:ind w:left="0" w:leftChars="0" w:firstLine="480" w:firstLineChars="200"/>
        <w:rPr>
          <w:rFonts w:hint="eastAsia" w:cs="宋体"/>
          <w:b w:val="0"/>
          <w:bCs/>
          <w:szCs w:val="24"/>
        </w:rPr>
      </w:pPr>
      <w:r>
        <w:rPr>
          <w:rFonts w:hint="eastAsia" w:cs="宋体"/>
          <w:b w:val="0"/>
          <w:bCs/>
          <w:szCs w:val="24"/>
        </w:rPr>
        <w:t>支持制定护理质控考核计划支持考核计划绑定参加考核的病区名单。支持考核计划绑定考核标准。支持三级质控标准定义。支持从模板中创建考核计划。</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1</w:t>
      </w:r>
      <w:r>
        <w:rPr>
          <w:rFonts w:hint="eastAsia" w:cs="宋体"/>
          <w:b w:val="0"/>
          <w:bCs/>
          <w:szCs w:val="24"/>
        </w:rPr>
        <w:t>.1.2护理质控执行</w:t>
      </w:r>
    </w:p>
    <w:p>
      <w:pPr>
        <w:wordWrap/>
        <w:spacing w:line="360" w:lineRule="auto"/>
        <w:ind w:left="0" w:leftChars="0" w:firstLine="480" w:firstLineChars="200"/>
        <w:rPr>
          <w:rFonts w:hint="eastAsia" w:cs="宋体"/>
          <w:b w:val="0"/>
          <w:bCs/>
          <w:szCs w:val="24"/>
        </w:rPr>
      </w:pPr>
      <w:r>
        <w:rPr>
          <w:rFonts w:hint="eastAsia" w:cs="宋体"/>
          <w:b w:val="0"/>
          <w:bCs/>
          <w:szCs w:val="24"/>
        </w:rPr>
        <w:t>支持定期质控及巡查质控两种模式。支持根据落实情况自动打分。支持手动打分。支持考核标准表支持空表打印和正常打印两种模式。表单支持重写、提交功能、撤销提交功能。</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1</w:t>
      </w:r>
      <w:r>
        <w:rPr>
          <w:rFonts w:hint="eastAsia" w:cs="宋体"/>
          <w:b w:val="0"/>
          <w:bCs/>
          <w:szCs w:val="24"/>
        </w:rPr>
        <w:t>.2跨平台</w:t>
      </w:r>
    </w:p>
    <w:p>
      <w:pPr>
        <w:wordWrap/>
        <w:spacing w:line="360" w:lineRule="auto"/>
        <w:ind w:left="0" w:leftChars="0" w:firstLine="480" w:firstLineChars="200"/>
        <w:rPr>
          <w:rFonts w:hint="eastAsia" w:cs="宋体"/>
          <w:b w:val="0"/>
          <w:bCs/>
          <w:szCs w:val="24"/>
        </w:rPr>
      </w:pPr>
      <w:r>
        <w:rPr>
          <w:rFonts w:hint="eastAsia" w:cs="宋体"/>
          <w:b w:val="0"/>
          <w:bCs/>
          <w:szCs w:val="24"/>
        </w:rPr>
        <w:t>▲支持通过平板设备进行护理质控。支持质控过程中拍照上传图片信息。支持通过平板进行打分。</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2</w:t>
      </w:r>
      <w:r>
        <w:rPr>
          <w:rFonts w:hint="eastAsia" w:cs="宋体"/>
          <w:b w:val="0"/>
          <w:bCs/>
          <w:szCs w:val="24"/>
        </w:rPr>
        <w:t>病区护理白板系统</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2</w:t>
      </w:r>
      <w:r>
        <w:rPr>
          <w:rFonts w:hint="eastAsia" w:cs="宋体"/>
          <w:b w:val="0"/>
          <w:bCs/>
          <w:szCs w:val="24"/>
        </w:rPr>
        <w:t>.1自定义界面设计</w:t>
      </w:r>
    </w:p>
    <w:p>
      <w:pPr>
        <w:wordWrap/>
        <w:spacing w:line="360" w:lineRule="auto"/>
        <w:ind w:left="0" w:leftChars="0" w:firstLine="480" w:firstLineChars="200"/>
        <w:rPr>
          <w:rFonts w:hint="eastAsia" w:cs="宋体"/>
          <w:b w:val="0"/>
          <w:bCs/>
          <w:szCs w:val="24"/>
        </w:rPr>
      </w:pPr>
      <w:r>
        <w:rPr>
          <w:rFonts w:hint="eastAsia" w:cs="宋体"/>
          <w:b w:val="0"/>
          <w:bCs/>
          <w:szCs w:val="24"/>
        </w:rPr>
        <w:t>支持科室自定义白板显示内容，定义时支持拖拽式操作。</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2</w:t>
      </w:r>
      <w:r>
        <w:rPr>
          <w:rFonts w:hint="eastAsia" w:cs="宋体"/>
          <w:b w:val="0"/>
          <w:bCs/>
          <w:szCs w:val="24"/>
        </w:rPr>
        <w:t>.2白板显示</w:t>
      </w:r>
    </w:p>
    <w:p>
      <w:pPr>
        <w:wordWrap/>
        <w:spacing w:line="360" w:lineRule="auto"/>
        <w:ind w:left="0" w:leftChars="0" w:firstLine="480" w:firstLineChars="200"/>
        <w:rPr>
          <w:rFonts w:hint="eastAsia" w:cs="宋体"/>
          <w:b w:val="0"/>
          <w:bCs/>
          <w:szCs w:val="24"/>
        </w:rPr>
      </w:pPr>
      <w:r>
        <w:rPr>
          <w:rFonts w:hint="eastAsia" w:cs="宋体"/>
          <w:b w:val="0"/>
          <w:bCs/>
          <w:szCs w:val="24"/>
        </w:rPr>
        <w:t>支持查看全病区患者信息概览图，依据床号将患者进行分类。支持查看重点医嘱患者信息。支持对接交接班信息，并提供统一的交接班概览。</w:t>
      </w:r>
    </w:p>
    <w:p>
      <w:pPr>
        <w:wordWrap/>
        <w:spacing w:line="360" w:lineRule="auto"/>
        <w:ind w:left="0" w:leftChars="0" w:firstLine="480" w:firstLineChars="200"/>
        <w:rPr>
          <w:rFonts w:hint="eastAsia" w:cs="宋体"/>
          <w:b w:val="0"/>
          <w:bCs/>
          <w:szCs w:val="24"/>
        </w:rPr>
      </w:pPr>
      <w:r>
        <w:rPr>
          <w:rFonts w:hint="eastAsia" w:cs="宋体"/>
          <w:b w:val="0"/>
          <w:bCs/>
          <w:szCs w:val="24"/>
        </w:rPr>
        <w:t>▲支持查看患者护理计划，提供科室统一的患者护理计划概览。支持对患者生命体征信息在护理白板上统一展现。支持对病区所有患者的风险评估指标进行统一概览。</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2</w:t>
      </w:r>
      <w:r>
        <w:rPr>
          <w:rFonts w:hint="eastAsia" w:cs="宋体"/>
          <w:b w:val="0"/>
          <w:bCs/>
          <w:szCs w:val="24"/>
        </w:rPr>
        <w:t>.3智能提醒</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提供多种消息提醒类型，并在护理白板上进行统一展现，例如：医嘱提醒、护理任务提醒、输液完成提醒、危急值提醒</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3</w:t>
      </w:r>
      <w:r>
        <w:rPr>
          <w:rFonts w:hint="eastAsia" w:cs="宋体"/>
          <w:b w:val="0"/>
          <w:bCs/>
          <w:szCs w:val="24"/>
        </w:rPr>
        <w:t>抗菌药物管理系统</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3</w:t>
      </w:r>
      <w:r>
        <w:rPr>
          <w:rFonts w:hint="eastAsia" w:cs="宋体"/>
          <w:b w:val="0"/>
          <w:bCs/>
          <w:szCs w:val="24"/>
        </w:rPr>
        <w:t>.1抗生素使用审核</w:t>
      </w:r>
    </w:p>
    <w:p>
      <w:pPr>
        <w:wordWrap/>
        <w:spacing w:line="360" w:lineRule="auto"/>
        <w:ind w:left="0" w:leftChars="0" w:firstLine="480" w:firstLineChars="200"/>
        <w:rPr>
          <w:rFonts w:hint="eastAsia" w:cs="宋体"/>
          <w:b w:val="0"/>
          <w:bCs/>
          <w:szCs w:val="24"/>
        </w:rPr>
      </w:pPr>
      <w:r>
        <w:rPr>
          <w:rFonts w:hint="eastAsia" w:cs="宋体"/>
          <w:b w:val="0"/>
          <w:bCs/>
          <w:szCs w:val="24"/>
        </w:rPr>
        <w:t>支持医师发起抗生素越级使用审核后，通过消息提醒，提醒主管部门及时进行审核。</w:t>
      </w:r>
    </w:p>
    <w:p>
      <w:pPr>
        <w:wordWrap/>
        <w:spacing w:line="360" w:lineRule="auto"/>
        <w:ind w:left="0" w:leftChars="0" w:firstLine="480" w:firstLineChars="200"/>
        <w:rPr>
          <w:rFonts w:hint="eastAsia" w:cs="宋体"/>
          <w:b w:val="0"/>
          <w:bCs/>
          <w:szCs w:val="24"/>
        </w:rPr>
      </w:pPr>
      <w:r>
        <w:rPr>
          <w:rFonts w:hint="eastAsia" w:cs="宋体"/>
          <w:b w:val="0"/>
          <w:bCs/>
          <w:szCs w:val="24"/>
        </w:rPr>
        <w:t>能够在审核完成后，第一时间通知到临床医生，并将处方转交由收费室收费及进行发药流程。</w:t>
      </w:r>
    </w:p>
    <w:p>
      <w:pPr>
        <w:wordWrap/>
        <w:spacing w:line="360" w:lineRule="auto"/>
        <w:ind w:left="0" w:leftChars="0" w:firstLine="480" w:firstLineChars="200"/>
        <w:rPr>
          <w:rFonts w:hint="eastAsia" w:cs="宋体"/>
          <w:b w:val="0"/>
          <w:bCs/>
          <w:szCs w:val="24"/>
        </w:rPr>
      </w:pPr>
      <w:r>
        <w:rPr>
          <w:rFonts w:hint="eastAsia" w:cs="宋体"/>
          <w:b w:val="0"/>
          <w:bCs/>
          <w:szCs w:val="24"/>
        </w:rPr>
        <w:t>能够通过启用抗生素管理参数，进行流程控制。</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3</w:t>
      </w:r>
      <w:r>
        <w:rPr>
          <w:rFonts w:hint="eastAsia" w:cs="宋体"/>
          <w:b w:val="0"/>
          <w:bCs/>
          <w:szCs w:val="24"/>
        </w:rPr>
        <w:t>.2基本设置</w:t>
      </w:r>
    </w:p>
    <w:p>
      <w:pPr>
        <w:wordWrap/>
        <w:spacing w:line="360" w:lineRule="auto"/>
        <w:ind w:left="0" w:leftChars="0" w:firstLine="480" w:firstLineChars="200"/>
        <w:rPr>
          <w:rFonts w:hint="eastAsia" w:cs="宋体"/>
          <w:b w:val="0"/>
          <w:bCs/>
          <w:szCs w:val="24"/>
        </w:rPr>
      </w:pPr>
      <w:r>
        <w:rPr>
          <w:rFonts w:hint="eastAsia" w:cs="宋体"/>
          <w:b w:val="0"/>
          <w:bCs/>
          <w:szCs w:val="24"/>
        </w:rPr>
        <w:t>支持感染诊断设置，包括感染诊断范围设置、诊断对应抗菌药物范围设置等支持抗菌药物推荐级别设置。</w:t>
      </w:r>
    </w:p>
    <w:p>
      <w:pPr>
        <w:wordWrap/>
        <w:spacing w:line="360" w:lineRule="auto"/>
        <w:ind w:left="0" w:leftChars="0" w:firstLine="480" w:firstLineChars="200"/>
        <w:rPr>
          <w:rFonts w:hint="eastAsia" w:cs="宋体"/>
          <w:b w:val="0"/>
          <w:bCs/>
          <w:szCs w:val="24"/>
        </w:rPr>
      </w:pPr>
      <w:r>
        <w:rPr>
          <w:rFonts w:hint="eastAsia" w:cs="宋体"/>
          <w:b w:val="0"/>
          <w:bCs/>
          <w:szCs w:val="24"/>
        </w:rPr>
        <w:t>支持感染等级范围，适用手术切口类型范围，作用细菌范围、肝肾功能减退的设置。</w:t>
      </w:r>
    </w:p>
    <w:p>
      <w:pPr>
        <w:wordWrap/>
        <w:spacing w:line="360" w:lineRule="auto"/>
        <w:ind w:left="0" w:leftChars="0" w:firstLine="480" w:firstLineChars="200"/>
        <w:rPr>
          <w:rFonts w:hint="eastAsia" w:cs="宋体"/>
          <w:b w:val="0"/>
          <w:bCs/>
          <w:szCs w:val="24"/>
        </w:rPr>
      </w:pPr>
      <w:r>
        <w:rPr>
          <w:rFonts w:hint="eastAsia" w:cs="宋体"/>
          <w:b w:val="0"/>
          <w:bCs/>
          <w:szCs w:val="24"/>
        </w:rPr>
        <w:t>支持围手术期相关信息设置、抗生素检测参数规则设置、医生用药等级设置。</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3</w:t>
      </w:r>
      <w:r>
        <w:rPr>
          <w:rFonts w:hint="eastAsia" w:cs="宋体"/>
          <w:b w:val="0"/>
          <w:bCs/>
          <w:szCs w:val="24"/>
        </w:rPr>
        <w:t>.3统计查询</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53</w:t>
      </w:r>
      <w:r>
        <w:rPr>
          <w:rFonts w:hint="eastAsia" w:cs="宋体"/>
          <w:b w:val="0"/>
          <w:bCs/>
          <w:szCs w:val="24"/>
        </w:rPr>
        <w:t>.3.1抗生素使用率查询</w:t>
      </w:r>
    </w:p>
    <w:p>
      <w:pPr>
        <w:wordWrap/>
        <w:spacing w:line="360" w:lineRule="auto"/>
        <w:ind w:left="0" w:leftChars="0" w:firstLine="480" w:firstLineChars="200"/>
        <w:rPr>
          <w:rFonts w:hint="eastAsia" w:cs="宋体"/>
          <w:b w:val="0"/>
          <w:bCs/>
          <w:szCs w:val="24"/>
        </w:rPr>
      </w:pPr>
      <w:r>
        <w:rPr>
          <w:rFonts w:hint="eastAsia" w:cs="宋体"/>
          <w:b w:val="0"/>
          <w:bCs/>
          <w:szCs w:val="24"/>
        </w:rPr>
        <w:t>查询指标：门诊使用率、住院使用率、使用率、门诊二联使用率、门诊三联使用率、住院二联使用率、住院三联使用率、二联使用率、三联使用率。</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3</w:t>
      </w:r>
      <w:r>
        <w:rPr>
          <w:rFonts w:hint="eastAsia" w:cs="宋体"/>
          <w:b w:val="0"/>
          <w:bCs/>
          <w:szCs w:val="24"/>
        </w:rPr>
        <w:t>.3.2抗生素使用强度查询</w:t>
      </w:r>
    </w:p>
    <w:p>
      <w:pPr>
        <w:wordWrap/>
        <w:spacing w:line="360" w:lineRule="auto"/>
        <w:ind w:left="0" w:leftChars="0" w:firstLine="480" w:firstLineChars="200"/>
        <w:rPr>
          <w:rFonts w:hint="eastAsia" w:cs="宋体"/>
          <w:b w:val="0"/>
          <w:bCs/>
          <w:szCs w:val="24"/>
        </w:rPr>
      </w:pPr>
      <w:r>
        <w:rPr>
          <w:rFonts w:hint="eastAsia" w:cs="宋体"/>
          <w:b w:val="0"/>
          <w:bCs/>
          <w:szCs w:val="24"/>
        </w:rPr>
        <w:t>查询时间段内：全院抗生素使用强度、门诊使用强度、住院使用强度、手术科室使用强度。</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4</w:t>
      </w:r>
      <w:r>
        <w:rPr>
          <w:rFonts w:hint="eastAsia" w:cs="宋体"/>
          <w:b w:val="0"/>
          <w:bCs/>
          <w:szCs w:val="24"/>
        </w:rPr>
        <w:t>药库管理系统</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4</w:t>
      </w:r>
      <w:r>
        <w:rPr>
          <w:rFonts w:hint="eastAsia" w:cs="宋体"/>
          <w:b w:val="0"/>
          <w:bCs/>
          <w:szCs w:val="24"/>
        </w:rPr>
        <w:t>.1入库管理</w:t>
      </w:r>
    </w:p>
    <w:p>
      <w:pPr>
        <w:wordWrap/>
        <w:spacing w:line="360" w:lineRule="auto"/>
        <w:ind w:left="0" w:leftChars="0" w:firstLine="480" w:firstLineChars="200"/>
        <w:rPr>
          <w:rFonts w:hint="eastAsia" w:cs="宋体"/>
          <w:b w:val="0"/>
          <w:bCs/>
          <w:szCs w:val="24"/>
        </w:rPr>
      </w:pPr>
      <w:r>
        <w:rPr>
          <w:rFonts w:hint="eastAsia" w:cs="宋体"/>
          <w:b w:val="0"/>
          <w:bCs/>
          <w:szCs w:val="24"/>
        </w:rPr>
        <w:t>支持多种不同的入库类型，如外购入库、发票入库、自制入库、初始盘存、外部赠送等。</w:t>
      </w:r>
    </w:p>
    <w:p>
      <w:pPr>
        <w:wordWrap/>
        <w:spacing w:line="360" w:lineRule="auto"/>
        <w:ind w:left="0" w:leftChars="0" w:firstLine="480" w:firstLineChars="200"/>
        <w:rPr>
          <w:rFonts w:hint="eastAsia" w:cs="宋体"/>
          <w:b w:val="0"/>
          <w:bCs/>
          <w:szCs w:val="24"/>
        </w:rPr>
      </w:pPr>
      <w:r>
        <w:rPr>
          <w:rFonts w:hint="eastAsia" w:cs="宋体"/>
          <w:b w:val="0"/>
          <w:bCs/>
          <w:szCs w:val="24"/>
        </w:rPr>
        <w:t>支持提交后自动打印入库单。支持入库审核后增加药品库存。支持根据医院情况定义入库流程。</w:t>
      </w:r>
    </w:p>
    <w:p>
      <w:pPr>
        <w:wordWrap/>
        <w:spacing w:line="360" w:lineRule="auto"/>
        <w:ind w:left="0" w:leftChars="0" w:firstLine="480" w:firstLineChars="200"/>
        <w:rPr>
          <w:rFonts w:hint="eastAsia" w:cs="宋体"/>
          <w:b w:val="0"/>
          <w:bCs/>
          <w:szCs w:val="24"/>
        </w:rPr>
      </w:pPr>
      <w:r>
        <w:rPr>
          <w:rFonts w:hint="eastAsia" w:cs="宋体"/>
          <w:b w:val="0"/>
          <w:bCs/>
          <w:szCs w:val="24"/>
        </w:rPr>
        <w:t>支持补充登记药品生产厂家、生产批号、批准文号、发票号、生产日期、有效期等信息。</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4</w:t>
      </w:r>
      <w:r>
        <w:rPr>
          <w:rFonts w:hint="eastAsia" w:cs="宋体"/>
          <w:b w:val="0"/>
          <w:bCs/>
          <w:szCs w:val="24"/>
        </w:rPr>
        <w:t>.2药品出库</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4</w:t>
      </w:r>
      <w:r>
        <w:rPr>
          <w:rFonts w:hint="eastAsia" w:cs="宋体"/>
          <w:b w:val="0"/>
          <w:bCs/>
          <w:szCs w:val="24"/>
        </w:rPr>
        <w:t>.2.1药品调拨</w:t>
      </w:r>
    </w:p>
    <w:p>
      <w:pPr>
        <w:wordWrap/>
        <w:spacing w:line="360" w:lineRule="auto"/>
        <w:ind w:left="0" w:leftChars="0" w:firstLine="480" w:firstLineChars="200"/>
        <w:rPr>
          <w:rFonts w:hint="eastAsia" w:cs="宋体"/>
          <w:b w:val="0"/>
          <w:bCs/>
          <w:szCs w:val="24"/>
        </w:rPr>
      </w:pPr>
      <w:r>
        <w:rPr>
          <w:rFonts w:hint="eastAsia" w:cs="宋体"/>
          <w:b w:val="0"/>
          <w:bCs/>
          <w:szCs w:val="24"/>
        </w:rPr>
        <w:t>支持创建调拨计划单。支持按最高库存数、本库库存自动计算计划调拨数量。支持本库库存全部调拨。支持按字典进行搜索定位药品信息。</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4</w:t>
      </w:r>
      <w:r>
        <w:rPr>
          <w:rFonts w:hint="eastAsia" w:cs="宋体"/>
          <w:b w:val="0"/>
          <w:bCs/>
          <w:szCs w:val="24"/>
        </w:rPr>
        <w:t>.2.2医联体调拨</w:t>
      </w:r>
    </w:p>
    <w:p>
      <w:pPr>
        <w:wordWrap/>
        <w:spacing w:line="360" w:lineRule="auto"/>
        <w:ind w:left="0" w:leftChars="0" w:firstLine="480" w:firstLineChars="200"/>
        <w:rPr>
          <w:rFonts w:hint="eastAsia" w:cs="宋体"/>
          <w:b w:val="0"/>
          <w:bCs/>
          <w:szCs w:val="24"/>
        </w:rPr>
      </w:pPr>
      <w:r>
        <w:rPr>
          <w:rFonts w:hint="eastAsia" w:cs="宋体"/>
          <w:b w:val="0"/>
          <w:bCs/>
          <w:szCs w:val="24"/>
        </w:rPr>
        <w:t>支持医联体范围内跨医院调拨。支持自选批次和不选批次进行调拨，不选批次时根据自定义出库规则进行出库。</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4</w:t>
      </w:r>
      <w:r>
        <w:rPr>
          <w:rFonts w:hint="eastAsia" w:cs="宋体"/>
          <w:b w:val="0"/>
          <w:bCs/>
          <w:szCs w:val="24"/>
        </w:rPr>
        <w:t>.2.3科室领用</w:t>
      </w:r>
    </w:p>
    <w:p>
      <w:pPr>
        <w:wordWrap/>
        <w:spacing w:line="360" w:lineRule="auto"/>
        <w:ind w:left="0" w:leftChars="0" w:firstLine="480" w:firstLineChars="200"/>
        <w:rPr>
          <w:rFonts w:hint="eastAsia" w:cs="宋体"/>
          <w:b w:val="0"/>
          <w:bCs/>
          <w:szCs w:val="24"/>
        </w:rPr>
      </w:pPr>
      <w:r>
        <w:rPr>
          <w:rFonts w:hint="eastAsia" w:cs="宋体"/>
          <w:b w:val="0"/>
          <w:bCs/>
          <w:szCs w:val="24"/>
        </w:rPr>
        <w:t>支持药品科室领用、科室退回、科室结余药品退回三种业务类型。支持自选批次和不选批次进行领用，不选批次时根据自定义出库规则进行出库。</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4</w:t>
      </w:r>
      <w:r>
        <w:rPr>
          <w:rFonts w:hint="eastAsia" w:cs="宋体"/>
          <w:b w:val="0"/>
          <w:bCs/>
          <w:szCs w:val="24"/>
        </w:rPr>
        <w:t>.2.4药品其他增减</w:t>
      </w:r>
    </w:p>
    <w:p>
      <w:pPr>
        <w:wordWrap/>
        <w:spacing w:line="360" w:lineRule="auto"/>
        <w:ind w:left="0" w:leftChars="0" w:firstLine="480" w:firstLineChars="200"/>
        <w:rPr>
          <w:rFonts w:hint="eastAsia" w:cs="宋体"/>
          <w:b w:val="0"/>
          <w:bCs/>
          <w:szCs w:val="24"/>
        </w:rPr>
      </w:pPr>
      <w:r>
        <w:rPr>
          <w:rFonts w:hint="eastAsia" w:cs="宋体"/>
          <w:b w:val="0"/>
          <w:bCs/>
          <w:szCs w:val="24"/>
        </w:rPr>
        <w:t>支持药品盘盈、盘亏、其他增加、其他减少、报损、赠送他人、患者领用等多种种业务类型。</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4</w:t>
      </w:r>
      <w:r>
        <w:rPr>
          <w:rFonts w:hint="eastAsia" w:cs="宋体"/>
          <w:b w:val="0"/>
          <w:bCs/>
          <w:szCs w:val="24"/>
        </w:rPr>
        <w:t>.3药品冲销</w:t>
      </w:r>
    </w:p>
    <w:p>
      <w:pPr>
        <w:wordWrap/>
        <w:spacing w:line="360" w:lineRule="auto"/>
        <w:ind w:left="0" w:leftChars="0" w:firstLine="480" w:firstLineChars="200"/>
        <w:rPr>
          <w:rFonts w:hint="eastAsia" w:cs="宋体"/>
          <w:b w:val="0"/>
          <w:bCs/>
          <w:szCs w:val="24"/>
        </w:rPr>
      </w:pPr>
      <w:r>
        <w:rPr>
          <w:rFonts w:hint="eastAsia" w:cs="宋体"/>
          <w:b w:val="0"/>
          <w:bCs/>
          <w:szCs w:val="24"/>
        </w:rPr>
        <w:t>支持多种药品冲销业务类型。支持选择要冲销的批次信息。</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4</w:t>
      </w:r>
      <w:r>
        <w:rPr>
          <w:rFonts w:hint="eastAsia" w:cs="宋体"/>
          <w:b w:val="0"/>
          <w:bCs/>
          <w:szCs w:val="24"/>
        </w:rPr>
        <w:t>.3.1药品退仓库</w:t>
      </w:r>
    </w:p>
    <w:p>
      <w:pPr>
        <w:wordWrap/>
        <w:spacing w:line="360" w:lineRule="auto"/>
        <w:ind w:left="0" w:leftChars="0" w:firstLine="480" w:firstLineChars="200"/>
        <w:rPr>
          <w:rFonts w:hint="eastAsia" w:cs="宋体"/>
          <w:b w:val="0"/>
          <w:bCs/>
          <w:szCs w:val="24"/>
        </w:rPr>
      </w:pPr>
      <w:r>
        <w:rPr>
          <w:rFonts w:hint="eastAsia" w:cs="宋体"/>
          <w:b w:val="0"/>
          <w:bCs/>
          <w:szCs w:val="24"/>
        </w:rPr>
        <w:t>支持选择原调拨单退仓库和直接选择药品退仓库两种模式。支持打印药品退库单。支持药品退仓库流程定义。</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4</w:t>
      </w:r>
      <w:r>
        <w:rPr>
          <w:rFonts w:hint="eastAsia" w:cs="宋体"/>
          <w:b w:val="0"/>
          <w:bCs/>
          <w:szCs w:val="24"/>
        </w:rPr>
        <w:t>.3.2药品采购退货</w:t>
      </w:r>
    </w:p>
    <w:p>
      <w:pPr>
        <w:wordWrap/>
        <w:spacing w:line="360" w:lineRule="auto"/>
        <w:ind w:left="0" w:leftChars="0" w:firstLine="480" w:firstLineChars="200"/>
        <w:rPr>
          <w:rFonts w:hint="eastAsia" w:cs="宋体"/>
          <w:b w:val="0"/>
          <w:bCs/>
          <w:szCs w:val="24"/>
        </w:rPr>
      </w:pPr>
      <w:r>
        <w:rPr>
          <w:rFonts w:hint="eastAsia" w:cs="宋体"/>
          <w:b w:val="0"/>
          <w:bCs/>
          <w:szCs w:val="24"/>
        </w:rPr>
        <w:t>支持按原单据批量退货。支持选择要采购退货的药品批次信息。</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4</w:t>
      </w:r>
      <w:r>
        <w:rPr>
          <w:rFonts w:hint="eastAsia" w:cs="宋体"/>
          <w:b w:val="0"/>
          <w:bCs/>
          <w:szCs w:val="24"/>
        </w:rPr>
        <w:t>.4药品盘存</w:t>
      </w:r>
    </w:p>
    <w:p>
      <w:pPr>
        <w:wordWrap/>
        <w:spacing w:line="360" w:lineRule="auto"/>
        <w:ind w:left="0" w:leftChars="0" w:firstLine="480" w:firstLineChars="200"/>
        <w:rPr>
          <w:rFonts w:hint="eastAsia" w:cs="宋体"/>
          <w:b w:val="0"/>
          <w:bCs/>
          <w:szCs w:val="24"/>
        </w:rPr>
      </w:pPr>
      <w:r>
        <w:rPr>
          <w:rFonts w:hint="eastAsia" w:cs="宋体"/>
          <w:b w:val="0"/>
          <w:bCs/>
          <w:szCs w:val="24"/>
        </w:rPr>
        <w:t>支持根据盘点数量自动生成本期盈亏数量、盈亏入库金额、盈亏批发金额、盈亏零售金额、剩余金额。</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4</w:t>
      </w:r>
      <w:r>
        <w:rPr>
          <w:rFonts w:hint="eastAsia" w:cs="宋体"/>
          <w:b w:val="0"/>
          <w:bCs/>
          <w:szCs w:val="24"/>
        </w:rPr>
        <w:t>.5调价管理</w:t>
      </w:r>
    </w:p>
    <w:p>
      <w:pPr>
        <w:wordWrap/>
        <w:spacing w:line="360" w:lineRule="auto"/>
        <w:ind w:left="0" w:leftChars="0" w:firstLine="480" w:firstLineChars="200"/>
        <w:rPr>
          <w:rFonts w:hint="eastAsia" w:cs="宋体"/>
          <w:b w:val="0"/>
          <w:bCs/>
          <w:szCs w:val="24"/>
        </w:rPr>
      </w:pPr>
      <w:r>
        <w:rPr>
          <w:rFonts w:hint="eastAsia" w:cs="宋体"/>
          <w:b w:val="0"/>
          <w:bCs/>
          <w:szCs w:val="24"/>
        </w:rPr>
        <w:t>支持填写调价名称、调价文号及备注信息。支持按批次调价、按药品编码批量调价、全院统一调价。</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4</w:t>
      </w:r>
      <w:r>
        <w:rPr>
          <w:rFonts w:hint="eastAsia" w:cs="宋体"/>
          <w:b w:val="0"/>
          <w:bCs/>
          <w:szCs w:val="24"/>
        </w:rPr>
        <w:t>.6采购计划</w:t>
      </w:r>
    </w:p>
    <w:p>
      <w:pPr>
        <w:wordWrap/>
        <w:spacing w:line="360" w:lineRule="auto"/>
        <w:ind w:left="0" w:leftChars="0" w:firstLine="480" w:firstLineChars="200"/>
        <w:rPr>
          <w:rFonts w:hint="eastAsia" w:cs="宋体"/>
          <w:b w:val="0"/>
          <w:bCs/>
          <w:szCs w:val="24"/>
        </w:rPr>
      </w:pPr>
      <w:r>
        <w:rPr>
          <w:rFonts w:hint="eastAsia" w:cs="宋体"/>
          <w:b w:val="0"/>
          <w:bCs/>
          <w:szCs w:val="24"/>
        </w:rPr>
        <w:t>支持定义药品全院最低库存、全院最高库存、本库最低库存、标准库存、采购单元等信息，生成药品采购计划模板。</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4</w:t>
      </w:r>
      <w:r>
        <w:rPr>
          <w:rFonts w:hint="eastAsia" w:cs="宋体"/>
          <w:b w:val="0"/>
          <w:bCs/>
          <w:szCs w:val="24"/>
        </w:rPr>
        <w:t>.7采购结算</w:t>
      </w:r>
    </w:p>
    <w:p>
      <w:pPr>
        <w:wordWrap/>
        <w:spacing w:line="360" w:lineRule="auto"/>
        <w:ind w:left="0" w:leftChars="0" w:firstLine="480" w:firstLineChars="200"/>
        <w:rPr>
          <w:rFonts w:hint="eastAsia" w:cs="宋体"/>
          <w:b w:val="0"/>
          <w:bCs/>
          <w:szCs w:val="24"/>
        </w:rPr>
      </w:pPr>
      <w:r>
        <w:rPr>
          <w:rFonts w:hint="eastAsia" w:cs="宋体"/>
          <w:b w:val="0"/>
          <w:bCs/>
          <w:szCs w:val="24"/>
        </w:rPr>
        <w:t>支持根据供货商、发票号、入库单据号选择要结算的入库记录。支持采购结算审核流程。</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4</w:t>
      </w:r>
      <w:r>
        <w:rPr>
          <w:rFonts w:hint="eastAsia" w:cs="宋体"/>
          <w:b w:val="0"/>
          <w:bCs/>
          <w:szCs w:val="24"/>
        </w:rPr>
        <w:t>.8账表汇总</w:t>
      </w:r>
    </w:p>
    <w:p>
      <w:pPr>
        <w:wordWrap/>
        <w:spacing w:line="360" w:lineRule="auto"/>
        <w:ind w:left="0" w:leftChars="0" w:firstLine="480" w:firstLineChars="200"/>
        <w:rPr>
          <w:rFonts w:hint="eastAsia" w:cs="宋体"/>
          <w:b w:val="0"/>
          <w:bCs/>
          <w:szCs w:val="24"/>
        </w:rPr>
      </w:pPr>
      <w:r>
        <w:rPr>
          <w:rFonts w:hint="eastAsia" w:cs="宋体"/>
          <w:b w:val="0"/>
          <w:bCs/>
          <w:szCs w:val="24"/>
        </w:rPr>
        <w:t>支持药品库存的日结、月结、年结功能，并能校对账目及库存的平衡关系；支持根据药库的各种操作信息，生成药品台账和进销存月报表。</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5</w:t>
      </w:r>
      <w:r>
        <w:rPr>
          <w:rFonts w:hint="eastAsia" w:cs="宋体"/>
          <w:b w:val="0"/>
          <w:bCs/>
          <w:szCs w:val="24"/>
        </w:rPr>
        <w:t>药房管理系统</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5</w:t>
      </w:r>
      <w:r>
        <w:rPr>
          <w:rFonts w:hint="eastAsia" w:cs="宋体"/>
          <w:b w:val="0"/>
          <w:bCs/>
          <w:szCs w:val="24"/>
        </w:rPr>
        <w:t>.1配发药管理</w:t>
      </w:r>
    </w:p>
    <w:p>
      <w:pPr>
        <w:wordWrap/>
        <w:spacing w:line="360" w:lineRule="auto"/>
        <w:ind w:left="0" w:leftChars="0" w:firstLine="480" w:firstLineChars="200"/>
        <w:rPr>
          <w:rFonts w:hint="eastAsia" w:cs="宋体"/>
          <w:b w:val="0"/>
          <w:bCs/>
          <w:szCs w:val="24"/>
        </w:rPr>
      </w:pPr>
      <w:r>
        <w:rPr>
          <w:rFonts w:hint="eastAsia" w:cs="宋体"/>
          <w:b w:val="0"/>
          <w:bCs/>
          <w:szCs w:val="24"/>
        </w:rPr>
        <w:t>支持预配药、见单配药、前后台配发药等多种配发药模式。支持西药、中成药、耗材或小型器械按照处方格式显示与打印。支持中草药按其特有处方格式显示并打印。</w:t>
      </w:r>
    </w:p>
    <w:p>
      <w:pPr>
        <w:wordWrap/>
        <w:spacing w:line="360" w:lineRule="auto"/>
        <w:ind w:left="0" w:leftChars="0" w:firstLine="480" w:firstLineChars="200"/>
        <w:rPr>
          <w:rFonts w:hint="eastAsia" w:cs="宋体"/>
          <w:b w:val="0"/>
          <w:bCs/>
          <w:szCs w:val="24"/>
        </w:rPr>
      </w:pPr>
      <w:r>
        <w:rPr>
          <w:rFonts w:hint="eastAsia" w:cs="宋体"/>
          <w:b w:val="0"/>
          <w:bCs/>
          <w:szCs w:val="24"/>
        </w:rPr>
        <w:t>支持多窗口同时发药及多门诊药房发药，提供二级审核功能。提供全处方退药与处方部分退药功能。</w:t>
      </w:r>
    </w:p>
    <w:p>
      <w:pPr>
        <w:wordWrap/>
        <w:spacing w:line="360" w:lineRule="auto"/>
        <w:ind w:left="0" w:leftChars="0" w:firstLine="480" w:firstLineChars="200"/>
        <w:rPr>
          <w:rFonts w:hint="eastAsia" w:cs="宋体"/>
          <w:b w:val="0"/>
          <w:bCs/>
          <w:szCs w:val="24"/>
        </w:rPr>
      </w:pPr>
      <w:r>
        <w:rPr>
          <w:rFonts w:hint="eastAsia" w:cs="宋体"/>
          <w:b w:val="0"/>
          <w:bCs/>
          <w:szCs w:val="24"/>
        </w:rPr>
        <w:t>提供LED显示排队功能，支持语音呼叫,提供多种显示方式对外显示配，取药排队信息及药品价格信息等功能。</w:t>
      </w:r>
    </w:p>
    <w:p>
      <w:pPr>
        <w:wordWrap/>
        <w:spacing w:line="360" w:lineRule="auto"/>
        <w:ind w:left="0" w:leftChars="0" w:firstLine="480" w:firstLineChars="200"/>
        <w:rPr>
          <w:rFonts w:hint="eastAsia" w:cs="宋体"/>
          <w:b w:val="0"/>
          <w:bCs/>
          <w:szCs w:val="24"/>
        </w:rPr>
      </w:pPr>
      <w:r>
        <w:rPr>
          <w:rFonts w:hint="eastAsia" w:cs="宋体"/>
          <w:b w:val="0"/>
          <w:bCs/>
          <w:szCs w:val="24"/>
        </w:rPr>
        <w:t>支持自动获取药品名称、规格、批号、价格、生产厂家、药品来源、药品剂型、属性、类别和住院患者等药品基本信息。</w:t>
      </w:r>
    </w:p>
    <w:p>
      <w:pPr>
        <w:wordWrap/>
        <w:spacing w:line="360" w:lineRule="auto"/>
        <w:ind w:left="0" w:leftChars="0" w:firstLine="480" w:firstLineChars="200"/>
        <w:rPr>
          <w:rFonts w:hint="eastAsia" w:cs="宋体"/>
          <w:b w:val="0"/>
          <w:bCs/>
          <w:szCs w:val="24"/>
        </w:rPr>
      </w:pPr>
      <w:r>
        <w:rPr>
          <w:rFonts w:hint="eastAsia" w:cs="宋体"/>
          <w:b w:val="0"/>
          <w:bCs/>
          <w:szCs w:val="24"/>
        </w:rPr>
        <w:t>支持患者根据医生开具的退药单在药房进行单独退药。支持病区批量退药。</w:t>
      </w:r>
    </w:p>
    <w:p>
      <w:pPr>
        <w:wordWrap/>
        <w:spacing w:line="360" w:lineRule="auto"/>
        <w:ind w:left="0" w:leftChars="0" w:firstLine="480" w:firstLineChars="200"/>
        <w:rPr>
          <w:rFonts w:hint="eastAsia" w:cs="宋体"/>
          <w:b w:val="0"/>
          <w:bCs/>
          <w:szCs w:val="24"/>
        </w:rPr>
      </w:pPr>
      <w:r>
        <w:rPr>
          <w:rFonts w:hint="eastAsia" w:cs="宋体"/>
          <w:b w:val="0"/>
          <w:bCs/>
          <w:szCs w:val="24"/>
        </w:rPr>
        <w:t>支持个人配药、集中配药、出院带药配药、针剂总量发药、口服摆药、口服补药、临嘱及首日摆药、临嘱及首日总量发药等多种配发药方式。</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5</w:t>
      </w:r>
      <w:r>
        <w:rPr>
          <w:rFonts w:hint="eastAsia" w:cs="宋体"/>
          <w:b w:val="0"/>
          <w:bCs/>
          <w:szCs w:val="24"/>
        </w:rPr>
        <w:t>.2药品库房管理</w:t>
      </w:r>
    </w:p>
    <w:p>
      <w:pPr>
        <w:wordWrap/>
        <w:spacing w:line="360" w:lineRule="auto"/>
        <w:ind w:left="0" w:leftChars="0" w:firstLine="480" w:firstLineChars="200"/>
        <w:rPr>
          <w:rFonts w:hint="eastAsia" w:cs="宋体"/>
          <w:b w:val="0"/>
          <w:bCs/>
          <w:szCs w:val="24"/>
        </w:rPr>
      </w:pPr>
      <w:r>
        <w:rPr>
          <w:rFonts w:hint="eastAsia" w:cs="宋体"/>
          <w:b w:val="0"/>
          <w:bCs/>
          <w:szCs w:val="24"/>
        </w:rPr>
        <w:t>支持按部门或个人查询具体的医嘱内容，显示药品库存信息、打印各种配药单和贴瓶单。</w:t>
      </w:r>
    </w:p>
    <w:p>
      <w:pPr>
        <w:wordWrap/>
        <w:spacing w:line="360" w:lineRule="auto"/>
        <w:ind w:left="0" w:leftChars="0" w:firstLine="480" w:firstLineChars="200"/>
        <w:rPr>
          <w:rFonts w:hint="eastAsia" w:cs="宋体"/>
          <w:b w:val="0"/>
          <w:bCs/>
          <w:szCs w:val="24"/>
        </w:rPr>
      </w:pPr>
      <w:r>
        <w:rPr>
          <w:rFonts w:hint="eastAsia" w:cs="宋体"/>
          <w:b w:val="0"/>
          <w:bCs/>
          <w:szCs w:val="24"/>
        </w:rPr>
        <w:t>支持住院药房药品的药库申领、取消申领及住院药房的进药、出药、调拨、报废、损耗和盘点等业务的管理。</w:t>
      </w:r>
    </w:p>
    <w:p>
      <w:pPr>
        <w:wordWrap/>
        <w:spacing w:line="360" w:lineRule="auto"/>
        <w:ind w:left="0" w:leftChars="0" w:firstLine="480" w:firstLineChars="200"/>
        <w:rPr>
          <w:rFonts w:hint="eastAsia" w:cs="宋体"/>
          <w:b w:val="0"/>
          <w:bCs/>
          <w:szCs w:val="24"/>
        </w:rPr>
      </w:pPr>
      <w:r>
        <w:rPr>
          <w:rFonts w:hint="eastAsia" w:cs="宋体"/>
          <w:b w:val="0"/>
          <w:bCs/>
          <w:szCs w:val="24"/>
        </w:rPr>
        <w:t>支持设置各科室二级库房，各科室提交的申领单只会在本科室库存系统中消帐，各科室二级库房由药房依据临床各科用药特点进行调拔。</w:t>
      </w:r>
    </w:p>
    <w:p>
      <w:pPr>
        <w:wordWrap/>
        <w:spacing w:line="360" w:lineRule="auto"/>
        <w:ind w:left="0" w:leftChars="0" w:firstLine="480" w:firstLineChars="200"/>
        <w:rPr>
          <w:rFonts w:hint="eastAsia" w:cs="宋体"/>
          <w:b w:val="0"/>
          <w:bCs/>
          <w:szCs w:val="24"/>
        </w:rPr>
      </w:pPr>
      <w:r>
        <w:rPr>
          <w:rFonts w:hint="eastAsia" w:cs="宋体"/>
          <w:b w:val="0"/>
          <w:bCs/>
          <w:szCs w:val="24"/>
        </w:rPr>
        <w:t>支持通过药品消耗量进行库存不足预警, 并自动生成药品领药计划申请单。</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5</w:t>
      </w:r>
      <w:r>
        <w:rPr>
          <w:rFonts w:hint="eastAsia" w:cs="宋体"/>
          <w:b w:val="0"/>
          <w:bCs/>
          <w:szCs w:val="24"/>
        </w:rPr>
        <w:t>.3调拨管理</w:t>
      </w:r>
    </w:p>
    <w:p>
      <w:pPr>
        <w:wordWrap/>
        <w:spacing w:line="360" w:lineRule="auto"/>
        <w:ind w:left="0" w:leftChars="0" w:firstLine="480" w:firstLineChars="200"/>
        <w:rPr>
          <w:rFonts w:hint="eastAsia" w:cs="宋体"/>
          <w:b w:val="0"/>
          <w:bCs/>
          <w:szCs w:val="24"/>
        </w:rPr>
      </w:pPr>
      <w:r>
        <w:rPr>
          <w:rFonts w:hint="eastAsia" w:cs="宋体"/>
          <w:b w:val="0"/>
          <w:bCs/>
          <w:szCs w:val="24"/>
        </w:rPr>
        <w:t>支持本药房的调拨申请、审核、药品其他增减、药房换药、患者领药申请、审核功能。</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5</w:t>
      </w:r>
      <w:r>
        <w:rPr>
          <w:rFonts w:hint="eastAsia" w:cs="宋体"/>
          <w:b w:val="0"/>
          <w:bCs/>
          <w:szCs w:val="24"/>
        </w:rPr>
        <w:t>.4借还药管理</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5</w:t>
      </w:r>
      <w:r>
        <w:rPr>
          <w:rFonts w:hint="eastAsia" w:cs="宋体"/>
          <w:b w:val="0"/>
          <w:bCs/>
          <w:szCs w:val="24"/>
        </w:rPr>
        <w:t>.4.1借药还药：</w:t>
      </w:r>
    </w:p>
    <w:p>
      <w:pPr>
        <w:wordWrap/>
        <w:spacing w:line="360" w:lineRule="auto"/>
        <w:ind w:left="0" w:leftChars="0" w:firstLine="480" w:firstLineChars="200"/>
        <w:rPr>
          <w:rFonts w:hint="eastAsia" w:cs="宋体"/>
          <w:b w:val="0"/>
          <w:bCs/>
          <w:szCs w:val="24"/>
        </w:rPr>
      </w:pPr>
      <w:r>
        <w:rPr>
          <w:rFonts w:hint="eastAsia" w:cs="宋体"/>
          <w:b w:val="0"/>
          <w:bCs/>
          <w:szCs w:val="24"/>
        </w:rPr>
        <w:t>支持借药人将原品规的药品归还给相对应的药房，系统恢复对应借出药品的库存。</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5</w:t>
      </w:r>
      <w:r>
        <w:rPr>
          <w:rFonts w:hint="eastAsia" w:cs="宋体"/>
          <w:b w:val="0"/>
          <w:bCs/>
          <w:szCs w:val="24"/>
        </w:rPr>
        <w:t>.4.2借药还钱：</w:t>
      </w:r>
    </w:p>
    <w:p>
      <w:pPr>
        <w:wordWrap/>
        <w:spacing w:line="360" w:lineRule="auto"/>
        <w:ind w:left="0" w:leftChars="0" w:firstLine="480" w:firstLineChars="200"/>
        <w:rPr>
          <w:rFonts w:hint="eastAsia" w:cs="宋体"/>
          <w:b w:val="0"/>
          <w:bCs/>
          <w:szCs w:val="24"/>
        </w:rPr>
      </w:pPr>
      <w:r>
        <w:rPr>
          <w:rFonts w:hint="eastAsia" w:cs="宋体"/>
          <w:b w:val="0"/>
          <w:bCs/>
          <w:szCs w:val="24"/>
        </w:rPr>
        <w:t>支持收费室将借药单据生成收费单，借药人直接缴款，系统完成借药单收费。</w:t>
      </w:r>
    </w:p>
    <w:p>
      <w:pPr>
        <w:wordWrap/>
        <w:spacing w:line="360" w:lineRule="auto"/>
        <w:ind w:left="0" w:leftChars="0" w:firstLine="480" w:firstLineChars="200"/>
        <w:rPr>
          <w:rFonts w:hint="eastAsia" w:cs="宋体"/>
          <w:b w:val="0"/>
          <w:bCs/>
          <w:szCs w:val="24"/>
        </w:rPr>
      </w:pPr>
      <w:r>
        <w:rPr>
          <w:rFonts w:hint="eastAsia" w:cs="宋体"/>
          <w:b w:val="0"/>
          <w:bCs/>
          <w:szCs w:val="24"/>
        </w:rPr>
        <w:t>支持按人员、药品类型、借还状态对借还药情况进行查询统计。</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5</w:t>
      </w:r>
      <w:r>
        <w:rPr>
          <w:rFonts w:hint="eastAsia" w:cs="宋体"/>
          <w:b w:val="0"/>
          <w:bCs/>
          <w:szCs w:val="24"/>
        </w:rPr>
        <w:t>.4.3病区周转药管理</w:t>
      </w:r>
    </w:p>
    <w:p>
      <w:pPr>
        <w:wordWrap/>
        <w:spacing w:line="360" w:lineRule="auto"/>
        <w:ind w:left="0" w:leftChars="0" w:firstLine="480" w:firstLineChars="200"/>
        <w:rPr>
          <w:rFonts w:hint="eastAsia" w:cs="宋体"/>
          <w:b w:val="0"/>
          <w:bCs/>
          <w:szCs w:val="24"/>
        </w:rPr>
      </w:pPr>
      <w:r>
        <w:rPr>
          <w:rFonts w:hint="eastAsia" w:cs="宋体"/>
          <w:b w:val="0"/>
          <w:bCs/>
          <w:szCs w:val="24"/>
        </w:rPr>
        <w:t>支持病区周转借药。支持按批次借药。支持病区周转借药审核。</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6</w:t>
      </w:r>
      <w:r>
        <w:rPr>
          <w:rFonts w:hint="eastAsia" w:cs="宋体"/>
          <w:b w:val="0"/>
          <w:bCs/>
          <w:szCs w:val="24"/>
        </w:rPr>
        <w:t>人事管理系统</w:t>
      </w:r>
    </w:p>
    <w:p>
      <w:pPr>
        <w:wordWrap/>
        <w:spacing w:line="360" w:lineRule="auto"/>
        <w:ind w:left="0" w:leftChars="0" w:firstLine="480" w:firstLineChars="200"/>
        <w:rPr>
          <w:rFonts w:hint="eastAsia" w:cs="宋体"/>
          <w:b w:val="0"/>
          <w:bCs/>
          <w:szCs w:val="24"/>
        </w:rPr>
      </w:pPr>
      <w:r>
        <w:rPr>
          <w:rFonts w:hint="eastAsia" w:cs="宋体"/>
          <w:b w:val="0"/>
          <w:bCs/>
          <w:szCs w:val="24"/>
        </w:rPr>
        <w:t>支持各项人事信息的录入和查询。可查询各项人力资源业务产生的数据，如合同、薪酬、个人培训信息等；通过档案管理生成档案目录、个人档案表、档案履历等；通过报表管理生成各种人事统计报表；记录合同的签订、续签、终止等；通过工作提醒可进行合同到期、生日提醒、退休提醒等各种到期提示。</w:t>
      </w:r>
    </w:p>
    <w:p>
      <w:pPr>
        <w:wordWrap/>
        <w:spacing w:line="360" w:lineRule="auto"/>
        <w:ind w:left="0" w:leftChars="0" w:firstLine="480" w:firstLineChars="200"/>
        <w:rPr>
          <w:rFonts w:hint="eastAsia" w:cs="宋体"/>
          <w:b w:val="0"/>
          <w:bCs/>
          <w:szCs w:val="24"/>
        </w:rPr>
      </w:pPr>
      <w:r>
        <w:rPr>
          <w:rFonts w:hint="eastAsia" w:cs="宋体"/>
          <w:b w:val="0"/>
          <w:bCs/>
          <w:szCs w:val="24"/>
        </w:rPr>
        <w:t>3.5</w:t>
      </w:r>
      <w:r>
        <w:rPr>
          <w:rFonts w:hint="eastAsia" w:cs="宋体"/>
          <w:b w:val="0"/>
          <w:bCs/>
          <w:szCs w:val="24"/>
          <w:lang w:val="en-US" w:eastAsia="zh-CN"/>
        </w:rPr>
        <w:t>7</w:t>
      </w:r>
      <w:r>
        <w:rPr>
          <w:rFonts w:hint="eastAsia" w:cs="宋体"/>
          <w:b w:val="0"/>
          <w:bCs/>
          <w:szCs w:val="24"/>
        </w:rPr>
        <w:t>薪资管理系统</w:t>
      </w:r>
    </w:p>
    <w:p>
      <w:pPr>
        <w:wordWrap/>
        <w:spacing w:line="360" w:lineRule="auto"/>
        <w:ind w:left="0" w:leftChars="0" w:firstLine="480" w:firstLineChars="200"/>
        <w:rPr>
          <w:rFonts w:hint="eastAsia" w:cs="宋体"/>
          <w:b w:val="0"/>
          <w:bCs/>
          <w:szCs w:val="24"/>
        </w:rPr>
      </w:pPr>
      <w:r>
        <w:rPr>
          <w:rFonts w:hint="eastAsia" w:cs="宋体"/>
          <w:b w:val="0"/>
          <w:bCs/>
          <w:szCs w:val="24"/>
        </w:rPr>
        <w:t>录每个员工的基本工资、保险基数、公积金基数等基本工资信息，可通过工资变更单实现工资调整；</w:t>
      </w:r>
    </w:p>
    <w:p>
      <w:pPr>
        <w:wordWrap/>
        <w:spacing w:line="360" w:lineRule="auto"/>
        <w:ind w:left="0" w:leftChars="0" w:firstLine="480" w:firstLineChars="200"/>
        <w:rPr>
          <w:rFonts w:hint="eastAsia" w:cs="宋体"/>
          <w:b w:val="0"/>
          <w:bCs/>
          <w:szCs w:val="24"/>
        </w:rPr>
      </w:pPr>
      <w:r>
        <w:rPr>
          <w:rFonts w:hint="eastAsia" w:cs="宋体"/>
          <w:b w:val="0"/>
          <w:bCs/>
          <w:szCs w:val="24"/>
        </w:rPr>
        <w:t>系统支持多帐套管理，每个帐套可建立多个工资项目，还可根据自身需要为工资项目创建复杂的计算公式；</w:t>
      </w:r>
    </w:p>
    <w:p>
      <w:pPr>
        <w:wordWrap/>
        <w:spacing w:line="360" w:lineRule="auto"/>
        <w:ind w:left="0" w:leftChars="0" w:firstLine="480" w:firstLineChars="200"/>
        <w:rPr>
          <w:rFonts w:hint="eastAsia" w:cs="宋体"/>
          <w:b w:val="0"/>
          <w:bCs/>
          <w:szCs w:val="24"/>
        </w:rPr>
      </w:pPr>
      <w:r>
        <w:rPr>
          <w:rFonts w:hint="eastAsia" w:cs="宋体"/>
          <w:b w:val="0"/>
          <w:bCs/>
          <w:szCs w:val="24"/>
        </w:rPr>
        <w:t>与考勤系统和绩效考核系统挂接，可以将计算工资所需要的考勤数据以及绩效分数带入到工资表，参与到工资计算；</w:t>
      </w:r>
    </w:p>
    <w:p>
      <w:pPr>
        <w:wordWrap/>
        <w:spacing w:line="360" w:lineRule="auto"/>
        <w:ind w:left="0" w:leftChars="0" w:firstLine="480" w:firstLineChars="200"/>
        <w:rPr>
          <w:rFonts w:hint="eastAsia" w:cs="宋体"/>
          <w:b w:val="0"/>
          <w:bCs/>
          <w:szCs w:val="24"/>
        </w:rPr>
      </w:pPr>
      <w:r>
        <w:rPr>
          <w:rFonts w:hint="eastAsia" w:cs="宋体"/>
          <w:b w:val="0"/>
          <w:bCs/>
          <w:szCs w:val="24"/>
        </w:rPr>
        <w:t>工资核算时，系统能够用Excel表或引用其他月份工资的形式，对指定的工资项进行批量导入；</w:t>
      </w:r>
    </w:p>
    <w:p>
      <w:pPr>
        <w:wordWrap/>
        <w:spacing w:line="360" w:lineRule="auto"/>
        <w:ind w:left="0" w:leftChars="0" w:firstLine="480" w:firstLineChars="200"/>
        <w:rPr>
          <w:rFonts w:hint="eastAsia" w:cs="宋体"/>
          <w:b w:val="0"/>
          <w:bCs/>
          <w:szCs w:val="24"/>
        </w:rPr>
      </w:pPr>
      <w:r>
        <w:rPr>
          <w:rFonts w:hint="eastAsia" w:cs="宋体"/>
          <w:b w:val="0"/>
          <w:bCs/>
          <w:szCs w:val="24"/>
        </w:rPr>
        <w:t>生成工资表时，系统会根据工资帐套设置自动算出员工的实发工资，并支持数据的引入和打印等功能；</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58</w:t>
      </w:r>
      <w:r>
        <w:rPr>
          <w:rFonts w:hint="eastAsia" w:cs="宋体"/>
          <w:b w:val="0"/>
          <w:bCs/>
          <w:szCs w:val="24"/>
        </w:rPr>
        <w:t>材料管理系统</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58</w:t>
      </w:r>
      <w:r>
        <w:rPr>
          <w:rFonts w:hint="eastAsia" w:cs="宋体"/>
          <w:b w:val="0"/>
          <w:bCs/>
          <w:szCs w:val="24"/>
        </w:rPr>
        <w:t>.1入库管理</w:t>
      </w:r>
    </w:p>
    <w:p>
      <w:pPr>
        <w:wordWrap/>
        <w:spacing w:line="360" w:lineRule="auto"/>
        <w:ind w:left="0" w:leftChars="0" w:firstLine="480" w:firstLineChars="200"/>
        <w:rPr>
          <w:rFonts w:hint="eastAsia" w:cs="宋体"/>
          <w:b w:val="0"/>
          <w:bCs/>
          <w:szCs w:val="24"/>
        </w:rPr>
      </w:pPr>
      <w:r>
        <w:rPr>
          <w:rFonts w:hint="eastAsia" w:cs="宋体"/>
          <w:b w:val="0"/>
          <w:bCs/>
          <w:szCs w:val="24"/>
        </w:rPr>
        <w:t>支持多种不同的入库类型，如外购入库、初始盘存、检验试剂入库等。支持提交后自动打印入库单。支持入库审核后自动增加材料库存。支持根据医院情况定义入库流程。</w:t>
      </w:r>
    </w:p>
    <w:p>
      <w:pPr>
        <w:wordWrap/>
        <w:spacing w:line="360" w:lineRule="auto"/>
        <w:ind w:left="0" w:leftChars="0" w:firstLine="480" w:firstLineChars="200"/>
        <w:rPr>
          <w:rFonts w:hint="eastAsia" w:cs="宋体"/>
          <w:b w:val="0"/>
          <w:bCs/>
          <w:szCs w:val="24"/>
        </w:rPr>
      </w:pPr>
      <w:r>
        <w:rPr>
          <w:rFonts w:hint="eastAsia" w:cs="宋体"/>
          <w:b w:val="0"/>
          <w:bCs/>
          <w:szCs w:val="24"/>
        </w:rPr>
        <w:t>支持补充登记药品生产厂家、生产批号、批准文号、发票号、生产日期、有效期等信息。</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58</w:t>
      </w:r>
      <w:r>
        <w:rPr>
          <w:rFonts w:hint="eastAsia" w:cs="宋体"/>
          <w:b w:val="0"/>
          <w:bCs/>
          <w:szCs w:val="24"/>
        </w:rPr>
        <w:t>.2材料出库</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58</w:t>
      </w:r>
      <w:r>
        <w:rPr>
          <w:rFonts w:hint="eastAsia" w:cs="宋体"/>
          <w:b w:val="0"/>
          <w:bCs/>
          <w:szCs w:val="24"/>
        </w:rPr>
        <w:t>.2.1材料调拨</w:t>
      </w:r>
    </w:p>
    <w:p>
      <w:pPr>
        <w:wordWrap/>
        <w:spacing w:line="360" w:lineRule="auto"/>
        <w:ind w:left="0" w:leftChars="0" w:firstLine="480" w:firstLineChars="200"/>
        <w:rPr>
          <w:rFonts w:hint="eastAsia" w:cs="宋体"/>
          <w:b w:val="0"/>
          <w:bCs/>
          <w:szCs w:val="24"/>
        </w:rPr>
      </w:pPr>
      <w:r>
        <w:rPr>
          <w:rFonts w:hint="eastAsia" w:cs="宋体"/>
          <w:b w:val="0"/>
          <w:bCs/>
          <w:szCs w:val="24"/>
        </w:rPr>
        <w:t>支持根据参数配置自选批次和不选批次进行调拨，不选批次时根据先进先出规则进行调拨。支持调拨流程自定义，是否需要调拨审核、调拨签收。</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58</w:t>
      </w:r>
      <w:r>
        <w:rPr>
          <w:rFonts w:hint="eastAsia" w:cs="宋体"/>
          <w:b w:val="0"/>
          <w:bCs/>
          <w:szCs w:val="24"/>
        </w:rPr>
        <w:t>.2.2材料退仓库</w:t>
      </w:r>
    </w:p>
    <w:p>
      <w:pPr>
        <w:wordWrap/>
        <w:spacing w:line="360" w:lineRule="auto"/>
        <w:ind w:left="0" w:leftChars="0" w:firstLine="480" w:firstLineChars="200"/>
        <w:rPr>
          <w:rFonts w:hint="eastAsia" w:cs="宋体"/>
          <w:b w:val="0"/>
          <w:bCs/>
          <w:szCs w:val="24"/>
        </w:rPr>
      </w:pPr>
      <w:r>
        <w:rPr>
          <w:rFonts w:hint="eastAsia" w:cs="宋体"/>
          <w:b w:val="0"/>
          <w:bCs/>
          <w:szCs w:val="24"/>
        </w:rPr>
        <w:t>支持选择要退仓库的药品批次信息。支持打印药品退库单。</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58</w:t>
      </w:r>
      <w:r>
        <w:rPr>
          <w:rFonts w:hint="eastAsia" w:cs="宋体"/>
          <w:b w:val="0"/>
          <w:bCs/>
          <w:szCs w:val="24"/>
        </w:rPr>
        <w:t>.2.3材料其他增减</w:t>
      </w:r>
    </w:p>
    <w:p>
      <w:pPr>
        <w:wordWrap/>
        <w:spacing w:line="360" w:lineRule="auto"/>
        <w:ind w:left="0" w:leftChars="0" w:firstLine="480" w:firstLineChars="200"/>
        <w:rPr>
          <w:rFonts w:hint="eastAsia" w:cs="宋体"/>
          <w:b w:val="0"/>
          <w:bCs/>
          <w:szCs w:val="24"/>
        </w:rPr>
      </w:pPr>
      <w:r>
        <w:rPr>
          <w:rFonts w:hint="eastAsia" w:cs="宋体"/>
          <w:b w:val="0"/>
          <w:bCs/>
          <w:szCs w:val="24"/>
        </w:rPr>
        <w:t>支持材料其他增加、其他减少、报损等多种种业务类型。支持自选批次进行增减，根据先进先出规则进行增减。</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58</w:t>
      </w:r>
      <w:r>
        <w:rPr>
          <w:rFonts w:hint="eastAsia" w:cs="宋体"/>
          <w:b w:val="0"/>
          <w:bCs/>
          <w:szCs w:val="24"/>
        </w:rPr>
        <w:t>.2.4材料冲销</w:t>
      </w:r>
    </w:p>
    <w:p>
      <w:pPr>
        <w:wordWrap/>
        <w:spacing w:line="360" w:lineRule="auto"/>
        <w:ind w:left="0" w:leftChars="0" w:firstLine="480" w:firstLineChars="200"/>
        <w:rPr>
          <w:rFonts w:hint="eastAsia" w:cs="宋体"/>
          <w:b w:val="0"/>
          <w:bCs/>
          <w:szCs w:val="24"/>
        </w:rPr>
      </w:pPr>
      <w:r>
        <w:rPr>
          <w:rFonts w:hint="eastAsia" w:cs="宋体"/>
          <w:b w:val="0"/>
          <w:bCs/>
          <w:szCs w:val="24"/>
        </w:rPr>
        <w:t>支持多种材料冲销业务类型。支持根据要冲销的业务类型提取原始单据信息。支持选择要冲销的批次信息。</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58</w:t>
      </w:r>
      <w:r>
        <w:rPr>
          <w:rFonts w:hint="eastAsia" w:cs="宋体"/>
          <w:b w:val="0"/>
          <w:bCs/>
          <w:szCs w:val="24"/>
        </w:rPr>
        <w:t>.2.5材料采购退货</w:t>
      </w:r>
    </w:p>
    <w:p>
      <w:pPr>
        <w:wordWrap/>
        <w:spacing w:line="360" w:lineRule="auto"/>
        <w:ind w:left="0" w:leftChars="0" w:firstLine="480" w:firstLineChars="200"/>
        <w:rPr>
          <w:rFonts w:hint="eastAsia" w:cs="宋体"/>
          <w:b w:val="0"/>
          <w:bCs/>
          <w:szCs w:val="24"/>
        </w:rPr>
      </w:pPr>
      <w:r>
        <w:rPr>
          <w:rFonts w:hint="eastAsia" w:cs="宋体"/>
          <w:b w:val="0"/>
          <w:bCs/>
          <w:szCs w:val="24"/>
        </w:rPr>
        <w:t>支持选择要采购退货的材料批次信息。支持打印材料退货单。</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58</w:t>
      </w:r>
      <w:r>
        <w:rPr>
          <w:rFonts w:hint="eastAsia" w:cs="宋体"/>
          <w:b w:val="0"/>
          <w:bCs/>
          <w:szCs w:val="24"/>
        </w:rPr>
        <w:t>.3库存管理</w:t>
      </w:r>
    </w:p>
    <w:p>
      <w:pPr>
        <w:wordWrap/>
        <w:spacing w:line="360" w:lineRule="auto"/>
        <w:ind w:left="0" w:leftChars="0" w:firstLine="480" w:firstLineChars="200"/>
        <w:rPr>
          <w:rFonts w:hint="eastAsia" w:cs="宋体"/>
          <w:b w:val="0"/>
          <w:bCs/>
          <w:szCs w:val="24"/>
        </w:rPr>
      </w:pPr>
      <w:r>
        <w:rPr>
          <w:rFonts w:hint="eastAsia" w:cs="宋体"/>
          <w:b w:val="0"/>
          <w:bCs/>
          <w:szCs w:val="24"/>
        </w:rPr>
        <w:t>支持根据盘点数量自动生成盈亏数量、入库盈亏金额、出库盈亏金额。支持显示材料名称、规格、货位、实盘数量、单位等信息。</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58</w:t>
      </w:r>
      <w:r>
        <w:rPr>
          <w:rFonts w:hint="eastAsia" w:cs="宋体"/>
          <w:b w:val="0"/>
          <w:bCs/>
          <w:szCs w:val="24"/>
        </w:rPr>
        <w:t>.4材料调价</w:t>
      </w:r>
    </w:p>
    <w:p>
      <w:pPr>
        <w:wordWrap/>
        <w:spacing w:line="360" w:lineRule="auto"/>
        <w:ind w:left="0" w:leftChars="0" w:firstLine="480" w:firstLineChars="200"/>
        <w:rPr>
          <w:rFonts w:hint="eastAsia" w:cs="宋体"/>
          <w:b w:val="0"/>
          <w:bCs/>
          <w:szCs w:val="24"/>
        </w:rPr>
      </w:pPr>
      <w:r>
        <w:rPr>
          <w:rFonts w:hint="eastAsia" w:cs="宋体"/>
          <w:b w:val="0"/>
          <w:bCs/>
          <w:szCs w:val="24"/>
        </w:rPr>
        <w:t>支持填写调价名称、调价文号及备注信息。支持按批次调价、按材料编码批量调价、全院统一调价。支持调整材料入库价、零售价。</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58</w:t>
      </w:r>
      <w:r>
        <w:rPr>
          <w:rFonts w:hint="eastAsia" w:cs="宋体"/>
          <w:b w:val="0"/>
          <w:bCs/>
          <w:szCs w:val="24"/>
        </w:rPr>
        <w:t>.5采购计划</w:t>
      </w:r>
    </w:p>
    <w:p>
      <w:pPr>
        <w:wordWrap/>
        <w:spacing w:line="360" w:lineRule="auto"/>
        <w:ind w:left="0" w:leftChars="0" w:firstLine="480" w:firstLineChars="200"/>
        <w:rPr>
          <w:rFonts w:hint="eastAsia" w:cs="宋体"/>
          <w:b w:val="0"/>
          <w:bCs/>
          <w:szCs w:val="24"/>
        </w:rPr>
      </w:pPr>
      <w:r>
        <w:rPr>
          <w:rFonts w:hint="eastAsia" w:cs="宋体"/>
          <w:b w:val="0"/>
          <w:bCs/>
          <w:szCs w:val="24"/>
        </w:rPr>
        <w:t>支持定义材料全院最低库存、全院最高库存、本库最低库存、标准库存、采购单元等信息，生成材料采购计划模板。</w:t>
      </w:r>
    </w:p>
    <w:p>
      <w:pPr>
        <w:wordWrap/>
        <w:spacing w:line="360" w:lineRule="auto"/>
        <w:ind w:left="0" w:leftChars="0" w:firstLine="480" w:firstLineChars="200"/>
        <w:rPr>
          <w:rFonts w:hint="eastAsia" w:cs="宋体"/>
          <w:b w:val="0"/>
          <w:bCs/>
          <w:szCs w:val="24"/>
        </w:rPr>
      </w:pPr>
      <w:r>
        <w:rPr>
          <w:rFonts w:hint="eastAsia" w:cs="宋体"/>
          <w:b w:val="0"/>
          <w:bCs/>
          <w:szCs w:val="24"/>
        </w:rPr>
        <w:t>支持按采购计划模板生成采购计划。支持按用量填充、最高库存、最低库存、标准库存自动生成采购计划。</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58</w:t>
      </w:r>
      <w:r>
        <w:rPr>
          <w:rFonts w:hint="eastAsia" w:cs="宋体"/>
          <w:b w:val="0"/>
          <w:bCs/>
          <w:szCs w:val="24"/>
        </w:rPr>
        <w:t>.6采购结算</w:t>
      </w:r>
    </w:p>
    <w:p>
      <w:pPr>
        <w:wordWrap/>
        <w:spacing w:line="360" w:lineRule="auto"/>
        <w:ind w:left="0" w:leftChars="0" w:firstLine="480" w:firstLineChars="200"/>
        <w:rPr>
          <w:rFonts w:hint="eastAsia" w:cs="宋体"/>
          <w:b w:val="0"/>
          <w:bCs/>
          <w:szCs w:val="24"/>
        </w:rPr>
      </w:pPr>
      <w:r>
        <w:rPr>
          <w:rFonts w:hint="eastAsia" w:cs="宋体"/>
          <w:b w:val="0"/>
          <w:bCs/>
          <w:szCs w:val="24"/>
        </w:rPr>
        <w:t>支持根据供货商、发票号、入库单据号选择要结算的入库记录。</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59</w:t>
      </w:r>
      <w:r>
        <w:rPr>
          <w:rFonts w:hint="eastAsia" w:cs="宋体"/>
          <w:b w:val="0"/>
          <w:bCs/>
          <w:szCs w:val="24"/>
        </w:rPr>
        <w:t>高值耗材管理系统</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59</w:t>
      </w:r>
      <w:r>
        <w:rPr>
          <w:rFonts w:hint="eastAsia" w:cs="宋体"/>
          <w:b w:val="0"/>
          <w:bCs/>
          <w:szCs w:val="24"/>
        </w:rPr>
        <w:t>.1高值耗材入库</w:t>
      </w:r>
    </w:p>
    <w:p>
      <w:pPr>
        <w:wordWrap/>
        <w:spacing w:line="360" w:lineRule="auto"/>
        <w:ind w:left="0" w:leftChars="0" w:firstLine="480" w:firstLineChars="200"/>
        <w:rPr>
          <w:rFonts w:hint="eastAsia" w:cs="宋体"/>
          <w:b w:val="0"/>
          <w:bCs/>
          <w:szCs w:val="24"/>
        </w:rPr>
      </w:pPr>
      <w:r>
        <w:rPr>
          <w:rFonts w:hint="eastAsia" w:cs="宋体"/>
          <w:b w:val="0"/>
          <w:bCs/>
          <w:szCs w:val="24"/>
        </w:rPr>
        <w:t>支持高值耗材入库根据字典自动填充部分入库信息。选填生产批号、生产日期、有效期、注册证号、生产厂家、中标价、验收结论、灭菌批号、产地、发票号、备注等信息。</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59</w:t>
      </w:r>
      <w:r>
        <w:rPr>
          <w:rFonts w:hint="eastAsia" w:cs="宋体"/>
          <w:b w:val="0"/>
          <w:bCs/>
          <w:szCs w:val="24"/>
        </w:rPr>
        <w:t>.2高值耗材调拨</w:t>
      </w:r>
    </w:p>
    <w:p>
      <w:pPr>
        <w:wordWrap/>
        <w:spacing w:line="360" w:lineRule="auto"/>
        <w:ind w:left="0" w:leftChars="0" w:firstLine="480" w:firstLineChars="200"/>
        <w:rPr>
          <w:rFonts w:hint="eastAsia" w:cs="宋体"/>
          <w:b w:val="0"/>
          <w:bCs/>
          <w:szCs w:val="24"/>
        </w:rPr>
      </w:pPr>
      <w:r>
        <w:rPr>
          <w:rFonts w:hint="eastAsia" w:cs="宋体"/>
          <w:b w:val="0"/>
          <w:bCs/>
          <w:szCs w:val="24"/>
        </w:rPr>
        <w:t>支持不选批次调拨，调拨规则默认先进先出，调拨审核后，自动显示调拨单内条码信息。支持自选条码调拨，根据选择条码数量自动生成调拨数量。</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59</w:t>
      </w:r>
      <w:r>
        <w:rPr>
          <w:rFonts w:hint="eastAsia" w:cs="宋体"/>
          <w:b w:val="0"/>
          <w:bCs/>
          <w:szCs w:val="24"/>
        </w:rPr>
        <w:t>.3高值耗材退仓库</w:t>
      </w:r>
    </w:p>
    <w:p>
      <w:pPr>
        <w:wordWrap/>
        <w:spacing w:line="360" w:lineRule="auto"/>
        <w:ind w:left="0" w:leftChars="0" w:firstLine="480" w:firstLineChars="200"/>
        <w:rPr>
          <w:rFonts w:hint="eastAsia" w:cs="宋体"/>
          <w:b w:val="0"/>
          <w:bCs/>
          <w:szCs w:val="24"/>
        </w:rPr>
      </w:pPr>
      <w:r>
        <w:rPr>
          <w:rFonts w:hint="eastAsia" w:cs="宋体"/>
          <w:b w:val="0"/>
          <w:bCs/>
          <w:szCs w:val="24"/>
        </w:rPr>
        <w:t>支持高值耗材退仓库时根据条码数量生成退仓库数量。支持高值耗材退仓库必选条码。</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59</w:t>
      </w:r>
      <w:r>
        <w:rPr>
          <w:rFonts w:hint="eastAsia" w:cs="宋体"/>
          <w:b w:val="0"/>
          <w:bCs/>
          <w:szCs w:val="24"/>
        </w:rPr>
        <w:t>.4高值耗材变动</w:t>
      </w:r>
    </w:p>
    <w:p>
      <w:pPr>
        <w:wordWrap/>
        <w:spacing w:line="360" w:lineRule="auto"/>
        <w:ind w:left="0" w:leftChars="0" w:firstLine="480" w:firstLineChars="200"/>
        <w:rPr>
          <w:rFonts w:hint="eastAsia" w:cs="宋体"/>
          <w:b w:val="0"/>
          <w:bCs/>
          <w:szCs w:val="24"/>
        </w:rPr>
      </w:pPr>
      <w:r>
        <w:rPr>
          <w:rFonts w:hint="eastAsia" w:cs="宋体"/>
          <w:b w:val="0"/>
          <w:bCs/>
          <w:szCs w:val="24"/>
        </w:rPr>
        <w:t>支持高值耗材外购退货、报损、其他减少，并根据业务类型选择供货单位。支持高值耗材变动时根据条码数量生成变动数量。支持高值耗材变动必选条码。</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59</w:t>
      </w:r>
      <w:r>
        <w:rPr>
          <w:rFonts w:hint="eastAsia" w:cs="宋体"/>
          <w:b w:val="0"/>
          <w:bCs/>
          <w:szCs w:val="24"/>
        </w:rPr>
        <w:t>.5高值耗材使用</w:t>
      </w:r>
    </w:p>
    <w:p>
      <w:pPr>
        <w:wordWrap/>
        <w:spacing w:line="360" w:lineRule="auto"/>
        <w:ind w:left="0" w:leftChars="0" w:firstLine="480" w:firstLineChars="200"/>
        <w:rPr>
          <w:rFonts w:hint="eastAsia" w:cs="宋体"/>
          <w:b w:val="0"/>
          <w:bCs/>
          <w:szCs w:val="24"/>
        </w:rPr>
      </w:pPr>
      <w:r>
        <w:rPr>
          <w:rFonts w:hint="eastAsia" w:cs="宋体"/>
          <w:b w:val="0"/>
          <w:bCs/>
          <w:szCs w:val="24"/>
        </w:rPr>
        <w:t>支持高值耗材扫码使用。支持高值耗材门诊、住院、医生站、护士站、收费处进行计费。支持高值耗材已开未收费时自动锁定。</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59</w:t>
      </w:r>
      <w:r>
        <w:rPr>
          <w:rFonts w:hint="eastAsia" w:cs="宋体"/>
          <w:b w:val="0"/>
          <w:bCs/>
          <w:szCs w:val="24"/>
        </w:rPr>
        <w:t>.6高值耗材追溯</w:t>
      </w:r>
    </w:p>
    <w:p>
      <w:pPr>
        <w:wordWrap/>
        <w:spacing w:line="360" w:lineRule="auto"/>
        <w:ind w:left="0" w:leftChars="0" w:firstLine="480" w:firstLineChars="200"/>
        <w:rPr>
          <w:rFonts w:hint="eastAsia" w:cs="宋体"/>
          <w:b w:val="0"/>
          <w:bCs/>
          <w:szCs w:val="24"/>
        </w:rPr>
      </w:pPr>
      <w:r>
        <w:rPr>
          <w:rFonts w:hint="eastAsia" w:cs="宋体"/>
          <w:b w:val="0"/>
          <w:bCs/>
          <w:szCs w:val="24"/>
        </w:rPr>
        <w:t>支持查看高值耗材追溯详情信息，包括经手人、科室、使用患者、性别、年龄、业务类型等信息。支持高值耗材手动解锁。支持高值耗材追溯记录导出。</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60</w:t>
      </w:r>
      <w:r>
        <w:rPr>
          <w:rFonts w:hint="eastAsia" w:cs="宋体"/>
          <w:b w:val="0"/>
          <w:bCs/>
          <w:szCs w:val="24"/>
        </w:rPr>
        <w:t>科室标材二级库管理</w:t>
      </w:r>
    </w:p>
    <w:p>
      <w:pPr>
        <w:wordWrap/>
        <w:spacing w:line="360" w:lineRule="auto"/>
        <w:ind w:left="0" w:leftChars="0" w:firstLine="480" w:firstLineChars="200"/>
        <w:rPr>
          <w:rFonts w:hint="eastAsia" w:cs="宋体"/>
          <w:b w:val="0"/>
          <w:bCs/>
          <w:szCs w:val="24"/>
        </w:rPr>
      </w:pPr>
      <w:r>
        <w:rPr>
          <w:rFonts w:hint="eastAsia" w:cs="宋体"/>
          <w:b w:val="0"/>
          <w:bCs/>
          <w:szCs w:val="24"/>
        </w:rPr>
        <w:t>支持科室高值耗材管理，全程跟踪，医用大型材料条码管理。支持科室普通材料数量管理、库存管理、盘存等。支持科室材料管理与院级材料库关联互动。</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1</w:t>
      </w:r>
      <w:r>
        <w:rPr>
          <w:rFonts w:hint="eastAsia" w:cs="宋体"/>
          <w:b w:val="0"/>
          <w:bCs/>
          <w:szCs w:val="24"/>
        </w:rPr>
        <w:t>固定资产管理系统</w:t>
      </w:r>
    </w:p>
    <w:p>
      <w:pPr>
        <w:wordWrap/>
        <w:spacing w:line="360" w:lineRule="auto"/>
        <w:ind w:left="0" w:leftChars="0" w:firstLine="480" w:firstLineChars="200"/>
        <w:rPr>
          <w:rFonts w:hint="eastAsia" w:cs="宋体"/>
          <w:b w:val="0"/>
          <w:bCs/>
          <w:szCs w:val="24"/>
        </w:rPr>
      </w:pPr>
      <w:r>
        <w:rPr>
          <w:rFonts w:hint="eastAsia" w:cs="宋体"/>
          <w:b w:val="0"/>
          <w:bCs/>
          <w:szCs w:val="24"/>
        </w:rPr>
        <w:t>固定资产设备管理系统主要包括医院大型设备的库存管理、设备折旧管理、设备使用和维护管理等功能，支持对医院设备进行个性的动态管理，实现设备定期状态分析，为管理人员提供设备的维修、使用情况。</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2</w:t>
      </w:r>
      <w:r>
        <w:rPr>
          <w:rFonts w:hint="eastAsia" w:cs="宋体"/>
          <w:b w:val="0"/>
          <w:bCs/>
          <w:szCs w:val="24"/>
        </w:rPr>
        <w:t>门诊收费结算系统</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2</w:t>
      </w:r>
      <w:r>
        <w:rPr>
          <w:rFonts w:hint="eastAsia" w:cs="宋体"/>
          <w:b w:val="0"/>
          <w:bCs/>
          <w:szCs w:val="24"/>
        </w:rPr>
        <w:t>.1门诊收费</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支持从网络系统中自动获取或直接录入患者收费信息，系统自动划价，输入所收费用，系统自动找零，支持手工收费和医保患者通过读卡收费</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支持多种结算方式（自费、公费、医保、商保等）、支持自动找零、移动端支付、刷脸支付、银联接口等。</w:t>
      </w:r>
    </w:p>
    <w:p>
      <w:pPr>
        <w:wordWrap/>
        <w:spacing w:line="360" w:lineRule="auto"/>
        <w:ind w:left="0" w:leftChars="0" w:firstLine="480" w:firstLineChars="200"/>
        <w:rPr>
          <w:rFonts w:hint="eastAsia" w:cs="宋体"/>
          <w:b w:val="0"/>
          <w:bCs/>
          <w:szCs w:val="24"/>
        </w:rPr>
      </w:pPr>
      <w:r>
        <w:rPr>
          <w:rFonts w:hint="eastAsia" w:cs="宋体"/>
          <w:b w:val="0"/>
          <w:bCs/>
          <w:szCs w:val="24"/>
        </w:rPr>
        <w:t>支持皮试结果呈阳性的药品医嘱单据禁止收费。支持提供灵活的费用折扣减免措施。</w:t>
      </w:r>
    </w:p>
    <w:p>
      <w:pPr>
        <w:wordWrap/>
        <w:spacing w:line="360" w:lineRule="auto"/>
        <w:ind w:left="0" w:leftChars="0" w:firstLine="480" w:firstLineChars="200"/>
        <w:rPr>
          <w:rFonts w:hint="eastAsia" w:cs="宋体"/>
          <w:b w:val="0"/>
          <w:bCs/>
          <w:szCs w:val="24"/>
        </w:rPr>
      </w:pPr>
      <w:r>
        <w:rPr>
          <w:rFonts w:hint="eastAsia" w:cs="宋体"/>
          <w:b w:val="0"/>
          <w:bCs/>
          <w:szCs w:val="24"/>
        </w:rPr>
        <w:t>支持患者医保账户信息查询。支持医保单边账处理。支持还药收费。支持发票重打。</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2</w:t>
      </w:r>
      <w:r>
        <w:rPr>
          <w:rFonts w:hint="eastAsia" w:cs="宋体"/>
          <w:b w:val="0"/>
          <w:bCs/>
          <w:szCs w:val="24"/>
        </w:rPr>
        <w:t>.2门诊退费</w:t>
      </w:r>
    </w:p>
    <w:p>
      <w:pPr>
        <w:wordWrap/>
        <w:spacing w:line="360" w:lineRule="auto"/>
        <w:ind w:left="0" w:leftChars="0" w:firstLine="480" w:firstLineChars="200"/>
        <w:rPr>
          <w:rFonts w:hint="eastAsia" w:cs="宋体"/>
          <w:b w:val="0"/>
          <w:bCs/>
          <w:szCs w:val="24"/>
        </w:rPr>
      </w:pPr>
      <w:r>
        <w:rPr>
          <w:rFonts w:hint="eastAsia" w:cs="宋体"/>
          <w:b w:val="0"/>
          <w:bCs/>
          <w:szCs w:val="24"/>
        </w:rPr>
        <w:t>支持多次退费信息依次退费。支持原发票自动作废，自动打印新发票。支持部分退费。</w:t>
      </w:r>
    </w:p>
    <w:p>
      <w:pPr>
        <w:wordWrap/>
        <w:spacing w:line="360" w:lineRule="auto"/>
        <w:ind w:left="0" w:leftChars="0" w:firstLine="480" w:firstLineChars="200"/>
        <w:rPr>
          <w:rFonts w:hint="eastAsia" w:cs="宋体"/>
          <w:b w:val="0"/>
          <w:bCs/>
          <w:szCs w:val="24"/>
        </w:rPr>
      </w:pPr>
      <w:r>
        <w:rPr>
          <w:rFonts w:hint="eastAsia" w:cs="宋体"/>
          <w:b w:val="0"/>
          <w:bCs/>
          <w:szCs w:val="24"/>
        </w:rPr>
        <w:t>支持退费控制，除药品外，检查治疗只能在已收费数据的基础上退，且已做过的检查不能再退费。</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2</w:t>
      </w:r>
      <w:r>
        <w:rPr>
          <w:rFonts w:hint="eastAsia" w:cs="宋体"/>
          <w:b w:val="0"/>
          <w:bCs/>
          <w:szCs w:val="24"/>
        </w:rPr>
        <w:t>.3门诊补费</w:t>
      </w:r>
    </w:p>
    <w:p>
      <w:pPr>
        <w:wordWrap/>
        <w:spacing w:line="360" w:lineRule="auto"/>
        <w:ind w:left="0" w:leftChars="0" w:firstLine="480" w:firstLineChars="200"/>
        <w:rPr>
          <w:rFonts w:hint="eastAsia" w:cs="宋体"/>
          <w:b w:val="0"/>
          <w:bCs/>
          <w:szCs w:val="24"/>
        </w:rPr>
      </w:pPr>
      <w:r>
        <w:rPr>
          <w:rFonts w:hint="eastAsia" w:cs="宋体"/>
          <w:b w:val="0"/>
          <w:bCs/>
          <w:szCs w:val="24"/>
        </w:rPr>
        <w:t>支持收费处补录费用信息，支持补费单据打印。</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2</w:t>
      </w:r>
      <w:r>
        <w:rPr>
          <w:rFonts w:hint="eastAsia" w:cs="宋体"/>
          <w:b w:val="0"/>
          <w:bCs/>
          <w:szCs w:val="24"/>
        </w:rPr>
        <w:t>.4日结日报</w:t>
      </w:r>
    </w:p>
    <w:p>
      <w:pPr>
        <w:wordWrap/>
        <w:spacing w:line="360" w:lineRule="auto"/>
        <w:ind w:left="0" w:leftChars="0" w:firstLine="480" w:firstLineChars="200"/>
        <w:rPr>
          <w:rFonts w:hint="eastAsia" w:cs="宋体"/>
          <w:b w:val="0"/>
          <w:bCs/>
          <w:szCs w:val="24"/>
        </w:rPr>
      </w:pPr>
      <w:r>
        <w:rPr>
          <w:rFonts w:hint="eastAsia" w:cs="宋体"/>
          <w:b w:val="0"/>
          <w:bCs/>
          <w:szCs w:val="24"/>
        </w:rPr>
        <w:t>支持交款时间到任意时点、交款核销。支持查看结算项目明细、借贷双方金额汇总。支持明细对账。</w:t>
      </w:r>
    </w:p>
    <w:p>
      <w:pPr>
        <w:wordWrap/>
        <w:spacing w:line="360" w:lineRule="auto"/>
        <w:ind w:left="0" w:leftChars="0" w:firstLine="480" w:firstLineChars="200"/>
        <w:rPr>
          <w:rFonts w:hint="eastAsia" w:cs="宋体"/>
          <w:b w:val="0"/>
          <w:bCs/>
          <w:szCs w:val="24"/>
        </w:rPr>
      </w:pPr>
      <w:r>
        <w:rPr>
          <w:rFonts w:hint="eastAsia" w:cs="宋体"/>
          <w:b w:val="0"/>
          <w:bCs/>
          <w:szCs w:val="24"/>
        </w:rPr>
        <w:t>支持日结开始日期依据上次日结结束日期自动生成。支持自动产生日报号。</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2</w:t>
      </w:r>
      <w:r>
        <w:rPr>
          <w:rFonts w:hint="eastAsia" w:cs="宋体"/>
          <w:b w:val="0"/>
          <w:bCs/>
          <w:szCs w:val="24"/>
        </w:rPr>
        <w:t>.5门诊预交</w:t>
      </w:r>
    </w:p>
    <w:p>
      <w:pPr>
        <w:wordWrap/>
        <w:spacing w:line="360" w:lineRule="auto"/>
        <w:ind w:left="0" w:leftChars="0" w:firstLine="480" w:firstLineChars="200"/>
        <w:rPr>
          <w:rFonts w:hint="eastAsia" w:cs="宋体"/>
          <w:b w:val="0"/>
          <w:bCs/>
          <w:szCs w:val="24"/>
        </w:rPr>
      </w:pPr>
      <w:r>
        <w:rPr>
          <w:rFonts w:hint="eastAsia" w:cs="宋体"/>
          <w:b w:val="0"/>
          <w:bCs/>
          <w:szCs w:val="24"/>
        </w:rPr>
        <w:t>支持多种预付方式，预交费用可同时用于门诊诊疗项目和体检项目。</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2</w:t>
      </w:r>
      <w:r>
        <w:rPr>
          <w:rFonts w:hint="eastAsia" w:cs="宋体"/>
          <w:b w:val="0"/>
          <w:bCs/>
          <w:szCs w:val="24"/>
        </w:rPr>
        <w:t>.6打印功能</w:t>
      </w:r>
    </w:p>
    <w:p>
      <w:pPr>
        <w:wordWrap/>
        <w:spacing w:line="360" w:lineRule="auto"/>
        <w:ind w:left="0" w:leftChars="0" w:firstLine="480" w:firstLineChars="200"/>
        <w:rPr>
          <w:rFonts w:hint="eastAsia" w:cs="宋体"/>
          <w:b w:val="0"/>
          <w:bCs/>
          <w:szCs w:val="24"/>
        </w:rPr>
      </w:pPr>
      <w:r>
        <w:rPr>
          <w:rFonts w:hint="eastAsia" w:cs="宋体"/>
          <w:b w:val="0"/>
          <w:bCs/>
          <w:szCs w:val="24"/>
        </w:rPr>
        <w:t>支持打印日汇总表、日收费明细表、日收费存根、日科室核算表、全院月收入汇总表、全院月科室核算表、合同医疗单位月费用统计汇总表。</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3</w:t>
      </w:r>
      <w:r>
        <w:rPr>
          <w:rFonts w:hint="eastAsia" w:cs="宋体"/>
          <w:b w:val="0"/>
          <w:bCs/>
          <w:szCs w:val="24"/>
        </w:rPr>
        <w:t>住院收费结算系统</w:t>
      </w:r>
    </w:p>
    <w:p>
      <w:pPr>
        <w:wordWrap/>
        <w:spacing w:line="360" w:lineRule="auto"/>
        <w:ind w:left="0" w:leftChars="0" w:firstLine="480" w:firstLineChars="200"/>
        <w:rPr>
          <w:rFonts w:hint="eastAsia" w:cs="宋体"/>
          <w:b w:val="0"/>
          <w:bCs/>
          <w:szCs w:val="24"/>
        </w:rPr>
      </w:pPr>
      <w:r>
        <w:rPr>
          <w:rFonts w:hint="eastAsia" w:cs="宋体"/>
          <w:b w:val="0"/>
          <w:bCs/>
          <w:szCs w:val="24"/>
        </w:rPr>
        <w:t>通过电子入院证自动获取患者入院基本信息，提供病房床位查询，快速办理病人入院手续。</w:t>
      </w:r>
    </w:p>
    <w:p>
      <w:pPr>
        <w:wordWrap/>
        <w:spacing w:line="360" w:lineRule="auto"/>
        <w:ind w:left="0" w:leftChars="0" w:firstLine="480" w:firstLineChars="200"/>
        <w:rPr>
          <w:rFonts w:hint="eastAsia" w:cs="宋体"/>
          <w:b w:val="0"/>
          <w:bCs/>
          <w:szCs w:val="24"/>
        </w:rPr>
      </w:pPr>
      <w:r>
        <w:rPr>
          <w:rFonts w:hint="eastAsia" w:cs="宋体"/>
          <w:b w:val="0"/>
          <w:bCs/>
          <w:szCs w:val="24"/>
        </w:rPr>
        <w:t>支持自定义住院号编号方式，并支持复诊病人多次住院使用同一住院号，以及直接提取病人历史住院记录。</w:t>
      </w:r>
    </w:p>
    <w:p>
      <w:pPr>
        <w:wordWrap/>
        <w:spacing w:line="360" w:lineRule="auto"/>
        <w:ind w:left="0" w:leftChars="0" w:firstLine="480" w:firstLineChars="200"/>
        <w:rPr>
          <w:rFonts w:hint="eastAsia" w:cs="宋体"/>
          <w:b w:val="0"/>
          <w:bCs/>
          <w:szCs w:val="24"/>
        </w:rPr>
      </w:pPr>
      <w:r>
        <w:rPr>
          <w:rFonts w:hint="eastAsia" w:cs="宋体"/>
          <w:b w:val="0"/>
          <w:bCs/>
          <w:szCs w:val="24"/>
        </w:rPr>
        <w:t>提供与职工医保、居民医保等系统接口，支持对不同类型病人的自定义颜色显示。</w:t>
      </w:r>
    </w:p>
    <w:p>
      <w:pPr>
        <w:wordWrap/>
        <w:spacing w:line="360" w:lineRule="auto"/>
        <w:ind w:left="0" w:leftChars="0" w:firstLine="480" w:firstLineChars="200"/>
        <w:rPr>
          <w:rFonts w:hint="eastAsia" w:cs="宋体"/>
          <w:b w:val="0"/>
          <w:bCs/>
          <w:szCs w:val="24"/>
        </w:rPr>
      </w:pPr>
      <w:r>
        <w:rPr>
          <w:rFonts w:hint="eastAsia" w:cs="宋体"/>
          <w:b w:val="0"/>
          <w:bCs/>
          <w:szCs w:val="24"/>
        </w:rPr>
        <w:t>支持对欠费病人再次入院时，提示警告信息，或限制病人结清欠费再办理入院。</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住院科室日报表动态反映任意时刻的病房状态和病人流动情况。支持对出院的方式可配置，对于不同的出院原因可以统计</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提供出院召回的功能，支持未产生费用患者退院处理。</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4</w:t>
      </w:r>
      <w:r>
        <w:rPr>
          <w:rFonts w:hint="eastAsia" w:cs="宋体"/>
          <w:b w:val="0"/>
          <w:bCs/>
          <w:szCs w:val="24"/>
        </w:rPr>
        <w:t>医保结算管理系统</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4</w:t>
      </w:r>
      <w:r>
        <w:rPr>
          <w:rFonts w:hint="eastAsia" w:cs="宋体"/>
          <w:b w:val="0"/>
          <w:bCs/>
          <w:szCs w:val="24"/>
        </w:rPr>
        <w:t>.1综合查询</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4</w:t>
      </w:r>
      <w:r>
        <w:rPr>
          <w:rFonts w:hint="eastAsia" w:cs="宋体"/>
          <w:b w:val="0"/>
          <w:bCs/>
          <w:szCs w:val="24"/>
        </w:rPr>
        <w:t>.1.1医保对照</w:t>
      </w:r>
    </w:p>
    <w:p>
      <w:pPr>
        <w:wordWrap/>
        <w:spacing w:line="360" w:lineRule="auto"/>
        <w:ind w:left="0" w:leftChars="0" w:firstLine="480" w:firstLineChars="200"/>
        <w:rPr>
          <w:rFonts w:hint="eastAsia" w:cs="宋体"/>
          <w:b w:val="0"/>
          <w:bCs/>
          <w:szCs w:val="24"/>
        </w:rPr>
      </w:pPr>
      <w:r>
        <w:rPr>
          <w:rFonts w:hint="eastAsia" w:cs="宋体"/>
          <w:b w:val="0"/>
          <w:bCs/>
          <w:szCs w:val="24"/>
        </w:rPr>
        <w:t>能够通过医保对照，将院内项目与医保项目进行对照，用于医保结算上传。</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4</w:t>
      </w:r>
      <w:r>
        <w:rPr>
          <w:rFonts w:hint="eastAsia" w:cs="宋体"/>
          <w:b w:val="0"/>
          <w:bCs/>
          <w:szCs w:val="24"/>
        </w:rPr>
        <w:t>.1.2个人就诊登记信息查询</w:t>
      </w:r>
    </w:p>
    <w:p>
      <w:pPr>
        <w:wordWrap/>
        <w:spacing w:line="360" w:lineRule="auto"/>
        <w:ind w:left="0" w:leftChars="0" w:firstLine="480" w:firstLineChars="200"/>
        <w:rPr>
          <w:rFonts w:hint="eastAsia" w:cs="宋体"/>
          <w:b w:val="0"/>
          <w:bCs/>
          <w:szCs w:val="24"/>
        </w:rPr>
      </w:pPr>
      <w:r>
        <w:rPr>
          <w:rFonts w:hint="eastAsia" w:cs="宋体"/>
          <w:b w:val="0"/>
          <w:bCs/>
          <w:szCs w:val="24"/>
        </w:rPr>
        <w:t>通过医保读卡，获取患者历次医保就诊信息。能够根据医保撤销规则，撤销患者医保登记信息及结算信息。</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4</w:t>
      </w:r>
      <w:r>
        <w:rPr>
          <w:rFonts w:hint="eastAsia" w:cs="宋体"/>
          <w:b w:val="0"/>
          <w:bCs/>
          <w:szCs w:val="24"/>
        </w:rPr>
        <w:t>.1.3医保明细对账</w:t>
      </w:r>
    </w:p>
    <w:p>
      <w:pPr>
        <w:wordWrap/>
        <w:spacing w:line="360" w:lineRule="auto"/>
        <w:ind w:left="0" w:leftChars="0" w:firstLine="480" w:firstLineChars="200"/>
        <w:rPr>
          <w:rFonts w:hint="eastAsia" w:cs="宋体"/>
          <w:b w:val="0"/>
          <w:bCs/>
          <w:szCs w:val="24"/>
        </w:rPr>
      </w:pPr>
      <w:r>
        <w:rPr>
          <w:rFonts w:hint="eastAsia" w:cs="宋体"/>
          <w:b w:val="0"/>
          <w:bCs/>
          <w:szCs w:val="24"/>
        </w:rPr>
        <w:t>能够查询医保和HIS各项分类明细账目信息，并进行对比。</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4</w:t>
      </w:r>
      <w:r>
        <w:rPr>
          <w:rFonts w:hint="eastAsia" w:cs="宋体"/>
          <w:b w:val="0"/>
          <w:bCs/>
          <w:szCs w:val="24"/>
        </w:rPr>
        <w:t>.1.4医保结算类型映射</w:t>
      </w:r>
    </w:p>
    <w:p>
      <w:pPr>
        <w:wordWrap/>
        <w:spacing w:line="360" w:lineRule="auto"/>
        <w:ind w:left="0" w:leftChars="0" w:firstLine="480" w:firstLineChars="200"/>
        <w:rPr>
          <w:rFonts w:hint="eastAsia" w:cs="宋体"/>
          <w:b w:val="0"/>
          <w:bCs/>
          <w:szCs w:val="24"/>
        </w:rPr>
      </w:pPr>
      <w:r>
        <w:rPr>
          <w:rFonts w:hint="eastAsia" w:cs="宋体"/>
          <w:b w:val="0"/>
          <w:bCs/>
          <w:szCs w:val="24"/>
        </w:rPr>
        <w:t>能够将医保待遇类别与院内结算类型进行对照，用于收费员选错患者结算类型时自动校正。</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4</w:t>
      </w:r>
      <w:r>
        <w:rPr>
          <w:rFonts w:hint="eastAsia" w:cs="宋体"/>
          <w:b w:val="0"/>
          <w:bCs/>
          <w:szCs w:val="24"/>
        </w:rPr>
        <w:t>.1.5其他</w:t>
      </w:r>
    </w:p>
    <w:p>
      <w:pPr>
        <w:wordWrap/>
        <w:spacing w:line="360" w:lineRule="auto"/>
        <w:ind w:left="0" w:leftChars="0" w:firstLine="480" w:firstLineChars="200"/>
        <w:rPr>
          <w:rFonts w:hint="eastAsia" w:cs="宋体"/>
          <w:b w:val="0"/>
          <w:bCs/>
          <w:szCs w:val="24"/>
        </w:rPr>
      </w:pPr>
      <w:r>
        <w:rPr>
          <w:rFonts w:hint="eastAsia" w:cs="宋体"/>
          <w:b w:val="0"/>
          <w:bCs/>
          <w:szCs w:val="24"/>
        </w:rPr>
        <w:t>支持患者就医过程中通过电子医保卡进行人员身份识别，包括线上线下识别，身份识别贯穿门诊挂号、门诊就诊、缴费、检查检验、入院登记、发药、出院结算、病历查阅、发票打印、费用明细查询、报告查询等。</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支持通过电子医保卡直接进行医保脱卡支付。支持通过电子医保卡可查询参保信息及医保个人账户余额等信息。支持通过电子医保卡可获取患者主索引</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4</w:t>
      </w:r>
      <w:r>
        <w:rPr>
          <w:rFonts w:hint="eastAsia" w:cs="宋体"/>
          <w:b w:val="0"/>
          <w:bCs/>
          <w:szCs w:val="24"/>
        </w:rPr>
        <w:t>.2支持各类医保结算（含异地医保）。</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5</w:t>
      </w:r>
      <w:r>
        <w:rPr>
          <w:rFonts w:hint="eastAsia" w:cs="宋体"/>
          <w:b w:val="0"/>
          <w:bCs/>
          <w:szCs w:val="24"/>
        </w:rPr>
        <w:t>数据挖掘分析</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5</w:t>
      </w:r>
      <w:r>
        <w:rPr>
          <w:rFonts w:hint="eastAsia" w:cs="宋体"/>
          <w:b w:val="0"/>
          <w:bCs/>
          <w:szCs w:val="24"/>
        </w:rPr>
        <w:t>.1报表</w:t>
      </w:r>
    </w:p>
    <w:p>
      <w:pPr>
        <w:wordWrap/>
        <w:spacing w:line="360" w:lineRule="auto"/>
        <w:ind w:left="0" w:leftChars="0" w:firstLine="480" w:firstLineChars="200"/>
        <w:rPr>
          <w:rFonts w:hint="eastAsia" w:cs="宋体"/>
          <w:b w:val="0"/>
          <w:bCs/>
          <w:szCs w:val="24"/>
        </w:rPr>
      </w:pPr>
      <w:r>
        <w:rPr>
          <w:rFonts w:hint="eastAsia" w:cs="宋体"/>
          <w:b w:val="0"/>
          <w:bCs/>
          <w:szCs w:val="24"/>
        </w:rPr>
        <w:t>方便地实现报表中行列分组小计、合计；可以对表格行列距调整；可以对表格中的字体属性调整；提供对表格行、列（交叉表）进行自定义排序；可以生成多层表头、表斜线、标题与附标题并可以调整属性；可以调整数据计量单位。</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5</w:t>
      </w:r>
      <w:r>
        <w:rPr>
          <w:rFonts w:hint="eastAsia" w:cs="宋体"/>
          <w:b w:val="0"/>
          <w:bCs/>
          <w:szCs w:val="24"/>
        </w:rPr>
        <w:t>.2数据展现组件</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提供圆饼图、直方图、地图、计速器、字符云、盒须图、数据标签等图形组件；可以对图中图形进行颜色、大小、形状标注；提供三维图形；可以让用户对组件位置、大小与属性进行调整；可以调整显示数据计量单位</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5</w:t>
      </w:r>
      <w:r>
        <w:rPr>
          <w:rFonts w:hint="eastAsia" w:cs="宋体"/>
          <w:b w:val="0"/>
          <w:bCs/>
          <w:szCs w:val="24"/>
        </w:rPr>
        <w:t>.3数据过滤组件</w:t>
      </w:r>
    </w:p>
    <w:p>
      <w:pPr>
        <w:wordWrap/>
        <w:spacing w:line="360" w:lineRule="auto"/>
        <w:ind w:left="0" w:leftChars="0" w:firstLine="480" w:firstLineChars="200"/>
        <w:rPr>
          <w:rFonts w:hint="eastAsia" w:cs="宋体"/>
          <w:b w:val="0"/>
          <w:bCs/>
          <w:szCs w:val="24"/>
        </w:rPr>
      </w:pPr>
      <w:r>
        <w:rPr>
          <w:rFonts w:hint="eastAsia" w:cs="宋体"/>
          <w:b w:val="0"/>
          <w:bCs/>
          <w:szCs w:val="24"/>
        </w:rPr>
        <w:t>提供日期、日期范围、单选、多选、树形多选等数据过滤组件、滚动条组件。</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5</w:t>
      </w:r>
      <w:r>
        <w:rPr>
          <w:rFonts w:hint="eastAsia" w:cs="宋体"/>
          <w:b w:val="0"/>
          <w:bCs/>
          <w:szCs w:val="24"/>
        </w:rPr>
        <w:t>.4界面布局</w:t>
      </w:r>
    </w:p>
    <w:p>
      <w:pPr>
        <w:wordWrap/>
        <w:spacing w:line="360" w:lineRule="auto"/>
        <w:ind w:left="0" w:leftChars="0" w:firstLine="480" w:firstLineChars="200"/>
        <w:rPr>
          <w:rFonts w:hint="eastAsia" w:cs="宋体"/>
          <w:b w:val="0"/>
          <w:bCs/>
          <w:szCs w:val="24"/>
        </w:rPr>
      </w:pPr>
      <w:r>
        <w:rPr>
          <w:rFonts w:hint="eastAsia" w:cs="宋体"/>
          <w:b w:val="0"/>
          <w:bCs/>
          <w:szCs w:val="24"/>
        </w:rPr>
        <w:t>支持嵌入标注文本、图片、网页，并可以调整其属性（字体、色彩、位置）。</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5</w:t>
      </w:r>
      <w:r>
        <w:rPr>
          <w:rFonts w:hint="eastAsia" w:cs="宋体"/>
          <w:b w:val="0"/>
          <w:bCs/>
          <w:szCs w:val="24"/>
        </w:rPr>
        <w:t>.5数据操作</w:t>
      </w:r>
    </w:p>
    <w:p>
      <w:pPr>
        <w:wordWrap/>
        <w:spacing w:line="360" w:lineRule="auto"/>
        <w:ind w:left="0" w:leftChars="0" w:firstLine="480" w:firstLineChars="200"/>
        <w:rPr>
          <w:rFonts w:hint="eastAsia" w:cs="宋体"/>
          <w:b w:val="0"/>
          <w:bCs/>
          <w:szCs w:val="24"/>
        </w:rPr>
      </w:pPr>
      <w:r>
        <w:rPr>
          <w:rFonts w:hint="eastAsia" w:cs="宋体"/>
          <w:b w:val="0"/>
          <w:bCs/>
          <w:szCs w:val="24"/>
        </w:rPr>
        <w:t>支持改变图表类型；加减筛选过滤条件；加减维度。</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6</w:t>
      </w:r>
      <w:r>
        <w:rPr>
          <w:rFonts w:hint="eastAsia" w:cs="宋体"/>
          <w:b w:val="0"/>
          <w:bCs/>
          <w:szCs w:val="24"/>
        </w:rPr>
        <w:t>各类上级数据报送</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6</w:t>
      </w:r>
      <w:r>
        <w:rPr>
          <w:rFonts w:hint="eastAsia" w:cs="宋体"/>
          <w:b w:val="0"/>
          <w:bCs/>
          <w:szCs w:val="24"/>
        </w:rPr>
        <w:t>.1数据采集与整合</w:t>
      </w:r>
    </w:p>
    <w:p>
      <w:pPr>
        <w:wordWrap/>
        <w:spacing w:line="360" w:lineRule="auto"/>
        <w:ind w:left="0" w:leftChars="0" w:firstLine="480" w:firstLineChars="200"/>
        <w:rPr>
          <w:rFonts w:hint="eastAsia" w:cs="宋体"/>
          <w:b w:val="0"/>
          <w:bCs/>
          <w:szCs w:val="24"/>
        </w:rPr>
      </w:pPr>
      <w:r>
        <w:rPr>
          <w:rFonts w:hint="eastAsia" w:cs="宋体"/>
          <w:b w:val="0"/>
          <w:bCs/>
          <w:szCs w:val="24"/>
        </w:rPr>
        <w:t>支持全XML文档、全数据厍中间表及XML文档格式与数据库中间表混用等多种方式进行数据采集与整合。</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6</w:t>
      </w:r>
      <w:r>
        <w:rPr>
          <w:rFonts w:hint="eastAsia" w:cs="宋体"/>
          <w:b w:val="0"/>
          <w:bCs/>
          <w:szCs w:val="24"/>
        </w:rPr>
        <w:t>.2数据审核</w:t>
      </w:r>
    </w:p>
    <w:p>
      <w:pPr>
        <w:wordWrap/>
        <w:spacing w:line="360" w:lineRule="auto"/>
        <w:ind w:left="0" w:leftChars="0" w:firstLine="480" w:firstLineChars="200"/>
        <w:rPr>
          <w:rFonts w:hint="eastAsia" w:cs="宋体"/>
          <w:b w:val="0"/>
          <w:bCs/>
          <w:szCs w:val="24"/>
        </w:rPr>
      </w:pPr>
      <w:r>
        <w:rPr>
          <w:rFonts w:hint="eastAsia" w:cs="宋体"/>
          <w:b w:val="0"/>
          <w:bCs/>
          <w:szCs w:val="24"/>
        </w:rPr>
        <w:t>医院对上报数据进行审核，并建立相应审核规则。</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6</w:t>
      </w:r>
      <w:r>
        <w:rPr>
          <w:rFonts w:hint="eastAsia" w:cs="宋体"/>
          <w:b w:val="0"/>
          <w:bCs/>
          <w:szCs w:val="24"/>
        </w:rPr>
        <w:t>.3报告统计</w:t>
      </w:r>
    </w:p>
    <w:p>
      <w:pPr>
        <w:wordWrap/>
        <w:spacing w:line="360" w:lineRule="auto"/>
        <w:ind w:left="0" w:leftChars="0" w:firstLine="480" w:firstLineChars="200"/>
        <w:rPr>
          <w:rFonts w:hint="eastAsia" w:cs="宋体"/>
          <w:b w:val="0"/>
          <w:bCs/>
          <w:szCs w:val="24"/>
        </w:rPr>
      </w:pPr>
      <w:r>
        <w:rPr>
          <w:rFonts w:hint="eastAsia" w:cs="宋体"/>
          <w:b w:val="0"/>
          <w:bCs/>
          <w:szCs w:val="24"/>
        </w:rPr>
        <w:t>对医院报送的数据进行统计,统计内容包括报送进度统计分析报告、综合统计分析报告、专题统计分析报告、典型调查报告等。</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6</w:t>
      </w:r>
      <w:r>
        <w:rPr>
          <w:rFonts w:hint="eastAsia" w:cs="宋体"/>
          <w:b w:val="0"/>
          <w:bCs/>
          <w:szCs w:val="24"/>
        </w:rPr>
        <w:t>.4数据上报</w:t>
      </w:r>
    </w:p>
    <w:p>
      <w:pPr>
        <w:wordWrap/>
        <w:spacing w:line="360" w:lineRule="auto"/>
        <w:ind w:left="0" w:leftChars="0" w:firstLine="480" w:firstLineChars="200"/>
        <w:rPr>
          <w:rFonts w:hint="eastAsia" w:cs="宋体"/>
          <w:b w:val="0"/>
          <w:bCs/>
          <w:szCs w:val="24"/>
        </w:rPr>
      </w:pPr>
      <w:r>
        <w:rPr>
          <w:rFonts w:hint="eastAsia" w:cs="宋体"/>
          <w:b w:val="0"/>
          <w:bCs/>
          <w:szCs w:val="24"/>
        </w:rPr>
        <w:t>按照数据上报规则采集各业务系统数据，实现与国家、省、市、县等各级全民健康信息平台的对接。</w:t>
      </w:r>
    </w:p>
    <w:p>
      <w:pPr>
        <w:wordWrap/>
        <w:spacing w:line="360" w:lineRule="auto"/>
        <w:ind w:left="0" w:leftChars="0" w:firstLine="480" w:firstLineChars="200"/>
        <w:rPr>
          <w:rFonts w:hint="eastAsia" w:cs="宋体"/>
          <w:b w:val="0"/>
          <w:bCs/>
          <w:szCs w:val="24"/>
        </w:rPr>
      </w:pPr>
      <w:r>
        <w:rPr>
          <w:rFonts w:hint="eastAsia" w:cs="宋体"/>
          <w:b w:val="0"/>
          <w:bCs/>
          <w:szCs w:val="24"/>
        </w:rPr>
        <w:t>3.6</w:t>
      </w:r>
      <w:r>
        <w:rPr>
          <w:rFonts w:hint="eastAsia" w:cs="宋体"/>
          <w:b w:val="0"/>
          <w:bCs/>
          <w:szCs w:val="24"/>
          <w:lang w:val="en-US" w:eastAsia="zh-CN"/>
        </w:rPr>
        <w:t>7</w:t>
      </w:r>
      <w:r>
        <w:rPr>
          <w:rFonts w:hint="eastAsia" w:cs="宋体"/>
          <w:b w:val="0"/>
          <w:bCs/>
          <w:szCs w:val="24"/>
        </w:rPr>
        <w:t>三级医院评审统计指标</w:t>
      </w:r>
    </w:p>
    <w:p>
      <w:pPr>
        <w:wordWrap/>
        <w:spacing w:line="360" w:lineRule="auto"/>
        <w:ind w:left="0" w:leftChars="0" w:firstLine="480" w:firstLineChars="200"/>
        <w:rPr>
          <w:rFonts w:hint="eastAsia" w:eastAsia="宋体" w:cs="宋体"/>
          <w:b w:val="0"/>
          <w:bCs/>
          <w:szCs w:val="24"/>
          <w:lang w:eastAsia="zh-CN"/>
        </w:rPr>
      </w:pPr>
      <w:r>
        <w:rPr>
          <w:rFonts w:hint="eastAsia" w:cs="宋体"/>
          <w:b w:val="0"/>
          <w:bCs/>
          <w:szCs w:val="24"/>
        </w:rPr>
        <w:t>依据《三级医院评审标准（2022年版）》完成下列指标的统计查询管理：资源配置与运行数据指标、医疗服务能力与医院质量安全指标、重点专业质量控制指标、单病种（术种）质量控制指标、重点医疗技术临床应用质量控制指标</w:t>
      </w:r>
      <w:r>
        <w:rPr>
          <w:rFonts w:hint="eastAsia" w:cs="宋体"/>
          <w:b w:val="0"/>
          <w:bCs/>
          <w:szCs w:val="24"/>
          <w:lang w:eastAsia="zh-CN"/>
        </w:rPr>
        <w:t>。</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68</w:t>
      </w:r>
      <w:r>
        <w:rPr>
          <w:rFonts w:hint="eastAsia" w:cs="宋体"/>
          <w:b w:val="0"/>
          <w:bCs/>
          <w:szCs w:val="24"/>
        </w:rPr>
        <w:t>等级医院评审管理系统</w:t>
      </w:r>
    </w:p>
    <w:p>
      <w:pPr>
        <w:wordWrap/>
        <w:spacing w:line="360" w:lineRule="auto"/>
        <w:ind w:left="0" w:leftChars="0" w:firstLine="480" w:firstLineChars="200"/>
        <w:rPr>
          <w:rFonts w:hint="eastAsia" w:cs="宋体"/>
          <w:b w:val="0"/>
          <w:bCs/>
          <w:szCs w:val="24"/>
        </w:rPr>
      </w:pPr>
      <w:r>
        <w:rPr>
          <w:rFonts w:hint="eastAsia" w:cs="宋体"/>
          <w:b w:val="0"/>
          <w:bCs/>
          <w:szCs w:val="24"/>
        </w:rPr>
        <w:t>支持资源配置与运行数据指标、医疗服务能力与医院质量安全指标、重点专业质量控制指标、单病种（术种）质量控制指标、重点医疗技术临床应用质量控制指标、眼科医院专项补充、精神病医院专项补充、生殖医院专项补充、心血管病医院专项补充、口腔医院专项补充、传染病医院专项补充、2021年度国家医疗质量安全目标统计。</w:t>
      </w:r>
    </w:p>
    <w:p>
      <w:pPr>
        <w:wordWrap/>
        <w:spacing w:line="360" w:lineRule="auto"/>
        <w:ind w:left="0" w:leftChars="0" w:firstLine="480" w:firstLineChars="200"/>
        <w:rPr>
          <w:rFonts w:hint="eastAsia" w:cs="宋体"/>
          <w:b w:val="0"/>
          <w:bCs/>
          <w:szCs w:val="24"/>
        </w:rPr>
      </w:pPr>
      <w:r>
        <w:rPr>
          <w:rFonts w:hint="eastAsia" w:cs="宋体"/>
          <w:b w:val="0"/>
          <w:bCs/>
          <w:szCs w:val="24"/>
        </w:rPr>
        <w:t>3.</w:t>
      </w:r>
      <w:r>
        <w:rPr>
          <w:rFonts w:hint="eastAsia" w:cs="宋体"/>
          <w:b w:val="0"/>
          <w:bCs/>
          <w:szCs w:val="24"/>
          <w:lang w:val="en-US" w:eastAsia="zh-CN"/>
        </w:rPr>
        <w:t>69</w:t>
      </w:r>
      <w:r>
        <w:rPr>
          <w:rFonts w:hint="eastAsia" w:cs="宋体"/>
          <w:b w:val="0"/>
          <w:bCs/>
          <w:szCs w:val="24"/>
        </w:rPr>
        <w:t>电子病历评级指导</w:t>
      </w:r>
    </w:p>
    <w:p>
      <w:pPr>
        <w:wordWrap/>
        <w:spacing w:line="360" w:lineRule="auto"/>
        <w:ind w:left="0" w:leftChars="0" w:firstLine="480" w:firstLineChars="200"/>
        <w:rPr>
          <w:rFonts w:hint="eastAsia" w:cs="宋体"/>
          <w:b w:val="0"/>
          <w:bCs/>
          <w:szCs w:val="24"/>
        </w:rPr>
      </w:pPr>
      <w:r>
        <w:rPr>
          <w:rFonts w:hint="eastAsia" w:cs="宋体"/>
          <w:b w:val="0"/>
          <w:bCs/>
          <w:szCs w:val="24"/>
        </w:rPr>
        <w:t>提供电子病历评级指导服务。</w:t>
      </w:r>
    </w:p>
    <w:p>
      <w:pPr>
        <w:wordWrap/>
        <w:spacing w:line="360" w:lineRule="auto"/>
        <w:ind w:left="0" w:leftChars="0" w:firstLine="480" w:firstLineChars="200"/>
        <w:rPr>
          <w:rFonts w:hint="eastAsia" w:ascii="宋体" w:hAnsi="宋体" w:eastAsia="宋体" w:cs="宋体"/>
          <w:b w:val="0"/>
          <w:bCs/>
          <w:szCs w:val="24"/>
          <w:lang w:eastAsia="zh-CN"/>
        </w:rPr>
      </w:pPr>
      <w:r>
        <w:rPr>
          <w:rFonts w:hint="eastAsia" w:ascii="宋体" w:hAnsi="宋体" w:eastAsia="宋体" w:cs="宋体"/>
          <w:b w:val="0"/>
          <w:bCs/>
          <w:szCs w:val="24"/>
          <w:lang w:eastAsia="zh-CN"/>
        </w:rPr>
        <w:t>（四）项目实施要求</w:t>
      </w:r>
    </w:p>
    <w:p>
      <w:pPr>
        <w:wordWrap/>
        <w:spacing w:line="360" w:lineRule="auto"/>
        <w:ind w:left="0" w:leftChars="0" w:firstLine="480" w:firstLineChars="200"/>
        <w:rPr>
          <w:rFonts w:hint="eastAsia" w:cs="宋体"/>
          <w:bCs/>
          <w:szCs w:val="24"/>
        </w:rPr>
      </w:pPr>
      <w:r>
        <w:rPr>
          <w:rFonts w:hint="eastAsia" w:ascii="宋体" w:hAnsi="宋体" w:eastAsia="宋体" w:cs="宋体"/>
          <w:b w:val="0"/>
          <w:bCs/>
          <w:szCs w:val="24"/>
        </w:rPr>
        <w:t>投标人</w:t>
      </w:r>
      <w:r>
        <w:rPr>
          <w:rFonts w:hint="eastAsia" w:ascii="宋体" w:hAnsi="宋体" w:eastAsia="宋体" w:cs="宋体"/>
          <w:b w:val="0"/>
          <w:bCs/>
          <w:szCs w:val="24"/>
          <w:lang w:eastAsia="zh-CN"/>
        </w:rPr>
        <w:t>应</w:t>
      </w:r>
      <w:r>
        <w:rPr>
          <w:rFonts w:hint="eastAsia" w:ascii="宋体" w:hAnsi="宋体" w:eastAsia="宋体" w:cs="宋体"/>
          <w:b w:val="0"/>
          <w:bCs/>
          <w:szCs w:val="24"/>
        </w:rPr>
        <w:t>根据项目建设实际需要，制定项目实施组织方案，至少包括：组织管理架构</w:t>
      </w:r>
      <w:r>
        <w:rPr>
          <w:rFonts w:hint="eastAsia" w:cs="宋体"/>
          <w:b w:val="0"/>
          <w:bCs/>
          <w:szCs w:val="24"/>
          <w:lang w:eastAsia="zh-CN"/>
        </w:rPr>
        <w:t>、</w:t>
      </w:r>
      <w:r>
        <w:rPr>
          <w:rFonts w:hint="eastAsia" w:ascii="宋体" w:hAnsi="宋体" w:eastAsia="宋体" w:cs="宋体"/>
          <w:b w:val="0"/>
          <w:bCs/>
          <w:szCs w:val="24"/>
        </w:rPr>
        <w:t>进度计划安排</w:t>
      </w:r>
      <w:r>
        <w:rPr>
          <w:rFonts w:hint="eastAsia" w:cs="宋体"/>
          <w:b w:val="0"/>
          <w:bCs/>
          <w:szCs w:val="24"/>
          <w:lang w:eastAsia="zh-CN"/>
        </w:rPr>
        <w:t>、</w:t>
      </w:r>
      <w:r>
        <w:rPr>
          <w:rFonts w:hint="eastAsia" w:ascii="宋体" w:hAnsi="宋体" w:eastAsia="宋体" w:cs="宋体"/>
          <w:b w:val="0"/>
          <w:bCs/>
          <w:szCs w:val="24"/>
        </w:rPr>
        <w:t>文档管理措施</w:t>
      </w:r>
      <w:r>
        <w:rPr>
          <w:rFonts w:hint="eastAsia" w:cs="宋体"/>
          <w:b w:val="0"/>
          <w:bCs/>
          <w:szCs w:val="24"/>
          <w:lang w:eastAsia="zh-CN"/>
        </w:rPr>
        <w:t>、</w:t>
      </w:r>
      <w:r>
        <w:rPr>
          <w:rFonts w:hint="eastAsia" w:ascii="宋体" w:hAnsi="宋体" w:eastAsia="宋体" w:cs="宋体"/>
          <w:b w:val="0"/>
          <w:bCs/>
          <w:szCs w:val="24"/>
        </w:rPr>
        <w:t>质量管理措施</w:t>
      </w:r>
      <w:r>
        <w:rPr>
          <w:rFonts w:hint="eastAsia" w:cs="宋体"/>
          <w:b w:val="0"/>
          <w:bCs/>
          <w:szCs w:val="24"/>
          <w:lang w:eastAsia="zh-CN"/>
        </w:rPr>
        <w:t>、</w:t>
      </w:r>
      <w:r>
        <w:rPr>
          <w:rFonts w:hint="eastAsia" w:ascii="宋体" w:hAnsi="宋体" w:eastAsia="宋体" w:cs="宋体"/>
          <w:b w:val="0"/>
          <w:bCs/>
          <w:szCs w:val="24"/>
        </w:rPr>
        <w:t>风险控制管理。</w:t>
      </w:r>
    </w:p>
    <w:p>
      <w:pPr>
        <w:pStyle w:val="3"/>
        <w:numPr>
          <w:ilvl w:val="0"/>
          <w:numId w:val="44"/>
        </w:numPr>
        <w:wordWrap w:val="0"/>
        <w:spacing w:before="0" w:after="0" w:line="360" w:lineRule="auto"/>
        <w:ind w:left="616" w:hanging="616"/>
        <w:jc w:val="left"/>
        <w:rPr>
          <w:rFonts w:ascii="宋体" w:hAnsi="宋体" w:eastAsia="宋体" w:cstheme="minorBidi"/>
          <w:bCs w:val="0"/>
          <w:sz w:val="28"/>
          <w:szCs w:val="28"/>
        </w:rPr>
      </w:pPr>
      <w:bookmarkStart w:id="418" w:name="_Toc102116169"/>
      <w:bookmarkStart w:id="419" w:name="_Toc102057735"/>
      <w:bookmarkStart w:id="420" w:name="_Toc102119870"/>
      <w:bookmarkStart w:id="421" w:name="_Toc102116039"/>
      <w:bookmarkStart w:id="422" w:name="_Toc102114937"/>
      <w:bookmarkStart w:id="423" w:name="_Toc511894512"/>
      <w:bookmarkStart w:id="424" w:name="_Toc511889434"/>
      <w:bookmarkStart w:id="425" w:name="_Toc102056235"/>
      <w:bookmarkStart w:id="426" w:name="_Toc494561956"/>
      <w:bookmarkStart w:id="427" w:name="_Toc3152"/>
      <w:bookmarkStart w:id="428" w:name="_Toc117244371"/>
      <w:bookmarkStart w:id="429" w:name="_Toc107561289"/>
      <w:bookmarkStart w:id="430" w:name="_Toc117244486"/>
      <w:bookmarkStart w:id="431" w:name="_Toc26"/>
      <w:r>
        <w:rPr>
          <w:rFonts w:hint="eastAsia" w:ascii="宋体" w:hAnsi="宋体" w:eastAsia="宋体" w:cs="Times New Roman"/>
          <w:bCs w:val="0"/>
          <w:sz w:val="28"/>
          <w:szCs w:val="28"/>
          <w:lang w:val="zh-CN"/>
        </w:rPr>
        <w:t>商务要求</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pPr>
        <w:wordWrap w:val="0"/>
        <w:spacing w:line="360" w:lineRule="auto"/>
        <w:ind w:left="1070" w:hanging="1070" w:hangingChars="444"/>
        <w:rPr>
          <w:rFonts w:cs="仿宋_GB2312"/>
          <w:szCs w:val="24"/>
        </w:rPr>
      </w:pPr>
      <w:r>
        <w:rPr>
          <w:rFonts w:hint="eastAsia" w:cs="宋体"/>
          <w:b/>
          <w:szCs w:val="24"/>
        </w:rPr>
        <w:t>说明：</w:t>
      </w:r>
      <w:r>
        <w:rPr>
          <w:rFonts w:hint="eastAsia" w:cs="宋体"/>
          <w:szCs w:val="24"/>
        </w:rPr>
        <w:t xml:space="preserve">下表标注有“△”号的条款，为“第五章 </w:t>
      </w:r>
      <w:r>
        <w:rPr>
          <w:rFonts w:cs="宋体"/>
          <w:szCs w:val="24"/>
        </w:rPr>
        <w:t>评标办法</w:t>
      </w:r>
      <w:r>
        <w:rPr>
          <w:rFonts w:hint="eastAsia" w:cs="宋体"/>
          <w:szCs w:val="24"/>
        </w:rPr>
        <w:t>”</w:t>
      </w:r>
      <w:r>
        <w:rPr>
          <w:rFonts w:cs="宋体"/>
          <w:szCs w:val="24"/>
        </w:rPr>
        <w:t>中</w:t>
      </w:r>
      <w:r>
        <w:rPr>
          <w:rFonts w:hint="eastAsia" w:cs="宋体"/>
          <w:szCs w:val="24"/>
        </w:rPr>
        <w:t>“商务评分”的评审内容。</w:t>
      </w:r>
    </w:p>
    <w:tbl>
      <w:tblPr>
        <w:tblStyle w:val="29"/>
        <w:tblW w:w="9805"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794"/>
        <w:gridCol w:w="1740"/>
        <w:gridCol w:w="5962"/>
        <w:gridCol w:w="1309"/>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tblHeader/>
          <w:jc w:val="center"/>
        </w:trPr>
        <w:tc>
          <w:tcPr>
            <w:tcW w:w="794" w:type="dxa"/>
            <w:tcBorders>
              <w:tl2br w:val="nil"/>
              <w:tr2bl w:val="nil"/>
            </w:tcBorders>
            <w:shd w:val="pct10" w:color="C3BD96" w:themeColor="background2" w:themeShade="BF" w:fill="DDD9C4" w:themeFill="background2" w:themeFillShade="E6"/>
            <w:vAlign w:val="center"/>
          </w:tcPr>
          <w:p>
            <w:pPr>
              <w:wordWrap w:val="0"/>
              <w:spacing w:line="360" w:lineRule="auto"/>
              <w:ind w:left="-65" w:leftChars="-27" w:right="-89" w:rightChars="-37"/>
              <w:jc w:val="center"/>
              <w:rPr>
                <w:b/>
                <w:szCs w:val="24"/>
              </w:rPr>
            </w:pPr>
            <w:r>
              <w:rPr>
                <w:rFonts w:hint="eastAsia"/>
                <w:b/>
                <w:szCs w:val="24"/>
              </w:rPr>
              <w:t>序号</w:t>
            </w:r>
          </w:p>
        </w:tc>
        <w:tc>
          <w:tcPr>
            <w:tcW w:w="1740" w:type="dxa"/>
            <w:tcBorders>
              <w:tl2br w:val="nil"/>
              <w:tr2bl w:val="nil"/>
            </w:tcBorders>
            <w:shd w:val="pct10" w:color="C3BD96" w:themeColor="background2" w:themeShade="BF" w:fill="DDD9C4" w:themeFill="background2" w:themeFillShade="E6"/>
            <w:vAlign w:val="center"/>
          </w:tcPr>
          <w:p>
            <w:pPr>
              <w:widowControl/>
              <w:wordWrap w:val="0"/>
              <w:spacing w:line="360" w:lineRule="auto"/>
              <w:jc w:val="center"/>
              <w:rPr>
                <w:rFonts w:cs="宋体"/>
                <w:b/>
                <w:bCs/>
                <w:szCs w:val="24"/>
              </w:rPr>
            </w:pPr>
            <w:r>
              <w:rPr>
                <w:rFonts w:hint="eastAsia" w:cs="宋体"/>
                <w:b/>
                <w:bCs/>
                <w:szCs w:val="24"/>
              </w:rPr>
              <w:t>商务条款</w:t>
            </w:r>
          </w:p>
        </w:tc>
        <w:tc>
          <w:tcPr>
            <w:tcW w:w="5962" w:type="dxa"/>
            <w:tcBorders>
              <w:tl2br w:val="nil"/>
              <w:tr2bl w:val="nil"/>
            </w:tcBorders>
            <w:shd w:val="pct10" w:color="C3BD96" w:themeColor="background2" w:themeShade="BF" w:fill="DDD9C4" w:themeFill="background2" w:themeFillShade="E6"/>
            <w:vAlign w:val="center"/>
          </w:tcPr>
          <w:p>
            <w:pPr>
              <w:wordWrap w:val="0"/>
              <w:spacing w:line="360" w:lineRule="auto"/>
              <w:ind w:left="-106" w:leftChars="-44" w:right="-89" w:rightChars="-37"/>
              <w:jc w:val="center"/>
              <w:rPr>
                <w:b/>
                <w:szCs w:val="24"/>
              </w:rPr>
            </w:pPr>
            <w:r>
              <w:rPr>
                <w:rFonts w:hint="eastAsia"/>
                <w:b/>
                <w:szCs w:val="24"/>
              </w:rPr>
              <w:t>具体内容</w:t>
            </w:r>
          </w:p>
        </w:tc>
        <w:tc>
          <w:tcPr>
            <w:tcW w:w="1309" w:type="dxa"/>
            <w:tcBorders>
              <w:tl2br w:val="nil"/>
              <w:tr2bl w:val="nil"/>
            </w:tcBorders>
            <w:shd w:val="pct10" w:color="C3BD96" w:themeColor="background2" w:themeShade="BF" w:fill="DDD9C4" w:themeFill="background2" w:themeFillShade="E6"/>
            <w:vAlign w:val="center"/>
          </w:tcPr>
          <w:p>
            <w:pPr>
              <w:wordWrap w:val="0"/>
              <w:spacing w:line="360" w:lineRule="auto"/>
              <w:ind w:left="-122" w:leftChars="-51" w:right="-122" w:rightChars="-51"/>
              <w:jc w:val="center"/>
              <w:rPr>
                <w:b/>
                <w:szCs w:val="24"/>
              </w:rPr>
            </w:pPr>
            <w:r>
              <w:rPr>
                <w:rFonts w:hint="eastAsia"/>
                <w:b/>
                <w:szCs w:val="24"/>
              </w:rPr>
              <w:t>评分点△</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cs="宋体"/>
                <w:szCs w:val="24"/>
              </w:rPr>
            </w:pPr>
            <w:r>
              <w:rPr>
                <w:rFonts w:hint="eastAsia" w:cs="宋体"/>
                <w:szCs w:val="24"/>
              </w:rPr>
              <w:t>项目交付/施工/服务地点：</w:t>
            </w: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r>
              <w:rPr>
                <w:rFonts w:hint="eastAsia" w:cs="宋体"/>
                <w:szCs w:val="24"/>
              </w:rPr>
              <w:t>1.1采购人指定地点。</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restart"/>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vMerge w:val="restart"/>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cs="宋体"/>
                <w:szCs w:val="24"/>
              </w:rPr>
            </w:pPr>
            <w:r>
              <w:rPr>
                <w:rFonts w:hint="eastAsia" w:cs="宋体"/>
                <w:szCs w:val="24"/>
              </w:rPr>
              <w:t>报价要求</w:t>
            </w: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cs="宋体"/>
                <w:szCs w:val="24"/>
              </w:rPr>
            </w:pPr>
            <w:r>
              <w:rPr>
                <w:rFonts w:hint="eastAsia" w:cs="宋体"/>
                <w:szCs w:val="24"/>
              </w:rPr>
              <w:t>2.1投标人的报价应包含为完成本采购文件提出的货物或服务等全部相关工作所有可能发生的费用，即响应总报价为“交钥匙”价。对在合同实施过程中可能发生的其他费用，采购人概不负责。</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continue"/>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vMerge w:val="continue"/>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hint="eastAsia" w:cs="宋体"/>
                <w:szCs w:val="24"/>
              </w:rPr>
            </w:pP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hint="eastAsia" w:cs="宋体"/>
                <w:szCs w:val="24"/>
              </w:rPr>
            </w:pPr>
            <w:r>
              <w:rPr>
                <w:rFonts w:hint="eastAsia" w:cs="宋体"/>
                <w:szCs w:val="24"/>
              </w:rPr>
              <w:t>2.2对本文件未列明，而投标人认为必需的费用也需列入响应总报价。在合同实施时，采购人将不予支付中标人没有列入的项目费用，并认为此项目的费用已包含在响应总报价中。</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continue"/>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vMerge w:val="continue"/>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hint="eastAsia" w:cs="宋体"/>
                <w:szCs w:val="24"/>
              </w:rPr>
            </w:pP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hint="eastAsia" w:cs="宋体"/>
                <w:szCs w:val="24"/>
              </w:rPr>
            </w:pPr>
            <w:r>
              <w:rPr>
                <w:rFonts w:hint="eastAsia" w:cs="宋体"/>
                <w:szCs w:val="24"/>
              </w:rPr>
              <w:t>2.3投标人不得以低于其企业成本（开发、运维、实施和配套设备采购等成本）的报价投标。在评标过程中，评标委员会认为投标人的报价明显低于其他通过符合性审查投标人的报价，有可能影响服务质量或者不能诚信履约的，应当要求投标人提供书面说明，必要时提交相关证明材料。投标人不能合理说明或者不能提供相关证明材料的，评标委员会将对其作无效投标处理。</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restart"/>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vMerge w:val="restart"/>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cs="宋体"/>
                <w:szCs w:val="24"/>
              </w:rPr>
            </w:pPr>
            <w:r>
              <w:rPr>
                <w:rFonts w:hint="eastAsia" w:cs="宋体"/>
                <w:szCs w:val="24"/>
              </w:rPr>
              <w:t>包装及运输</w:t>
            </w: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cs="宋体"/>
                <w:szCs w:val="24"/>
              </w:rPr>
            </w:pPr>
            <w:r>
              <w:rPr>
                <w:rFonts w:hint="eastAsia" w:cs="宋体"/>
                <w:szCs w:val="24"/>
              </w:rPr>
              <w:t>3.1所有设备及软件须按照厂家规定的产品包装为准。若中标人提供的产品不满足招标要求，采购人有权拒收，由此产生的后果由中标人承担。</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continue"/>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vMerge w:val="continue"/>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hint="eastAsia" w:cs="宋体"/>
                <w:szCs w:val="24"/>
              </w:rPr>
            </w:pPr>
          </w:p>
        </w:tc>
        <w:tc>
          <w:tcPr>
            <w:tcW w:w="5962" w:type="dxa"/>
            <w:tcBorders>
              <w:tl2br w:val="nil"/>
              <w:tr2bl w:val="nil"/>
            </w:tcBorders>
            <w:shd w:val="clear" w:color="auto" w:fill="auto"/>
            <w:vAlign w:val="center"/>
          </w:tcPr>
          <w:p>
            <w:pPr>
              <w:wordWrap w:val="0"/>
              <w:spacing w:line="360" w:lineRule="auto"/>
              <w:ind w:right="-89" w:rightChars="-37"/>
              <w:rPr>
                <w:rFonts w:hint="eastAsia" w:cs="宋体"/>
                <w:szCs w:val="24"/>
              </w:rPr>
            </w:pPr>
            <w:r>
              <w:rPr>
                <w:rFonts w:hint="eastAsia" w:cs="宋体"/>
                <w:szCs w:val="24"/>
              </w:rPr>
              <w:t>3.2按招标要求供货，供货时必须提供全套、完整的原厂技术白皮书及产品配置清单（包括设备和软件说明书、操作手册、简单维修说明、图纸等），必要时采购人可要求提供国家权威部门出具的检测报告进行验证。</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restart"/>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vMerge w:val="restart"/>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cs="宋体"/>
                <w:szCs w:val="24"/>
              </w:rPr>
            </w:pPr>
            <w:r>
              <w:rPr>
                <w:rFonts w:hint="eastAsia" w:cs="宋体"/>
                <w:szCs w:val="24"/>
              </w:rPr>
              <w:t>资金支付</w:t>
            </w: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hint="eastAsia" w:cs="宋体"/>
                <w:szCs w:val="24"/>
              </w:rPr>
            </w:pPr>
            <w:r>
              <w:rPr>
                <w:rFonts w:hint="eastAsia" w:cs="宋体"/>
                <w:szCs w:val="24"/>
              </w:rPr>
              <w:t>4.1支付方式：合同签订</w:t>
            </w:r>
            <w:r>
              <w:rPr>
                <w:rFonts w:cs="宋体"/>
                <w:szCs w:val="24"/>
              </w:rPr>
              <w:t>之日起</w:t>
            </w:r>
            <w:r>
              <w:rPr>
                <w:rFonts w:hint="eastAsia" w:cs="宋体"/>
                <w:szCs w:val="24"/>
              </w:rPr>
              <w:t>30个</w:t>
            </w:r>
            <w:r>
              <w:rPr>
                <w:rFonts w:cs="宋体"/>
                <w:szCs w:val="24"/>
              </w:rPr>
              <w:t>工作日内，</w:t>
            </w:r>
            <w:r>
              <w:rPr>
                <w:rFonts w:hint="eastAsia" w:cs="宋体"/>
                <w:szCs w:val="24"/>
              </w:rPr>
              <w:t>甲方向乙方支付至合同金额的</w:t>
            </w:r>
            <w:r>
              <w:rPr>
                <w:rFonts w:cs="宋体"/>
                <w:szCs w:val="24"/>
              </w:rPr>
              <w:t>3</w:t>
            </w:r>
            <w:r>
              <w:rPr>
                <w:rFonts w:hint="eastAsia" w:cs="宋体"/>
                <w:szCs w:val="24"/>
              </w:rPr>
              <w:t>0%</w:t>
            </w:r>
            <w:r>
              <w:rPr>
                <w:rFonts w:hint="eastAsia" w:cs="宋体"/>
                <w:szCs w:val="24"/>
                <w:lang w:eastAsia="zh-CN"/>
              </w:rPr>
              <w:t>作为预付款</w:t>
            </w:r>
            <w:r>
              <w:rPr>
                <w:rFonts w:hint="eastAsia" w:cs="宋体"/>
                <w:szCs w:val="24"/>
              </w:rPr>
              <w:t>；项目系统终验合格（各医疗机构系统全部上线运行，且</w:t>
            </w:r>
            <w:r>
              <w:rPr>
                <w:rFonts w:cs="宋体"/>
                <w:szCs w:val="24"/>
              </w:rPr>
              <w:t>完成</w:t>
            </w:r>
            <w:r>
              <w:rPr>
                <w:rFonts w:hint="eastAsia" w:cs="宋体"/>
                <w:szCs w:val="24"/>
              </w:rPr>
              <w:t>黄冈市中心医院集成平台对接），甲方向乙方支付合同金额的60%；</w:t>
            </w:r>
          </w:p>
          <w:p>
            <w:pPr>
              <w:tabs>
                <w:tab w:val="left" w:pos="351"/>
                <w:tab w:val="left" w:pos="816"/>
              </w:tabs>
              <w:wordWrap w:val="0"/>
              <w:spacing w:line="360" w:lineRule="auto"/>
              <w:ind w:right="-58" w:rightChars="-24"/>
              <w:jc w:val="left"/>
              <w:rPr>
                <w:rFonts w:hint="eastAsia" w:cs="宋体"/>
                <w:strike/>
                <w:szCs w:val="24"/>
              </w:rPr>
            </w:pPr>
            <w:r>
              <w:rPr>
                <w:rFonts w:hint="eastAsia" w:cs="宋体"/>
                <w:szCs w:val="24"/>
              </w:rPr>
              <w:t>剩余</w:t>
            </w:r>
            <w:r>
              <w:rPr>
                <w:rFonts w:cs="宋体"/>
                <w:szCs w:val="24"/>
              </w:rPr>
              <w:t>1</w:t>
            </w:r>
            <w:r>
              <w:rPr>
                <w:rFonts w:hint="eastAsia" w:cs="宋体"/>
                <w:szCs w:val="24"/>
              </w:rPr>
              <w:t>0%价款自项目系统终验合格之日</w:t>
            </w:r>
            <w:r>
              <w:rPr>
                <w:rFonts w:cs="宋体"/>
                <w:szCs w:val="24"/>
              </w:rPr>
              <w:t>起一年内付清。</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continue"/>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vMerge w:val="continue"/>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hint="eastAsia" w:cs="宋体"/>
                <w:szCs w:val="24"/>
              </w:rPr>
            </w:pP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hint="eastAsia" w:cs="宋体"/>
                <w:strike/>
                <w:szCs w:val="24"/>
              </w:rPr>
            </w:pPr>
            <w:r>
              <w:rPr>
                <w:rFonts w:hint="eastAsia" w:cs="宋体"/>
                <w:szCs w:val="24"/>
              </w:rPr>
              <w:t>4.2中标人必须按国家有关财税规定开具发票。对于满足合同约定支付条件的，采购人应当自收到发票后25日内完成资金支付。</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restart"/>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vMerge w:val="restart"/>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cs="宋体"/>
                <w:szCs w:val="24"/>
              </w:rPr>
            </w:pPr>
            <w:r>
              <w:rPr>
                <w:rFonts w:hint="eastAsia" w:cs="宋体"/>
                <w:szCs w:val="24"/>
              </w:rPr>
              <w:t>进度计划及控制</w:t>
            </w: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cs="宋体"/>
                <w:szCs w:val="24"/>
              </w:rPr>
            </w:pPr>
            <w:r>
              <w:rPr>
                <w:rFonts w:hint="eastAsia" w:cs="宋体"/>
                <w:szCs w:val="24"/>
              </w:rPr>
              <w:t>5.1</w:t>
            </w:r>
            <w:r>
              <w:rPr>
                <w:rFonts w:hint="eastAsia" w:cs="宋体"/>
                <w:szCs w:val="24"/>
                <w:lang w:eastAsia="zh-CN"/>
              </w:rPr>
              <w:t>投标人应</w:t>
            </w:r>
            <w:r>
              <w:rPr>
                <w:rFonts w:hint="eastAsia" w:cs="宋体"/>
                <w:szCs w:val="24"/>
              </w:rPr>
              <w:t>对</w:t>
            </w:r>
            <w:r>
              <w:rPr>
                <w:rFonts w:hint="eastAsia" w:cs="宋体"/>
                <w:szCs w:val="24"/>
                <w:lang w:eastAsia="zh-CN"/>
              </w:rPr>
              <w:t>本</w:t>
            </w:r>
            <w:r>
              <w:rPr>
                <w:rFonts w:hint="eastAsia" w:cs="宋体"/>
                <w:szCs w:val="24"/>
              </w:rPr>
              <w:t>项目实施的各个阶段：需求分析阶段、系统配置、系统集成实施准备阶段、系统培训阶段、系统部署阶段、系统初验测试阶段、系统试运行阶段、系统终验阶段的进度做出详细的计划。对项目实施的进度计划及控制中各阶段中投标人所要做的工作及保障措施做出详细安排。</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continue"/>
            <w:tcBorders>
              <w:tl2br w:val="nil"/>
              <w:tr2bl w:val="nil"/>
            </w:tcBorders>
            <w:shd w:val="clear" w:color="auto" w:fill="auto"/>
            <w:vAlign w:val="center"/>
          </w:tcPr>
          <w:p>
            <w:pPr>
              <w:pStyle w:val="43"/>
              <w:numPr>
                <w:ilvl w:val="0"/>
                <w:numId w:val="45"/>
              </w:numPr>
              <w:tabs>
                <w:tab w:val="left" w:pos="72"/>
              </w:tabs>
              <w:wordWrap w:val="0"/>
              <w:spacing w:line="360" w:lineRule="auto"/>
              <w:ind w:firstLineChars="0"/>
              <w:jc w:val="center"/>
              <w:rPr>
                <w:szCs w:val="24"/>
              </w:rPr>
            </w:pPr>
          </w:p>
        </w:tc>
        <w:tc>
          <w:tcPr>
            <w:tcW w:w="1740" w:type="dxa"/>
            <w:vMerge w:val="continue"/>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cs="宋体"/>
                <w:szCs w:val="24"/>
              </w:rPr>
            </w:pP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hint="eastAsia" w:cs="宋体"/>
                <w:szCs w:val="24"/>
              </w:rPr>
            </w:pPr>
            <w:r>
              <w:rPr>
                <w:rFonts w:hint="eastAsia" w:cs="宋体"/>
                <w:szCs w:val="24"/>
              </w:rPr>
              <w:t>5.</w:t>
            </w:r>
            <w:r>
              <w:rPr>
                <w:rFonts w:hint="eastAsia" w:cs="宋体"/>
                <w:szCs w:val="24"/>
                <w:lang w:val="en-US" w:eastAsia="zh-CN"/>
              </w:rPr>
              <w:t>2</w:t>
            </w:r>
            <w:r>
              <w:rPr>
                <w:rFonts w:hint="eastAsia" w:cs="宋体"/>
                <w:szCs w:val="24"/>
                <w:lang w:eastAsia="zh-CN"/>
              </w:rPr>
              <w:t>投标人应</w:t>
            </w:r>
            <w:r>
              <w:rPr>
                <w:rFonts w:hint="eastAsia" w:cs="宋体"/>
                <w:szCs w:val="24"/>
              </w:rPr>
              <w:t>对</w:t>
            </w:r>
            <w:r>
              <w:rPr>
                <w:rFonts w:hint="eastAsia" w:cs="宋体"/>
                <w:szCs w:val="24"/>
                <w:lang w:val="en-US" w:eastAsia="zh-CN"/>
              </w:rPr>
              <w:t>本项目的工程实施进行风险控制</w:t>
            </w:r>
            <w:r>
              <w:rPr>
                <w:rFonts w:hint="eastAsia" w:cs="宋体"/>
                <w:szCs w:val="24"/>
              </w:rPr>
              <w:t>。</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hint="eastAsia" w:eastAsia="宋体" w:cs="宋体"/>
                <w:szCs w:val="24"/>
                <w:lang w:eastAsia="zh-CN"/>
              </w:rPr>
            </w:pPr>
            <w:r>
              <w:rPr>
                <w:rFonts w:hint="eastAsia" w:cs="宋体"/>
                <w:szCs w:val="24"/>
                <w:lang w:eastAsia="zh-CN"/>
              </w:rPr>
              <w:t>质量管理要求</w:t>
            </w: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hint="default" w:eastAsia="宋体" w:cs="宋体"/>
                <w:szCs w:val="24"/>
                <w:lang w:val="en-US" w:eastAsia="zh-CN"/>
              </w:rPr>
            </w:pPr>
            <w:r>
              <w:rPr>
                <w:rFonts w:hint="eastAsia" w:cs="宋体"/>
                <w:szCs w:val="24"/>
                <w:lang w:val="en-US" w:eastAsia="zh-CN"/>
              </w:rPr>
              <w:t>6.1投标人应提出项目实施中的集成技术设计、设备釆购、系统开发、安装调试和项目售后服务的全过程质量管理及控制提出具体措施，并提出质量保障目标的承诺。</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hint="eastAsia" w:cs="宋体"/>
                <w:szCs w:val="24"/>
                <w:lang w:eastAsia="zh-CN"/>
              </w:rPr>
            </w:pPr>
            <w:r>
              <w:rPr>
                <w:rFonts w:hint="eastAsia" w:cs="宋体"/>
                <w:szCs w:val="24"/>
                <w:lang w:eastAsia="zh-CN"/>
              </w:rPr>
              <w:t>运维要求</w:t>
            </w: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hint="default" w:cs="宋体"/>
                <w:szCs w:val="24"/>
                <w:lang w:val="en-US" w:eastAsia="zh-CN"/>
              </w:rPr>
            </w:pPr>
            <w:r>
              <w:rPr>
                <w:rFonts w:hint="eastAsia" w:cs="宋体"/>
                <w:szCs w:val="24"/>
                <w:lang w:val="en-US" w:eastAsia="zh-CN"/>
              </w:rPr>
              <w:t>7.1支持云运维模式，从运维端能够直接监控各组织单元的资源、性能、效率，并能实时配置调整；支持控件、业务逻辑功能等灰度升级，启动加载前的功能补丁等在线实时更新。</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31" w:hRule="atLeast"/>
          <w:jc w:val="center"/>
        </w:trPr>
        <w:tc>
          <w:tcPr>
            <w:tcW w:w="794" w:type="dxa"/>
            <w:vMerge w:val="restart"/>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vMerge w:val="restart"/>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hint="eastAsia" w:cs="宋体"/>
                <w:szCs w:val="24"/>
                <w:lang w:eastAsia="zh-CN"/>
              </w:rPr>
            </w:pPr>
            <w:r>
              <w:rPr>
                <w:rFonts w:hint="eastAsia" w:cs="宋体"/>
                <w:szCs w:val="24"/>
                <w:lang w:eastAsia="zh-CN"/>
              </w:rPr>
              <w:t>交付及验收</w:t>
            </w: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hint="default" w:cs="宋体"/>
                <w:szCs w:val="24"/>
                <w:lang w:val="en-US" w:eastAsia="zh-CN"/>
              </w:rPr>
            </w:pPr>
            <w:r>
              <w:rPr>
                <w:rFonts w:hint="eastAsia" w:cs="宋体"/>
                <w:szCs w:val="24"/>
                <w:lang w:val="en-US" w:eastAsia="zh-CN"/>
              </w:rPr>
              <w:t>8.1验收方法：1）系统验收：系统稳定运行1个月后，即可进入验收阶段。由中标方提出书面验收申请，采购人组织验收流程，出具验收报告。在进行最终验收前，中标人应提供相应的验收文档，包括但不限于实施报告，试运行阶段运行记录，系统设计文档、系统测试文档、系统用户操作手册、系统培训资料等。2）验收报告签字之日为采购项目验收合格日期。验收不合格部分，中标人应根据采购方意见提供书面的整改方案并立即实施补救，直到整体项目验收合格。</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31" w:hRule="atLeast"/>
          <w:jc w:val="center"/>
        </w:trPr>
        <w:tc>
          <w:tcPr>
            <w:tcW w:w="794" w:type="dxa"/>
            <w:vMerge w:val="continue"/>
            <w:tcBorders>
              <w:tl2br w:val="nil"/>
              <w:tr2bl w:val="nil"/>
            </w:tcBorders>
            <w:shd w:val="clear" w:color="auto" w:fill="auto"/>
            <w:vAlign w:val="center"/>
          </w:tcPr>
          <w:p>
            <w:pPr>
              <w:tabs>
                <w:tab w:val="left" w:pos="351"/>
                <w:tab w:val="left" w:pos="816"/>
              </w:tabs>
              <w:wordWrap w:val="0"/>
              <w:spacing w:line="360" w:lineRule="auto"/>
              <w:ind w:right="-58" w:rightChars="-24"/>
            </w:pPr>
          </w:p>
        </w:tc>
        <w:tc>
          <w:tcPr>
            <w:tcW w:w="1740" w:type="dxa"/>
            <w:vMerge w:val="continue"/>
            <w:tcBorders>
              <w:tl2br w:val="nil"/>
              <w:tr2bl w:val="nil"/>
            </w:tcBorders>
            <w:shd w:val="clear" w:color="auto" w:fill="auto"/>
            <w:vAlign w:val="center"/>
          </w:tcPr>
          <w:p>
            <w:pPr>
              <w:tabs>
                <w:tab w:val="left" w:pos="351"/>
                <w:tab w:val="left" w:pos="816"/>
              </w:tabs>
              <w:wordWrap w:val="0"/>
              <w:spacing w:line="360" w:lineRule="auto"/>
              <w:ind w:right="-58" w:rightChars="-24"/>
            </w:pP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rPr>
                <w:rFonts w:hint="default" w:cs="宋体"/>
                <w:szCs w:val="24"/>
                <w:lang w:val="en-US" w:eastAsia="zh-CN"/>
              </w:rPr>
            </w:pPr>
            <w:r>
              <w:rPr>
                <w:rFonts w:hint="eastAsia" w:cs="宋体"/>
                <w:szCs w:val="24"/>
                <w:lang w:val="en-US" w:eastAsia="zh-CN"/>
              </w:rPr>
              <w:t>8.2验收标准：1）对系统功能进行逐项测试，达到中标人的中标承诺及采购需求技术标准。2）系统上线稳定运行，满足采购人相应部门及科室的日常运行要求，达到合同约定的系统功能和技术指标要求。3）保证产品符合安全可靠测评要求。4）确保项目产品及时更新、升级，并提供相关技术服务。</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hint="eastAsia" w:cs="宋体"/>
                <w:szCs w:val="24"/>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31" w:hRule="atLeast"/>
          <w:jc w:val="center"/>
        </w:trPr>
        <w:tc>
          <w:tcPr>
            <w:tcW w:w="794" w:type="dxa"/>
            <w:vMerge w:val="restart"/>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vMerge w:val="restart"/>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hint="eastAsia" w:eastAsia="宋体" w:cs="宋体"/>
                <w:szCs w:val="24"/>
                <w:lang w:eastAsia="zh-CN"/>
              </w:rPr>
            </w:pPr>
            <w:r>
              <w:rPr>
                <w:rFonts w:hint="eastAsia" w:cs="宋体"/>
                <w:szCs w:val="24"/>
                <w:lang w:eastAsia="zh-CN"/>
              </w:rPr>
              <w:t>培训要求</w:t>
            </w: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hint="eastAsia" w:cs="宋体"/>
                <w:szCs w:val="24"/>
              </w:rPr>
            </w:pPr>
            <w:r>
              <w:rPr>
                <w:rFonts w:hint="eastAsia" w:cs="宋体"/>
                <w:szCs w:val="24"/>
                <w:lang w:val="en-US" w:eastAsia="zh-CN"/>
              </w:rPr>
              <w:t>9.1培训要求：1）</w:t>
            </w:r>
            <w:r>
              <w:rPr>
                <w:rFonts w:hint="eastAsia" w:cs="宋体"/>
                <w:szCs w:val="24"/>
              </w:rPr>
              <w:t>对釆购人主要技术人员和骨干用户提供使用及维护培训，对普通用户提供使用培训；2</w:t>
            </w:r>
            <w:r>
              <w:rPr>
                <w:rFonts w:hint="eastAsia" w:cs="宋体"/>
                <w:szCs w:val="24"/>
                <w:lang w:eastAsia="zh-CN"/>
              </w:rPr>
              <w:t>）</w:t>
            </w:r>
            <w:r>
              <w:rPr>
                <w:rFonts w:hint="eastAsia" w:cs="宋体"/>
                <w:szCs w:val="24"/>
              </w:rPr>
              <w:t>对釆购人主要技术人员提供对系统开发用到的主要技术培训，如操作系统、数据库、开发工具的厂家认证培训，以及应用系统平台的二次开发培训；3</w:t>
            </w:r>
            <w:r>
              <w:rPr>
                <w:rFonts w:hint="eastAsia" w:cs="宋体"/>
                <w:szCs w:val="24"/>
                <w:lang w:eastAsia="zh-CN"/>
              </w:rPr>
              <w:t>）</w:t>
            </w:r>
            <w:r>
              <w:rPr>
                <w:rFonts w:hint="eastAsia" w:cs="宋体"/>
                <w:szCs w:val="24"/>
              </w:rPr>
              <w:t>所提供的培训课程表随投标文件一起提交；4</w:t>
            </w:r>
            <w:r>
              <w:rPr>
                <w:rFonts w:hint="eastAsia" w:cs="宋体"/>
                <w:szCs w:val="24"/>
                <w:lang w:eastAsia="zh-CN"/>
              </w:rPr>
              <w:t>）</w:t>
            </w:r>
            <w:r>
              <w:rPr>
                <w:rFonts w:hint="eastAsia" w:cs="宋体"/>
                <w:szCs w:val="24"/>
              </w:rPr>
              <w:t>投标人必须为所有被培训人员提供培训用文字资料和讲义等相关用品，所有的资料必须是中文书写。</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31" w:hRule="atLeast"/>
          <w:jc w:val="center"/>
        </w:trPr>
        <w:tc>
          <w:tcPr>
            <w:tcW w:w="794" w:type="dxa"/>
            <w:vMerge w:val="continue"/>
            <w:tcBorders>
              <w:tl2br w:val="nil"/>
              <w:tr2bl w:val="nil"/>
            </w:tcBorders>
            <w:shd w:val="clear" w:color="auto" w:fill="auto"/>
            <w:vAlign w:val="center"/>
          </w:tcPr>
          <w:p>
            <w:pPr>
              <w:tabs>
                <w:tab w:val="left" w:pos="351"/>
                <w:tab w:val="left" w:pos="816"/>
              </w:tabs>
              <w:wordWrap w:val="0"/>
              <w:spacing w:line="360" w:lineRule="auto"/>
              <w:ind w:right="-58" w:rightChars="-24"/>
            </w:pPr>
          </w:p>
        </w:tc>
        <w:tc>
          <w:tcPr>
            <w:tcW w:w="1740" w:type="dxa"/>
            <w:vMerge w:val="continue"/>
            <w:tcBorders>
              <w:tl2br w:val="nil"/>
              <w:tr2bl w:val="nil"/>
            </w:tcBorders>
            <w:shd w:val="clear" w:color="auto" w:fill="auto"/>
            <w:vAlign w:val="center"/>
          </w:tcPr>
          <w:p>
            <w:pPr>
              <w:tabs>
                <w:tab w:val="left" w:pos="351"/>
                <w:tab w:val="left" w:pos="816"/>
              </w:tabs>
              <w:wordWrap w:val="0"/>
              <w:spacing w:line="360" w:lineRule="auto"/>
              <w:ind w:right="-58" w:rightChars="-24"/>
            </w:pP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rPr>
                <w:rFonts w:hint="default" w:eastAsia="宋体" w:cs="宋体"/>
                <w:szCs w:val="24"/>
                <w:lang w:val="en-US" w:eastAsia="zh-CN"/>
              </w:rPr>
            </w:pPr>
            <w:r>
              <w:rPr>
                <w:rFonts w:hint="eastAsia" w:cs="宋体"/>
                <w:szCs w:val="24"/>
                <w:lang w:val="en-US" w:eastAsia="zh-CN"/>
              </w:rPr>
              <w:t>9.2</w:t>
            </w:r>
            <w:r>
              <w:rPr>
                <w:rFonts w:hint="eastAsia" w:cs="宋体"/>
                <w:szCs w:val="24"/>
              </w:rPr>
              <w:t>投标人</w:t>
            </w:r>
            <w:r>
              <w:rPr>
                <w:rFonts w:hint="eastAsia" w:cs="宋体"/>
                <w:szCs w:val="24"/>
                <w:lang w:eastAsia="zh-CN"/>
              </w:rPr>
              <w:t>应</w:t>
            </w:r>
            <w:r>
              <w:rPr>
                <w:rFonts w:hint="eastAsia" w:cs="宋体"/>
                <w:szCs w:val="24"/>
              </w:rPr>
              <w:t>根据项目建设实际需要，制定培训方案，至少包括：①系统操作</w:t>
            </w:r>
            <w:r>
              <w:rPr>
                <w:rFonts w:hint="eastAsia" w:cs="宋体"/>
                <w:szCs w:val="24"/>
                <w:lang w:eastAsia="zh-CN"/>
              </w:rPr>
              <w:t>培训要点及培训计划；</w:t>
            </w:r>
            <w:r>
              <w:rPr>
                <w:rFonts w:hint="eastAsia" w:cs="宋体"/>
                <w:szCs w:val="24"/>
              </w:rPr>
              <w:t>②故障排除</w:t>
            </w:r>
            <w:r>
              <w:rPr>
                <w:rFonts w:hint="eastAsia" w:cs="宋体"/>
                <w:szCs w:val="24"/>
                <w:lang w:eastAsia="zh-CN"/>
              </w:rPr>
              <w:t>培训要点及培训计划；</w:t>
            </w:r>
            <w:r>
              <w:rPr>
                <w:rFonts w:hint="eastAsia" w:cs="宋体"/>
                <w:szCs w:val="24"/>
              </w:rPr>
              <w:t>③运行原理培训</w:t>
            </w:r>
            <w:r>
              <w:rPr>
                <w:rFonts w:hint="eastAsia" w:cs="宋体"/>
                <w:szCs w:val="24"/>
                <w:lang w:eastAsia="zh-CN"/>
              </w:rPr>
              <w:t>要点及培训计划</w:t>
            </w:r>
            <w:r>
              <w:rPr>
                <w:rFonts w:hint="eastAsia" w:cs="宋体"/>
                <w:szCs w:val="24"/>
              </w:rPr>
              <w:t>。</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hint="eastAsia" w:cs="宋体"/>
                <w:szCs w:val="24"/>
              </w:rPr>
            </w:pPr>
            <w:r>
              <w:rPr>
                <w:rFonts w:hint="eastAsia" w:cs="宋体"/>
                <w:szCs w:val="24"/>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restart"/>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vMerge w:val="restart"/>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cs="宋体"/>
                <w:szCs w:val="24"/>
              </w:rPr>
            </w:pPr>
            <w:r>
              <w:rPr>
                <w:rFonts w:hint="eastAsia" w:cs="宋体"/>
                <w:szCs w:val="24"/>
              </w:rPr>
              <w:t>质保（服务）范围、要求</w:t>
            </w: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cs="宋体"/>
                <w:szCs w:val="24"/>
              </w:rPr>
            </w:pPr>
            <w:r>
              <w:rPr>
                <w:rFonts w:hint="eastAsia" w:cs="宋体"/>
                <w:szCs w:val="24"/>
                <w:lang w:val="en-US" w:eastAsia="zh-CN"/>
              </w:rPr>
              <w:t>10</w:t>
            </w:r>
            <w:r>
              <w:rPr>
                <w:rFonts w:hint="eastAsia" w:cs="宋体"/>
                <w:szCs w:val="24"/>
              </w:rPr>
              <w:t>.1投标人应有良好的服务理念和完善的售后服务体系，能够提供较好的技术服务</w:t>
            </w:r>
            <w:r>
              <w:rPr>
                <w:rFonts w:hint="eastAsia" w:cs="宋体"/>
                <w:szCs w:val="24"/>
                <w:lang w:eastAsia="zh-CN"/>
              </w:rPr>
              <w:t>，</w:t>
            </w:r>
            <w:r>
              <w:rPr>
                <w:rFonts w:hint="eastAsia" w:cs="宋体"/>
                <w:szCs w:val="24"/>
              </w:rPr>
              <w:t>根据项目建设实际需要，制定售后服务保障方案，至少包括：售后服务组织架构及人员配置；售后服务人员职责分工及服务计划；服务响应方案及响应时间保障措施；运维质量保障措施。</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cs="宋体"/>
                <w:szCs w:val="24"/>
              </w:rPr>
            </w:pPr>
            <w:r>
              <w:rPr>
                <w:rFonts w:hint="eastAsia" w:cs="宋体"/>
                <w:szCs w:val="24"/>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continue"/>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vMerge w:val="continue"/>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hint="eastAsia" w:cs="宋体"/>
                <w:szCs w:val="24"/>
              </w:rPr>
            </w:pP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hint="eastAsia" w:cs="宋体"/>
                <w:szCs w:val="24"/>
              </w:rPr>
            </w:pPr>
            <w:r>
              <w:rPr>
                <w:rFonts w:hint="eastAsia" w:cs="宋体"/>
                <w:szCs w:val="24"/>
                <w:lang w:val="en-US" w:eastAsia="zh-CN"/>
              </w:rPr>
              <w:t>10</w:t>
            </w:r>
            <w:r>
              <w:rPr>
                <w:rFonts w:hint="eastAsia" w:cs="宋体"/>
                <w:szCs w:val="24"/>
              </w:rPr>
              <w:t>.2针对本项目，提出完整而切实可行的服务方案。其中，至少应提供7×24小时热线电话、远程网络、现场等服务方式。热线电话和远程网络提供技术咨询和即时服务，1小时内给予明确的响应并解决；现场服务适用于排解重大故障，应在接到医疗集团服务请求后2小时内到达现场解决。</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continue"/>
            <w:tcBorders>
              <w:tl2br w:val="nil"/>
              <w:tr2bl w:val="nil"/>
            </w:tcBorders>
            <w:shd w:val="clear" w:color="auto" w:fill="auto"/>
            <w:vAlign w:val="center"/>
          </w:tcPr>
          <w:p>
            <w:pPr>
              <w:pStyle w:val="43"/>
              <w:numPr>
                <w:ilvl w:val="0"/>
                <w:numId w:val="45"/>
              </w:numPr>
              <w:tabs>
                <w:tab w:val="left" w:pos="72"/>
              </w:tabs>
              <w:wordWrap w:val="0"/>
              <w:spacing w:line="360" w:lineRule="auto"/>
              <w:ind w:firstLineChars="0"/>
              <w:jc w:val="center"/>
              <w:rPr>
                <w:szCs w:val="24"/>
              </w:rPr>
            </w:pPr>
          </w:p>
        </w:tc>
        <w:tc>
          <w:tcPr>
            <w:tcW w:w="1740" w:type="dxa"/>
            <w:vMerge w:val="continue"/>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cs="宋体"/>
                <w:szCs w:val="24"/>
              </w:rPr>
            </w:pP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hint="eastAsia" w:cs="宋体"/>
                <w:szCs w:val="24"/>
              </w:rPr>
            </w:pPr>
            <w:r>
              <w:rPr>
                <w:rFonts w:hint="eastAsia" w:cs="宋体"/>
                <w:szCs w:val="24"/>
                <w:lang w:val="en-US" w:eastAsia="zh-CN"/>
              </w:rPr>
              <w:t>10</w:t>
            </w:r>
            <w:r>
              <w:rPr>
                <w:rFonts w:hint="eastAsia" w:cs="宋体"/>
                <w:szCs w:val="24"/>
              </w:rPr>
              <w:t>.</w:t>
            </w:r>
            <w:r>
              <w:rPr>
                <w:rFonts w:hint="eastAsia" w:cs="宋体"/>
                <w:szCs w:val="24"/>
                <w:lang w:val="en-US" w:eastAsia="zh-CN"/>
              </w:rPr>
              <w:t>3</w:t>
            </w:r>
            <w:r>
              <w:rPr>
                <w:rFonts w:hint="eastAsia" w:cs="宋体"/>
                <w:szCs w:val="24"/>
              </w:rPr>
              <w:t>质保期：从项目整体验收通过之日起1年。质保期内，投标人须保证免费按时完成因政策调整、业务管理模式改变等而进行业务应用系统的升级和维护。</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restart"/>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vMerge w:val="restart"/>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cs="宋体"/>
                <w:szCs w:val="24"/>
              </w:rPr>
            </w:pPr>
            <w:r>
              <w:rPr>
                <w:rFonts w:hint="eastAsia" w:cs="宋体"/>
                <w:szCs w:val="24"/>
              </w:rPr>
              <w:t>违约责任</w:t>
            </w: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cs="宋体"/>
                <w:szCs w:val="24"/>
              </w:rPr>
            </w:pPr>
            <w:r>
              <w:rPr>
                <w:rFonts w:hint="eastAsia" w:cs="宋体"/>
                <w:szCs w:val="24"/>
                <w:lang w:val="en-US" w:eastAsia="zh-CN"/>
              </w:rPr>
              <w:t>11</w:t>
            </w:r>
            <w:r>
              <w:rPr>
                <w:rFonts w:hint="eastAsia" w:cs="宋体"/>
                <w:szCs w:val="24"/>
              </w:rPr>
              <w:t>.1中标人违约承担违约责任。所有成交内容均需按照采购文件指标要求进行检查核对后方可进行报验，不满足采购文件“★”指标和响应承诺的，采购人有权不对其进行验收；同时中标人对不满足要求的内容承担违约责任。</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continue"/>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vMerge w:val="continue"/>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hint="eastAsia" w:cs="宋体"/>
                <w:szCs w:val="24"/>
              </w:rPr>
            </w:pP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hint="eastAsia" w:cs="宋体"/>
                <w:szCs w:val="24"/>
              </w:rPr>
            </w:pPr>
            <w:r>
              <w:rPr>
                <w:rFonts w:hint="eastAsia" w:cs="宋体"/>
                <w:szCs w:val="24"/>
                <w:lang w:val="en-US" w:eastAsia="zh-CN"/>
              </w:rPr>
              <w:t>11</w:t>
            </w:r>
            <w:r>
              <w:rPr>
                <w:rFonts w:hint="eastAsia" w:cs="宋体"/>
                <w:szCs w:val="24"/>
              </w:rPr>
              <w:t>.2若非采购人原因，中标人逾期提供货物（服务）的，中标人向采购人支付逾期违约金，逾期违约金为每延误一天的赔偿费按总价款用的</w:t>
            </w:r>
            <w:r>
              <w:rPr>
                <w:rFonts w:hint="eastAsia" w:cs="宋体"/>
                <w:b/>
                <w:szCs w:val="24"/>
                <w:u w:val="single"/>
              </w:rPr>
              <w:t>百分之零点一</w:t>
            </w:r>
            <w:r>
              <w:rPr>
                <w:rFonts w:hint="eastAsia" w:cs="宋体"/>
                <w:szCs w:val="24"/>
              </w:rPr>
              <w:t>计收，直至提供货物（服务）为止。误期赔偿费的最高限额为合同价格的</w:t>
            </w:r>
            <w:r>
              <w:rPr>
                <w:rFonts w:hint="eastAsia" w:cs="宋体"/>
                <w:b/>
                <w:szCs w:val="24"/>
                <w:u w:val="single"/>
              </w:rPr>
              <w:t>百分之三</w:t>
            </w:r>
            <w:r>
              <w:rPr>
                <w:rFonts w:hint="eastAsia" w:cs="宋体"/>
                <w:szCs w:val="24"/>
              </w:rPr>
              <w:t>。一旦达到误期赔偿最高限额且仍无法按期提供货物（服务）的，采购人有权终止合同。</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continue"/>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vMerge w:val="continue"/>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hint="eastAsia" w:cs="宋体"/>
                <w:szCs w:val="24"/>
              </w:rPr>
            </w:pP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hint="eastAsia" w:cs="宋体"/>
                <w:szCs w:val="24"/>
              </w:rPr>
            </w:pPr>
            <w:r>
              <w:rPr>
                <w:rFonts w:hint="eastAsia" w:cs="宋体"/>
                <w:szCs w:val="24"/>
                <w:lang w:val="en-US" w:eastAsia="zh-CN"/>
              </w:rPr>
              <w:t>11</w:t>
            </w:r>
            <w:r>
              <w:rPr>
                <w:rFonts w:hint="eastAsia" w:cs="宋体"/>
                <w:szCs w:val="24"/>
              </w:rPr>
              <w:t>.3为保证本项目顺利实施交付，项目实施期内，本次所投项目负责人和项目团队成员须全员到实施现场驻场，按照采购人要求进行项目实施交付直至项目验收。如无法满足要求，采购人有权终止合同，同时中标人需承担相应违约责任。</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restart"/>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vMerge w:val="restart"/>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cs="宋体"/>
                <w:szCs w:val="24"/>
              </w:rPr>
            </w:pPr>
            <w:r>
              <w:rPr>
                <w:rFonts w:hint="eastAsia" w:cs="宋体"/>
                <w:szCs w:val="24"/>
              </w:rPr>
              <w:t>拟派项目班子成员</w:t>
            </w:r>
          </w:p>
        </w:tc>
        <w:tc>
          <w:tcPr>
            <w:tcW w:w="5962" w:type="dxa"/>
            <w:tcBorders>
              <w:tl2br w:val="nil"/>
              <w:tr2bl w:val="nil"/>
            </w:tcBorders>
            <w:shd w:val="clear" w:color="auto" w:fill="auto"/>
            <w:vAlign w:val="center"/>
          </w:tcPr>
          <w:p>
            <w:pPr>
              <w:wordWrap w:val="0"/>
              <w:spacing w:line="360" w:lineRule="auto"/>
              <w:ind w:right="-89" w:rightChars="-37"/>
              <w:rPr>
                <w:rFonts w:cs="宋体"/>
                <w:iCs/>
                <w:szCs w:val="24"/>
              </w:rPr>
            </w:pPr>
            <w:r>
              <w:rPr>
                <w:rFonts w:hint="eastAsia" w:cs="宋体"/>
                <w:iCs/>
                <w:szCs w:val="24"/>
                <w:lang w:val="en-US" w:eastAsia="zh-CN"/>
              </w:rPr>
              <w:t>12</w:t>
            </w:r>
            <w:r>
              <w:rPr>
                <w:rFonts w:hint="eastAsia" w:cs="宋体"/>
                <w:iCs/>
                <w:szCs w:val="24"/>
              </w:rPr>
              <w:t>.1投标人</w:t>
            </w:r>
            <w:r>
              <w:rPr>
                <w:rFonts w:hint="eastAsia" w:cs="宋体"/>
                <w:iCs/>
                <w:szCs w:val="24"/>
                <w:lang w:eastAsia="zh-CN"/>
              </w:rPr>
              <w:t>应派遣</w:t>
            </w:r>
            <w:r>
              <w:rPr>
                <w:rFonts w:hint="eastAsia" w:cs="宋体"/>
                <w:iCs/>
                <w:szCs w:val="24"/>
              </w:rPr>
              <w:t>不少于10人</w:t>
            </w:r>
            <w:r>
              <w:rPr>
                <w:rFonts w:hint="eastAsia" w:cs="宋体"/>
                <w:iCs/>
                <w:szCs w:val="24"/>
                <w:lang w:eastAsia="zh-CN"/>
              </w:rPr>
              <w:t>专业技术人员队伍，提供现场驻场服务，以</w:t>
            </w:r>
            <w:r>
              <w:rPr>
                <w:rFonts w:hint="eastAsia" w:cs="宋体"/>
                <w:iCs/>
                <w:szCs w:val="24"/>
              </w:rPr>
              <w:t>保障本项目稳定有序推进。</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cs="宋体"/>
                <w:szCs w:val="24"/>
              </w:rPr>
            </w:pPr>
            <w:r>
              <w:rPr>
                <w:rFonts w:hint="eastAsia" w:cs="宋体"/>
                <w:szCs w:val="24"/>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restart"/>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vMerge w:val="restart"/>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cs="宋体"/>
                <w:szCs w:val="24"/>
              </w:rPr>
            </w:pPr>
            <w:r>
              <w:rPr>
                <w:rFonts w:hint="eastAsia" w:cs="宋体"/>
                <w:szCs w:val="24"/>
              </w:rPr>
              <w:t>投标人实力</w:t>
            </w:r>
          </w:p>
        </w:tc>
        <w:tc>
          <w:tcPr>
            <w:tcW w:w="5962" w:type="dxa"/>
            <w:tcBorders>
              <w:tl2br w:val="nil"/>
              <w:tr2bl w:val="nil"/>
            </w:tcBorders>
            <w:shd w:val="clear" w:color="auto" w:fill="auto"/>
            <w:vAlign w:val="center"/>
          </w:tcPr>
          <w:p>
            <w:pPr>
              <w:wordWrap w:val="0"/>
              <w:spacing w:line="360" w:lineRule="auto"/>
              <w:ind w:right="-89" w:rightChars="-37"/>
              <w:jc w:val="left"/>
              <w:rPr>
                <w:rFonts w:cs="宋体"/>
                <w:iCs/>
                <w:szCs w:val="24"/>
              </w:rPr>
            </w:pPr>
            <w:r>
              <w:rPr>
                <w:rFonts w:hint="default" w:cs="宋体"/>
                <w:iCs/>
                <w:szCs w:val="24"/>
                <w:lang w:val="en-US" w:eastAsia="zh-CN"/>
              </w:rPr>
              <w:t>1</w:t>
            </w:r>
            <w:r>
              <w:rPr>
                <w:rFonts w:hint="eastAsia" w:cs="宋体"/>
                <w:iCs/>
                <w:szCs w:val="24"/>
                <w:lang w:val="en-US" w:eastAsia="zh-CN"/>
              </w:rPr>
              <w:t>3</w:t>
            </w:r>
            <w:r>
              <w:rPr>
                <w:rFonts w:hint="default" w:cs="宋体"/>
                <w:iCs/>
                <w:szCs w:val="24"/>
              </w:rPr>
              <w:t>.1</w:t>
            </w:r>
            <w:r>
              <w:rPr>
                <w:rFonts w:hint="eastAsia" w:ascii="宋体" w:hAnsi="宋体" w:eastAsia="宋体" w:cs="宋体"/>
                <w:iCs/>
                <w:szCs w:val="24"/>
                <w:lang w:eastAsia="zh-CN"/>
              </w:rPr>
              <w:t>具备</w:t>
            </w:r>
            <w:r>
              <w:rPr>
                <w:rFonts w:cs="宋体"/>
                <w:iCs/>
                <w:szCs w:val="24"/>
              </w:rPr>
              <w:t>信息安全管理体系认证证书</w:t>
            </w:r>
            <w:r>
              <w:rPr>
                <w:rFonts w:hint="default" w:cs="宋体"/>
                <w:iCs/>
                <w:szCs w:val="24"/>
                <w:lang w:eastAsia="zh-CN"/>
              </w:rPr>
              <w:t>、</w:t>
            </w:r>
            <w:r>
              <w:rPr>
                <w:rFonts w:cs="宋体"/>
                <w:iCs/>
                <w:szCs w:val="24"/>
              </w:rPr>
              <w:t>信息技术服务管理体系认证证书</w:t>
            </w:r>
            <w:r>
              <w:rPr>
                <w:rFonts w:hint="default" w:cs="宋体"/>
                <w:iCs/>
                <w:szCs w:val="24"/>
                <w:lang w:eastAsia="zh-CN"/>
              </w:rPr>
              <w:t>、</w:t>
            </w:r>
            <w:r>
              <w:rPr>
                <w:rFonts w:hint="default" w:cs="宋体"/>
                <w:iCs/>
                <w:szCs w:val="24"/>
              </w:rPr>
              <w:t>信息技术服务标准</w:t>
            </w:r>
            <w:r>
              <w:rPr>
                <w:rFonts w:hint="default" w:cs="宋体"/>
                <w:iCs/>
                <w:szCs w:val="24"/>
                <w:lang w:eastAsia="zh-CN"/>
              </w:rPr>
              <w:t>符合性证书（</w:t>
            </w:r>
            <w:r>
              <w:rPr>
                <w:rFonts w:hint="default" w:cs="宋体"/>
                <w:iCs/>
                <w:szCs w:val="24"/>
                <w:lang w:val="en-US" w:eastAsia="zh-CN"/>
              </w:rPr>
              <w:t>ITSS</w:t>
            </w:r>
            <w:r>
              <w:rPr>
                <w:rFonts w:hint="default" w:cs="宋体"/>
                <w:iCs/>
                <w:szCs w:val="24"/>
                <w:lang w:eastAsia="zh-CN"/>
              </w:rPr>
              <w:t>）</w:t>
            </w:r>
            <w:r>
              <w:rPr>
                <w:rFonts w:cs="宋体"/>
                <w:iCs/>
                <w:szCs w:val="24"/>
              </w:rPr>
              <w:t>三级及以上</w:t>
            </w:r>
            <w:r>
              <w:rPr>
                <w:rFonts w:hint="default" w:cs="宋体"/>
                <w:iCs/>
                <w:szCs w:val="24"/>
                <w:lang w:eastAsia="zh-CN"/>
              </w:rPr>
              <w:t>、信息系统建设和服务能力认证（</w:t>
            </w:r>
            <w:r>
              <w:rPr>
                <w:rFonts w:hint="default" w:cs="宋体"/>
                <w:iCs/>
                <w:szCs w:val="24"/>
                <w:lang w:val="en-US" w:eastAsia="zh-CN"/>
              </w:rPr>
              <w:t>CS</w:t>
            </w:r>
            <w:r>
              <w:rPr>
                <w:rFonts w:hint="default" w:cs="宋体"/>
                <w:iCs/>
                <w:szCs w:val="24"/>
                <w:lang w:eastAsia="zh-CN"/>
              </w:rPr>
              <w:t>）2级及2级以上</w:t>
            </w:r>
            <w:r>
              <w:rPr>
                <w:rFonts w:hint="default" w:cs="宋体"/>
                <w:iCs/>
                <w:szCs w:val="24"/>
              </w:rPr>
              <w:t>。</w:t>
            </w:r>
          </w:p>
        </w:tc>
        <w:tc>
          <w:tcPr>
            <w:tcW w:w="1309" w:type="dxa"/>
            <w:tcBorders>
              <w:tl2br w:val="nil"/>
              <w:tr2bl w:val="nil"/>
            </w:tcBorders>
            <w:shd w:val="clear" w:color="auto" w:fill="auto"/>
            <w:vAlign w:val="center"/>
          </w:tcPr>
          <w:p>
            <w:pPr>
              <w:wordWrap w:val="0"/>
              <w:spacing w:line="360" w:lineRule="auto"/>
              <w:ind w:right="-89" w:rightChars="-37"/>
              <w:jc w:val="center"/>
              <w:rPr>
                <w:rFonts w:cs="宋体"/>
                <w:iCs/>
                <w:szCs w:val="24"/>
              </w:rPr>
            </w:pPr>
            <w:r>
              <w:rPr>
                <w:rFonts w:hint="eastAsia" w:cs="宋体"/>
                <w:szCs w:val="24"/>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continue"/>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vMerge w:val="continue"/>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hint="eastAsia" w:cs="宋体"/>
                <w:szCs w:val="24"/>
              </w:rPr>
            </w:pP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hint="eastAsia" w:cs="宋体"/>
                <w:iCs/>
                <w:szCs w:val="24"/>
              </w:rPr>
            </w:pPr>
            <w:r>
              <w:rPr>
                <w:rFonts w:hint="eastAsia" w:cs="宋体"/>
                <w:iCs/>
                <w:szCs w:val="24"/>
                <w:lang w:val="en-US" w:eastAsia="zh-CN"/>
              </w:rPr>
              <w:t>13</w:t>
            </w:r>
            <w:r>
              <w:rPr>
                <w:rFonts w:hint="eastAsia" w:cs="宋体"/>
                <w:iCs/>
                <w:szCs w:val="24"/>
              </w:rPr>
              <w:t>.2近年（20</w:t>
            </w:r>
            <w:r>
              <w:rPr>
                <w:rFonts w:cs="宋体"/>
                <w:iCs/>
                <w:szCs w:val="24"/>
              </w:rPr>
              <w:t>20</w:t>
            </w:r>
            <w:r>
              <w:rPr>
                <w:rFonts w:hint="eastAsia" w:cs="宋体"/>
                <w:iCs/>
                <w:szCs w:val="24"/>
              </w:rPr>
              <w:t>年1月1日至今）独立承担过类似项目业绩。</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cs="宋体"/>
                <w:szCs w:val="24"/>
              </w:rPr>
            </w:pPr>
            <w:r>
              <w:rPr>
                <w:rFonts w:hint="eastAsia" w:cs="宋体"/>
                <w:szCs w:val="24"/>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continue"/>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vMerge w:val="continue"/>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hint="eastAsia" w:cs="宋体"/>
                <w:szCs w:val="24"/>
              </w:rPr>
            </w:pPr>
          </w:p>
        </w:tc>
        <w:tc>
          <w:tcPr>
            <w:tcW w:w="5962" w:type="dxa"/>
            <w:tcBorders>
              <w:tl2br w:val="nil"/>
              <w:tr2bl w:val="nil"/>
            </w:tcBorders>
            <w:shd w:val="clear" w:color="auto" w:fill="auto"/>
            <w:vAlign w:val="center"/>
          </w:tcPr>
          <w:p>
            <w:pPr>
              <w:wordWrap w:val="0"/>
              <w:spacing w:line="360" w:lineRule="auto"/>
              <w:ind w:right="-89" w:rightChars="-37"/>
              <w:rPr>
                <w:rFonts w:hint="eastAsia" w:cs="宋体"/>
                <w:iCs/>
                <w:szCs w:val="24"/>
              </w:rPr>
            </w:pPr>
            <w:r>
              <w:rPr>
                <w:rFonts w:hint="eastAsia" w:cs="宋体"/>
                <w:iCs/>
                <w:szCs w:val="24"/>
                <w:lang w:val="en-US" w:eastAsia="zh-CN"/>
              </w:rPr>
              <w:t>13</w:t>
            </w:r>
            <w:r>
              <w:rPr>
                <w:rFonts w:hint="eastAsia" w:cs="宋体"/>
                <w:iCs/>
                <w:szCs w:val="24"/>
              </w:rPr>
              <w:t>.3为实现黄冈市医疗集团信息数据的对接、共享，投标人应具有较强的软件平台自主研发能力，具备与本项目建设内容相关的区域医疗信息交换、报告共享、异构信息采集、中医大数据决策分析平台、中医疗效评价分析平台、中医优势病种分析系统（或类似功能系统平台）软件著作权证书。</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cs="宋体"/>
                <w:szCs w:val="24"/>
              </w:rPr>
            </w:pPr>
            <w:r>
              <w:rPr>
                <w:rFonts w:hint="eastAsia" w:cs="宋体"/>
                <w:szCs w:val="24"/>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restart"/>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vMerge w:val="restart"/>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cs="宋体"/>
                <w:szCs w:val="24"/>
              </w:rPr>
            </w:pPr>
            <w:r>
              <w:rPr>
                <w:rFonts w:hint="eastAsia" w:cs="宋体"/>
                <w:szCs w:val="24"/>
              </w:rPr>
              <w:t>知识产权归属和处理方式</w:t>
            </w: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cs="宋体"/>
                <w:iCs/>
                <w:szCs w:val="24"/>
              </w:rPr>
            </w:pPr>
            <w:r>
              <w:rPr>
                <w:rFonts w:hint="eastAsia" w:cs="宋体"/>
                <w:iCs/>
                <w:szCs w:val="24"/>
              </w:rPr>
              <w:t>1</w:t>
            </w:r>
            <w:r>
              <w:rPr>
                <w:rFonts w:hint="eastAsia" w:cs="宋体"/>
                <w:iCs/>
                <w:szCs w:val="24"/>
                <w:lang w:val="en-US" w:eastAsia="zh-CN"/>
              </w:rPr>
              <w:t>4</w:t>
            </w:r>
            <w:r>
              <w:rPr>
                <w:rFonts w:hint="eastAsia" w:cs="宋体"/>
                <w:iCs/>
                <w:szCs w:val="24"/>
              </w:rPr>
              <w:t>.1本项目中软件开发服务所使用的开发平台和相关平台、系统等产品均为合法获得，对因此而且可能引发的相关法律责任，由投标人自行承担。</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continue"/>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vMerge w:val="continue"/>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hint="eastAsia" w:cs="宋体"/>
                <w:szCs w:val="24"/>
              </w:rPr>
            </w:pP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hint="eastAsia" w:cs="宋体"/>
                <w:i/>
                <w:szCs w:val="24"/>
              </w:rPr>
            </w:pPr>
            <w:r>
              <w:rPr>
                <w:rFonts w:hint="eastAsia" w:cs="宋体"/>
                <w:iCs/>
                <w:szCs w:val="24"/>
              </w:rPr>
              <w:t>1</w:t>
            </w:r>
            <w:r>
              <w:rPr>
                <w:rFonts w:hint="eastAsia" w:cs="宋体"/>
                <w:iCs/>
                <w:szCs w:val="24"/>
                <w:lang w:val="en-US" w:eastAsia="zh-CN"/>
              </w:rPr>
              <w:t>4</w:t>
            </w:r>
            <w:r>
              <w:rPr>
                <w:rFonts w:hint="eastAsia" w:cs="宋体"/>
                <w:iCs/>
                <w:szCs w:val="24"/>
              </w:rPr>
              <w:t>.2</w:t>
            </w:r>
            <w:r>
              <w:rPr>
                <w:rFonts w:hint="eastAsia" w:cs="宋体"/>
                <w:b/>
                <w:iCs/>
                <w:szCs w:val="24"/>
              </w:rPr>
              <w:t>本项目开发的系统版权归采购人所有。</w:t>
            </w:r>
            <w:r>
              <w:rPr>
                <w:rFonts w:hint="eastAsia" w:cs="宋体"/>
                <w:color w:val="000000"/>
                <w:szCs w:val="24"/>
              </w:rPr>
              <w:t>投标人就本项目开发的软件等内容（不包含第三方商业软件），应向采购人提供全部源代码和文档，除投标人自有知识产权软件外（知识产权获取时间为合同签订之日前）所有权归采购人，采购人可无限制使用该软件。投标人须保证采购人在使用过程中不受到第三方关于侵犯专利权等知识产权的指控。任何第三方如果提出指控，投标人须与第三方交涉并承担可能发生的一切法律责任和费用。投标人使用的第三方及其他软件的报价应在投标报价中包含，未写明的出现问题由投标人承担责任。</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continue"/>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vMerge w:val="continue"/>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hint="eastAsia" w:cs="宋体"/>
                <w:szCs w:val="24"/>
              </w:rPr>
            </w:pP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hint="eastAsia" w:cs="宋体"/>
                <w:i/>
                <w:szCs w:val="24"/>
              </w:rPr>
            </w:pPr>
            <w:r>
              <w:rPr>
                <w:rFonts w:hint="eastAsia" w:cs="宋体"/>
                <w:iCs/>
                <w:szCs w:val="24"/>
              </w:rPr>
              <w:t>1</w:t>
            </w:r>
            <w:r>
              <w:rPr>
                <w:rFonts w:hint="eastAsia" w:cs="宋体"/>
                <w:iCs/>
                <w:szCs w:val="24"/>
                <w:lang w:val="en-US" w:eastAsia="zh-CN"/>
              </w:rPr>
              <w:t>4</w:t>
            </w:r>
            <w:r>
              <w:rPr>
                <w:rFonts w:hint="eastAsia" w:cs="宋体"/>
                <w:iCs/>
                <w:szCs w:val="24"/>
              </w:rPr>
              <w:t>.3中标人在采购及成交后，发生侵犯专利权的行为时，其侵权责任与采购人无关，应由中标人承担相应的责任，并不得影响采购人的利益。</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continue"/>
            <w:tcBorders>
              <w:tl2br w:val="nil"/>
              <w:tr2bl w:val="nil"/>
            </w:tcBorders>
            <w:shd w:val="clear" w:color="auto" w:fill="auto"/>
            <w:vAlign w:val="center"/>
          </w:tcPr>
          <w:p>
            <w:pPr>
              <w:pStyle w:val="43"/>
              <w:numPr>
                <w:ilvl w:val="0"/>
                <w:numId w:val="45"/>
              </w:numPr>
              <w:tabs>
                <w:tab w:val="left" w:pos="72"/>
              </w:tabs>
              <w:wordWrap w:val="0"/>
              <w:spacing w:line="360" w:lineRule="auto"/>
              <w:ind w:firstLineChars="0"/>
              <w:jc w:val="center"/>
              <w:rPr>
                <w:szCs w:val="24"/>
              </w:rPr>
            </w:pPr>
          </w:p>
        </w:tc>
        <w:tc>
          <w:tcPr>
            <w:tcW w:w="1740" w:type="dxa"/>
            <w:vMerge w:val="continue"/>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cs="宋体"/>
                <w:szCs w:val="24"/>
              </w:rPr>
            </w:pP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hint="eastAsia" w:cs="宋体"/>
                <w:szCs w:val="24"/>
              </w:rPr>
            </w:pPr>
            <w:r>
              <w:rPr>
                <w:rFonts w:hint="eastAsia" w:cs="宋体"/>
                <w:iCs/>
                <w:szCs w:val="24"/>
              </w:rPr>
              <w:t>1</w:t>
            </w:r>
            <w:r>
              <w:rPr>
                <w:rFonts w:hint="eastAsia" w:cs="宋体"/>
                <w:iCs/>
                <w:szCs w:val="24"/>
                <w:lang w:val="en-US" w:eastAsia="zh-CN"/>
              </w:rPr>
              <w:t>4</w:t>
            </w:r>
            <w:r>
              <w:rPr>
                <w:rFonts w:hint="eastAsia" w:cs="宋体"/>
                <w:iCs/>
                <w:szCs w:val="24"/>
              </w:rPr>
              <w:t>.4中标人应提交系统开发及项目实施管理等相关文档，包括不限于以下文档：项目实施计划、需求说明书、详细设计说明书、数据库设计说明书、测试方案、用户手册等。</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restart"/>
            <w:tcBorders>
              <w:tl2br w:val="nil"/>
              <w:tr2bl w:val="nil"/>
            </w:tcBorders>
            <w:shd w:val="clear" w:color="auto" w:fill="auto"/>
            <w:vAlign w:val="center"/>
          </w:tcPr>
          <w:p>
            <w:pPr>
              <w:pStyle w:val="43"/>
              <w:numPr>
                <w:ilvl w:val="0"/>
                <w:numId w:val="47"/>
              </w:numPr>
              <w:tabs>
                <w:tab w:val="left" w:pos="72"/>
              </w:tabs>
              <w:wordWrap w:val="0"/>
              <w:spacing w:line="360" w:lineRule="auto"/>
              <w:ind w:firstLineChars="0"/>
              <w:jc w:val="center"/>
              <w:rPr>
                <w:szCs w:val="24"/>
              </w:rPr>
            </w:pPr>
          </w:p>
        </w:tc>
        <w:tc>
          <w:tcPr>
            <w:tcW w:w="1740" w:type="dxa"/>
            <w:vMerge w:val="restart"/>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cs="宋体"/>
                <w:szCs w:val="24"/>
              </w:rPr>
            </w:pPr>
            <w:r>
              <w:rPr>
                <w:rFonts w:hint="eastAsia" w:cs="宋体"/>
                <w:szCs w:val="24"/>
              </w:rPr>
              <w:t>保密条款</w:t>
            </w: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cs="宋体"/>
                <w:szCs w:val="24"/>
              </w:rPr>
            </w:pPr>
            <w:r>
              <w:rPr>
                <w:rFonts w:hint="eastAsia" w:cs="宋体"/>
                <w:szCs w:val="24"/>
              </w:rPr>
              <w:t>1</w:t>
            </w:r>
            <w:r>
              <w:rPr>
                <w:rFonts w:hint="eastAsia" w:cs="宋体"/>
                <w:szCs w:val="24"/>
                <w:lang w:val="en-US" w:eastAsia="zh-CN"/>
              </w:rPr>
              <w:t>5</w:t>
            </w:r>
            <w:r>
              <w:rPr>
                <w:rFonts w:hint="eastAsia" w:cs="宋体"/>
                <w:szCs w:val="24"/>
              </w:rPr>
              <w:t>.1本项目执行过程中所接触的采购人信息，包括但不限于知识产权、技术资料、技术诀窍、内部管理、音视频内容、政策文件及其他相关信息，中标人负有保密义务。</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94" w:type="dxa"/>
            <w:vMerge w:val="continue"/>
            <w:tcBorders>
              <w:tl2br w:val="nil"/>
              <w:tr2bl w:val="nil"/>
            </w:tcBorders>
            <w:shd w:val="clear" w:color="auto" w:fill="auto"/>
            <w:vAlign w:val="center"/>
          </w:tcPr>
          <w:p>
            <w:pPr>
              <w:pStyle w:val="43"/>
              <w:tabs>
                <w:tab w:val="left" w:pos="72"/>
              </w:tabs>
              <w:wordWrap w:val="0"/>
              <w:spacing w:line="360" w:lineRule="auto"/>
              <w:ind w:firstLineChars="0"/>
              <w:jc w:val="center"/>
              <w:rPr>
                <w:szCs w:val="24"/>
              </w:rPr>
            </w:pPr>
          </w:p>
        </w:tc>
        <w:tc>
          <w:tcPr>
            <w:tcW w:w="1740" w:type="dxa"/>
            <w:vMerge w:val="continue"/>
            <w:tcBorders>
              <w:tl2br w:val="nil"/>
              <w:tr2bl w:val="nil"/>
            </w:tcBorders>
            <w:shd w:val="clear" w:color="auto" w:fill="auto"/>
            <w:vAlign w:val="center"/>
          </w:tcPr>
          <w:p>
            <w:pPr>
              <w:tabs>
                <w:tab w:val="left" w:pos="351"/>
                <w:tab w:val="left" w:pos="816"/>
              </w:tabs>
              <w:wordWrap w:val="0"/>
              <w:spacing w:line="360" w:lineRule="auto"/>
              <w:ind w:right="-58" w:rightChars="-24"/>
              <w:jc w:val="center"/>
              <w:rPr>
                <w:rFonts w:hint="eastAsia" w:cs="宋体"/>
                <w:szCs w:val="24"/>
              </w:rPr>
            </w:pPr>
          </w:p>
        </w:tc>
        <w:tc>
          <w:tcPr>
            <w:tcW w:w="5962" w:type="dxa"/>
            <w:tcBorders>
              <w:tl2br w:val="nil"/>
              <w:tr2bl w:val="nil"/>
            </w:tcBorders>
            <w:shd w:val="clear" w:color="auto" w:fill="auto"/>
            <w:vAlign w:val="center"/>
          </w:tcPr>
          <w:p>
            <w:pPr>
              <w:tabs>
                <w:tab w:val="left" w:pos="351"/>
                <w:tab w:val="left" w:pos="816"/>
              </w:tabs>
              <w:wordWrap w:val="0"/>
              <w:spacing w:line="360" w:lineRule="auto"/>
              <w:ind w:right="-58" w:rightChars="-24"/>
              <w:jc w:val="left"/>
              <w:rPr>
                <w:rFonts w:hint="eastAsia" w:cs="宋体"/>
                <w:szCs w:val="24"/>
              </w:rPr>
            </w:pPr>
            <w:r>
              <w:rPr>
                <w:rFonts w:hint="eastAsia" w:cs="宋体"/>
                <w:szCs w:val="24"/>
              </w:rPr>
              <w:t>1</w:t>
            </w:r>
            <w:r>
              <w:rPr>
                <w:rFonts w:hint="eastAsia" w:cs="宋体"/>
                <w:szCs w:val="24"/>
                <w:lang w:val="en-US" w:eastAsia="zh-CN"/>
              </w:rPr>
              <w:t>5</w:t>
            </w:r>
            <w:r>
              <w:rPr>
                <w:rFonts w:hint="eastAsia" w:cs="宋体"/>
                <w:szCs w:val="24"/>
              </w:rPr>
              <w:t>.2保密期限不受合同有效期的限制，在合同有效期结束后，信息接受方仍应承担保密义务，直至该等信息成为公开信息。</w:t>
            </w:r>
          </w:p>
        </w:tc>
        <w:tc>
          <w:tcPr>
            <w:tcW w:w="1309" w:type="dxa"/>
            <w:tcBorders>
              <w:tl2br w:val="nil"/>
              <w:tr2bl w:val="nil"/>
            </w:tcBorders>
            <w:shd w:val="clear" w:color="auto" w:fill="auto"/>
            <w:vAlign w:val="center"/>
          </w:tcPr>
          <w:p>
            <w:pPr>
              <w:tabs>
                <w:tab w:val="left" w:pos="351"/>
                <w:tab w:val="left" w:pos="816"/>
              </w:tabs>
              <w:wordWrap w:val="0"/>
              <w:spacing w:line="360" w:lineRule="auto"/>
              <w:ind w:right="-58" w:rightChars="-24"/>
              <w:rPr>
                <w:rFonts w:cs="宋体"/>
                <w:szCs w:val="24"/>
              </w:rPr>
            </w:pPr>
          </w:p>
        </w:tc>
      </w:tr>
    </w:tbl>
    <w:p>
      <w:pPr>
        <w:pStyle w:val="11"/>
        <w:spacing w:line="360" w:lineRule="auto"/>
      </w:pPr>
      <w:r>
        <w:br w:type="page"/>
      </w:r>
    </w:p>
    <w:p>
      <w:pPr>
        <w:pStyle w:val="2"/>
        <w:numPr>
          <w:ilvl w:val="0"/>
          <w:numId w:val="1"/>
        </w:numPr>
        <w:tabs>
          <w:tab w:val="left" w:pos="1276"/>
        </w:tabs>
        <w:wordWrap w:val="0"/>
        <w:spacing w:before="120" w:after="120" w:line="360" w:lineRule="auto"/>
        <w:ind w:left="723" w:hanging="723" w:hangingChars="200"/>
        <w:jc w:val="center"/>
        <w:rPr>
          <w:sz w:val="36"/>
          <w:szCs w:val="36"/>
        </w:rPr>
      </w:pPr>
      <w:bookmarkStart w:id="432" w:name="_Toc25758"/>
      <w:bookmarkStart w:id="433" w:name="_Toc23504"/>
      <w:r>
        <w:rPr>
          <w:rFonts w:hint="eastAsia"/>
          <w:sz w:val="36"/>
          <w:szCs w:val="36"/>
        </w:rPr>
        <w:t>资格审查</w:t>
      </w:r>
      <w:bookmarkEnd w:id="352"/>
      <w:bookmarkEnd w:id="353"/>
      <w:bookmarkEnd w:id="354"/>
      <w:bookmarkEnd w:id="355"/>
      <w:bookmarkEnd w:id="356"/>
      <w:bookmarkEnd w:id="357"/>
      <w:bookmarkEnd w:id="358"/>
      <w:bookmarkEnd w:id="359"/>
      <w:bookmarkEnd w:id="432"/>
      <w:bookmarkEnd w:id="433"/>
    </w:p>
    <w:p>
      <w:pPr>
        <w:pStyle w:val="3"/>
        <w:numPr>
          <w:ilvl w:val="0"/>
          <w:numId w:val="48"/>
        </w:numPr>
        <w:wordWrap w:val="0"/>
        <w:spacing w:before="0" w:after="0" w:line="360" w:lineRule="auto"/>
        <w:ind w:left="618" w:hanging="618"/>
        <w:jc w:val="left"/>
        <w:rPr>
          <w:rFonts w:ascii="宋体" w:hAnsi="宋体" w:eastAsia="宋体" w:cs="Times New Roman"/>
          <w:bCs w:val="0"/>
          <w:sz w:val="28"/>
          <w:szCs w:val="28"/>
          <w:lang w:val="zh-CN"/>
        </w:rPr>
      </w:pPr>
      <w:bookmarkStart w:id="434" w:name="_Toc102119872"/>
      <w:bookmarkStart w:id="435" w:name="_Toc102056237"/>
      <w:bookmarkStart w:id="436" w:name="_Toc102116171"/>
      <w:bookmarkStart w:id="437" w:name="_Toc511894514"/>
      <w:bookmarkStart w:id="438" w:name="_Toc494561958"/>
      <w:bookmarkStart w:id="439" w:name="_Toc102114939"/>
      <w:bookmarkStart w:id="440" w:name="_Toc102116041"/>
      <w:bookmarkStart w:id="441" w:name="_Toc102057737"/>
      <w:bookmarkStart w:id="442" w:name="_Toc117244474"/>
      <w:bookmarkStart w:id="443" w:name="_Toc117244359"/>
      <w:bookmarkStart w:id="444" w:name="_Toc12481"/>
      <w:bookmarkStart w:id="445" w:name="_Toc17705"/>
      <w:r>
        <w:rPr>
          <w:rFonts w:hint="eastAsia" w:ascii="宋体" w:hAnsi="宋体" w:eastAsia="宋体" w:cs="Times New Roman"/>
          <w:bCs w:val="0"/>
          <w:sz w:val="28"/>
          <w:szCs w:val="28"/>
          <w:lang w:val="zh-CN"/>
        </w:rPr>
        <w:t>资格审查</w:t>
      </w:r>
      <w:bookmarkEnd w:id="434"/>
      <w:bookmarkEnd w:id="435"/>
      <w:bookmarkEnd w:id="436"/>
      <w:bookmarkEnd w:id="437"/>
      <w:bookmarkEnd w:id="438"/>
      <w:bookmarkEnd w:id="439"/>
      <w:bookmarkEnd w:id="440"/>
      <w:bookmarkEnd w:id="441"/>
      <w:r>
        <w:rPr>
          <w:rFonts w:hint="eastAsia" w:ascii="宋体" w:hAnsi="宋体" w:eastAsia="宋体" w:cs="Times New Roman"/>
          <w:bCs w:val="0"/>
          <w:sz w:val="28"/>
          <w:szCs w:val="28"/>
          <w:lang w:val="zh-CN"/>
        </w:rPr>
        <w:t>方法</w:t>
      </w:r>
      <w:bookmarkEnd w:id="442"/>
      <w:bookmarkEnd w:id="443"/>
      <w:bookmarkEnd w:id="444"/>
      <w:bookmarkEnd w:id="445"/>
    </w:p>
    <w:p>
      <w:pPr>
        <w:wordWrap w:val="0"/>
        <w:spacing w:line="360" w:lineRule="auto"/>
        <w:ind w:firstLine="420"/>
        <w:rPr>
          <w:bCs/>
          <w:lang w:val="zh-CN"/>
        </w:rPr>
      </w:pPr>
      <w:r>
        <w:rPr>
          <w:rFonts w:hint="eastAsia"/>
          <w:bCs/>
          <w:lang w:val="zh-CN"/>
        </w:rPr>
        <w:t>本项目资格审查采用合格制，即满足“第一章 投标邀请”中投标人资格要求的投标人为资格审查合格的投标人。</w:t>
      </w:r>
    </w:p>
    <w:p>
      <w:pPr>
        <w:pStyle w:val="3"/>
        <w:numPr>
          <w:ilvl w:val="0"/>
          <w:numId w:val="48"/>
        </w:numPr>
        <w:wordWrap w:val="0"/>
        <w:spacing w:before="0" w:after="0" w:line="360" w:lineRule="auto"/>
        <w:ind w:left="618" w:hanging="618"/>
        <w:jc w:val="left"/>
        <w:rPr>
          <w:rFonts w:ascii="宋体" w:hAnsi="宋体" w:eastAsia="宋体" w:cs="Times New Roman"/>
          <w:bCs w:val="0"/>
          <w:sz w:val="28"/>
          <w:szCs w:val="28"/>
          <w:lang w:val="zh-CN"/>
        </w:rPr>
      </w:pPr>
      <w:bookmarkStart w:id="446" w:name="_Toc102114940"/>
      <w:bookmarkStart w:id="447" w:name="_Toc494561959"/>
      <w:bookmarkStart w:id="448" w:name="_Toc102057738"/>
      <w:bookmarkStart w:id="449" w:name="_Toc102116042"/>
      <w:bookmarkStart w:id="450" w:name="_Toc102056238"/>
      <w:bookmarkStart w:id="451" w:name="_Toc102116172"/>
      <w:bookmarkStart w:id="452" w:name="_Toc102119873"/>
      <w:bookmarkStart w:id="453" w:name="_Toc511894515"/>
      <w:bookmarkStart w:id="454" w:name="_Toc117244475"/>
      <w:bookmarkStart w:id="455" w:name="_Toc1569"/>
      <w:bookmarkStart w:id="456" w:name="_Toc117244360"/>
      <w:bookmarkStart w:id="457" w:name="_Toc18019"/>
      <w:bookmarkStart w:id="458" w:name="_Toc511894516"/>
      <w:r>
        <w:rPr>
          <w:rFonts w:hint="eastAsia" w:ascii="宋体" w:hAnsi="宋体" w:eastAsia="宋体" w:cs="Times New Roman"/>
          <w:bCs w:val="0"/>
          <w:sz w:val="28"/>
          <w:szCs w:val="28"/>
          <w:lang w:val="zh-CN"/>
        </w:rPr>
        <w:t>资格审查</w:t>
      </w:r>
      <w:bookmarkEnd w:id="446"/>
      <w:bookmarkEnd w:id="447"/>
      <w:bookmarkEnd w:id="448"/>
      <w:bookmarkEnd w:id="449"/>
      <w:bookmarkEnd w:id="450"/>
      <w:bookmarkEnd w:id="451"/>
      <w:bookmarkEnd w:id="452"/>
      <w:bookmarkEnd w:id="453"/>
      <w:r>
        <w:rPr>
          <w:rFonts w:hint="eastAsia" w:ascii="宋体" w:hAnsi="宋体" w:eastAsia="宋体" w:cs="Times New Roman"/>
          <w:bCs w:val="0"/>
          <w:sz w:val="28"/>
          <w:szCs w:val="28"/>
          <w:lang w:val="zh-CN"/>
        </w:rPr>
        <w:t>程序</w:t>
      </w:r>
      <w:bookmarkEnd w:id="454"/>
      <w:bookmarkEnd w:id="455"/>
      <w:bookmarkEnd w:id="456"/>
      <w:bookmarkEnd w:id="457"/>
    </w:p>
    <w:p>
      <w:pPr>
        <w:pStyle w:val="43"/>
        <w:numPr>
          <w:ilvl w:val="0"/>
          <w:numId w:val="49"/>
        </w:numPr>
        <w:spacing w:line="360" w:lineRule="auto"/>
        <w:ind w:left="284" w:hanging="284" w:firstLineChars="0"/>
        <w:rPr>
          <w:rFonts w:cs="Helvetica"/>
          <w:b/>
          <w:szCs w:val="24"/>
          <w:lang w:val="zh-CN"/>
        </w:rPr>
      </w:pPr>
      <w:r>
        <w:rPr>
          <w:rFonts w:hint="eastAsia" w:cs="Helvetica"/>
          <w:b/>
          <w:szCs w:val="24"/>
          <w:lang w:val="zh-CN"/>
        </w:rPr>
        <w:t>资格审查</w:t>
      </w:r>
    </w:p>
    <w:p>
      <w:pPr>
        <w:wordWrap w:val="0"/>
        <w:spacing w:line="360" w:lineRule="auto"/>
        <w:ind w:firstLine="420"/>
        <w:rPr>
          <w:rFonts w:cs="Helvetica"/>
          <w:szCs w:val="24"/>
          <w:lang w:val="zh-CN"/>
        </w:rPr>
      </w:pPr>
      <w:r>
        <w:rPr>
          <w:rFonts w:hint="eastAsia"/>
          <w:bCs/>
          <w:lang w:val="zh-CN"/>
        </w:rPr>
        <w:t>项目开标结束后，采购人与集中采购机构成立资格审查小组。</w:t>
      </w:r>
      <w:r>
        <w:rPr>
          <w:rFonts w:hint="eastAsia" w:cs="Helvetica"/>
          <w:szCs w:val="24"/>
          <w:lang w:val="zh-CN"/>
        </w:rPr>
        <w:t>资格审查小组根据“第一章 投标邀请”中投标人资格要求并按本章“三</w:t>
      </w:r>
      <w:r>
        <w:rPr>
          <w:rFonts w:cs="Helvetica"/>
          <w:szCs w:val="24"/>
          <w:lang w:val="zh-CN"/>
        </w:rPr>
        <w:t>、</w:t>
      </w:r>
      <w:r>
        <w:rPr>
          <w:rFonts w:hint="eastAsia" w:cs="Helvetica"/>
          <w:szCs w:val="24"/>
          <w:lang w:val="zh-CN"/>
        </w:rPr>
        <w:t>资格审查标准”所列的内容，对投标人资格进行审查，不满足资格审查标准要求的按</w:t>
      </w:r>
      <w:r>
        <w:rPr>
          <w:rFonts w:hint="eastAsia" w:cs="Helvetica"/>
          <w:b/>
          <w:szCs w:val="24"/>
          <w:lang w:val="zh-CN"/>
        </w:rPr>
        <w:t>无效投标处理</w:t>
      </w:r>
      <w:r>
        <w:rPr>
          <w:rFonts w:hint="eastAsia" w:cs="Helvetica"/>
          <w:szCs w:val="24"/>
          <w:lang w:val="zh-CN"/>
        </w:rPr>
        <w:t>。</w:t>
      </w:r>
      <w:bookmarkStart w:id="459" w:name="_Toc102114918"/>
      <w:bookmarkStart w:id="460" w:name="_Toc102056216"/>
      <w:bookmarkStart w:id="461" w:name="_Toc102119851"/>
      <w:bookmarkStart w:id="462" w:name="_Toc102116020"/>
      <w:bookmarkStart w:id="463" w:name="_Toc102116150"/>
      <w:bookmarkStart w:id="464" w:name="_Toc102057716"/>
      <w:bookmarkStart w:id="465" w:name="_Toc102057739"/>
      <w:bookmarkStart w:id="466" w:name="_Toc102056239"/>
      <w:bookmarkStart w:id="467" w:name="_Toc102116173"/>
      <w:bookmarkStart w:id="468" w:name="_Toc102116043"/>
      <w:bookmarkStart w:id="469" w:name="_Toc102119874"/>
      <w:bookmarkStart w:id="470" w:name="_Toc102114941"/>
    </w:p>
    <w:p>
      <w:pPr>
        <w:pStyle w:val="43"/>
        <w:numPr>
          <w:ilvl w:val="0"/>
          <w:numId w:val="49"/>
        </w:numPr>
        <w:spacing w:line="360" w:lineRule="auto"/>
        <w:ind w:left="284" w:hanging="284" w:firstLineChars="0"/>
        <w:rPr>
          <w:rFonts w:cs="Helvetica"/>
          <w:b/>
          <w:szCs w:val="24"/>
          <w:lang w:val="zh-CN"/>
        </w:rPr>
      </w:pPr>
      <w:r>
        <w:rPr>
          <w:rFonts w:hint="eastAsia" w:cs="Helvetica"/>
          <w:b/>
          <w:szCs w:val="24"/>
          <w:lang w:val="zh-CN"/>
        </w:rPr>
        <w:t>信用信息</w:t>
      </w:r>
      <w:bookmarkEnd w:id="459"/>
      <w:bookmarkEnd w:id="460"/>
      <w:bookmarkEnd w:id="461"/>
      <w:bookmarkEnd w:id="462"/>
      <w:bookmarkEnd w:id="463"/>
      <w:bookmarkEnd w:id="464"/>
      <w:r>
        <w:rPr>
          <w:rFonts w:hint="eastAsia" w:cs="Helvetica"/>
          <w:b/>
          <w:szCs w:val="24"/>
          <w:lang w:val="zh-CN"/>
        </w:rPr>
        <w:t>核查</w:t>
      </w:r>
    </w:p>
    <w:p>
      <w:pPr>
        <w:numPr>
          <w:ilvl w:val="0"/>
          <w:numId w:val="50"/>
        </w:numPr>
        <w:wordWrap w:val="0"/>
        <w:adjustRightInd w:val="0"/>
        <w:snapToGrid w:val="0"/>
        <w:spacing w:line="360" w:lineRule="auto"/>
        <w:ind w:left="420"/>
        <w:rPr>
          <w:rFonts w:cs="Helvetica"/>
          <w:szCs w:val="24"/>
          <w:lang w:val="zh-CN"/>
        </w:rPr>
      </w:pPr>
      <w:r>
        <w:rPr>
          <w:rFonts w:hint="eastAsia" w:cs="Helvetica"/>
          <w:szCs w:val="24"/>
          <w:lang w:val="zh-CN"/>
        </w:rPr>
        <w:t>根据《关于在政府采购活动中查询及使用信用记录有关问题的通知》（财库〔2016〕125号）要求，投标人信用信息以</w:t>
      </w:r>
      <w:r>
        <w:rPr>
          <w:rFonts w:hint="eastAsia"/>
          <w:szCs w:val="24"/>
        </w:rPr>
        <w:t>“信用中国”网（</w:t>
      </w:r>
      <w:r>
        <w:fldChar w:fldCharType="begin"/>
      </w:r>
      <w:r>
        <w:instrText xml:space="preserve"> HYPERLINK "http://www.creditchina.gov.cn" </w:instrText>
      </w:r>
      <w:r>
        <w:fldChar w:fldCharType="separate"/>
      </w:r>
      <w:r>
        <w:rPr>
          <w:rStyle w:val="34"/>
          <w:rFonts w:hint="eastAsia"/>
          <w:color w:val="auto"/>
          <w:szCs w:val="24"/>
        </w:rPr>
        <w:t>http://www.creditchina.gov.cn</w:t>
      </w:r>
      <w:r>
        <w:rPr>
          <w:rStyle w:val="34"/>
          <w:rFonts w:hint="eastAsia"/>
          <w:color w:val="auto"/>
          <w:szCs w:val="24"/>
        </w:rPr>
        <w:fldChar w:fldCharType="end"/>
      </w:r>
      <w:r>
        <w:rPr>
          <w:rFonts w:hint="eastAsia"/>
          <w:szCs w:val="24"/>
        </w:rPr>
        <w:t>）和中国政府采购网（http://www.ccgp.gov.cn）</w:t>
      </w:r>
      <w:r>
        <w:rPr>
          <w:rFonts w:hint="eastAsia" w:cs="Helvetica"/>
          <w:szCs w:val="24"/>
          <w:lang w:val="zh-CN"/>
        </w:rPr>
        <w:t>查询的结果为准。</w:t>
      </w:r>
    </w:p>
    <w:p>
      <w:pPr>
        <w:numPr>
          <w:ilvl w:val="0"/>
          <w:numId w:val="50"/>
        </w:numPr>
        <w:wordWrap w:val="0"/>
        <w:adjustRightInd w:val="0"/>
        <w:snapToGrid w:val="0"/>
        <w:spacing w:line="360" w:lineRule="auto"/>
        <w:ind w:left="420"/>
        <w:rPr>
          <w:rFonts w:cs="Helvetica"/>
          <w:szCs w:val="24"/>
          <w:lang w:val="zh-CN"/>
        </w:rPr>
      </w:pPr>
      <w:r>
        <w:rPr>
          <w:rFonts w:hint="eastAsia" w:cs="Helvetica"/>
          <w:szCs w:val="24"/>
          <w:lang w:val="zh-CN"/>
        </w:rPr>
        <w:t>资格审查当日应当核查投标人信用记录，投标人被列入失信被执行人、重大税收违法案件当事人名单、政府采购严重违法失信行为记录名单的，集中采购机构拒绝其参与政府采购活动。</w:t>
      </w:r>
    </w:p>
    <w:p>
      <w:pPr>
        <w:numPr>
          <w:ilvl w:val="0"/>
          <w:numId w:val="50"/>
        </w:numPr>
        <w:wordWrap w:val="0"/>
        <w:adjustRightInd w:val="0"/>
        <w:snapToGrid w:val="0"/>
        <w:spacing w:line="360" w:lineRule="auto"/>
        <w:ind w:left="420"/>
        <w:rPr>
          <w:rFonts w:cs="Helvetica"/>
          <w:szCs w:val="24"/>
          <w:lang w:val="zh-CN"/>
        </w:rPr>
      </w:pPr>
      <w:r>
        <w:rPr>
          <w:rFonts w:hint="eastAsia" w:cs="Helvetica"/>
          <w:szCs w:val="24"/>
          <w:lang w:val="zh-CN"/>
        </w:rPr>
        <w:t>以联合体形式投标的，应当核查联合体所有成员和信用记录，联合体成员存在不良信用记录的，视同联合体存在不良信用信息。</w:t>
      </w:r>
    </w:p>
    <w:p>
      <w:pPr>
        <w:numPr>
          <w:ilvl w:val="0"/>
          <w:numId w:val="50"/>
        </w:numPr>
        <w:wordWrap w:val="0"/>
        <w:adjustRightInd w:val="0"/>
        <w:snapToGrid w:val="0"/>
        <w:spacing w:line="360" w:lineRule="auto"/>
        <w:ind w:left="420"/>
        <w:rPr>
          <w:rFonts w:cs="Helvetica"/>
          <w:szCs w:val="24"/>
          <w:lang w:val="zh-CN"/>
        </w:rPr>
      </w:pPr>
      <w:r>
        <w:rPr>
          <w:rFonts w:hint="eastAsia" w:cs="Helvetica"/>
          <w:szCs w:val="24"/>
          <w:lang w:val="zh-CN"/>
        </w:rPr>
        <w:t>资格审查与评标工作未在同日进行的特殊情形下，集中采购机构工作人员在评标时应对投标人的信用信息进行复核，发现评标当日存在不良信用信息的，由评标委员会按照符合性审查不合格作</w:t>
      </w:r>
      <w:r>
        <w:rPr>
          <w:rFonts w:hint="eastAsia" w:cs="Helvetica"/>
          <w:b/>
          <w:szCs w:val="24"/>
          <w:lang w:val="zh-CN"/>
        </w:rPr>
        <w:t>无效投标处理</w:t>
      </w:r>
      <w:r>
        <w:rPr>
          <w:rFonts w:hint="eastAsia" w:cs="Helvetica"/>
          <w:szCs w:val="24"/>
          <w:lang w:val="zh-CN"/>
        </w:rPr>
        <w:t>。</w:t>
      </w:r>
    </w:p>
    <w:p>
      <w:pPr>
        <w:pStyle w:val="43"/>
        <w:numPr>
          <w:ilvl w:val="0"/>
          <w:numId w:val="49"/>
        </w:numPr>
        <w:spacing w:line="360" w:lineRule="auto"/>
        <w:ind w:left="284" w:hanging="284" w:firstLineChars="0"/>
        <w:rPr>
          <w:rFonts w:cs="Helvetica"/>
          <w:b/>
          <w:szCs w:val="24"/>
          <w:lang w:val="zh-CN"/>
        </w:rPr>
      </w:pPr>
      <w:r>
        <w:rPr>
          <w:rFonts w:hint="eastAsia" w:cs="Helvetica"/>
          <w:b/>
          <w:szCs w:val="24"/>
          <w:lang w:val="zh-CN"/>
        </w:rPr>
        <w:t>资格审查</w:t>
      </w:r>
      <w:bookmarkEnd w:id="465"/>
      <w:bookmarkEnd w:id="466"/>
      <w:bookmarkEnd w:id="467"/>
      <w:bookmarkEnd w:id="468"/>
      <w:bookmarkEnd w:id="469"/>
      <w:bookmarkEnd w:id="470"/>
      <w:r>
        <w:rPr>
          <w:rFonts w:hint="eastAsia" w:cs="Helvetica"/>
          <w:b/>
          <w:szCs w:val="24"/>
          <w:lang w:val="zh-CN"/>
        </w:rPr>
        <w:t>结果</w:t>
      </w:r>
    </w:p>
    <w:p>
      <w:pPr>
        <w:numPr>
          <w:ilvl w:val="0"/>
          <w:numId w:val="51"/>
        </w:numPr>
        <w:wordWrap w:val="0"/>
        <w:adjustRightInd w:val="0"/>
        <w:snapToGrid w:val="0"/>
        <w:spacing w:line="360" w:lineRule="auto"/>
        <w:rPr>
          <w:szCs w:val="24"/>
          <w:lang w:val="zh-CN"/>
        </w:rPr>
      </w:pPr>
      <w:r>
        <w:rPr>
          <w:rFonts w:hint="eastAsia" w:cs="Helvetica"/>
          <w:szCs w:val="24"/>
          <w:lang w:val="zh-CN"/>
        </w:rPr>
        <w:t>资格</w:t>
      </w:r>
      <w:r>
        <w:rPr>
          <w:rFonts w:hint="eastAsia"/>
          <w:szCs w:val="24"/>
          <w:lang w:val="zh-CN"/>
        </w:rPr>
        <w:t>审查小组应根据资格审查的情况，确定资格审查合格的投标人，并形成资格审查报告。</w:t>
      </w:r>
    </w:p>
    <w:p>
      <w:pPr>
        <w:numPr>
          <w:ilvl w:val="0"/>
          <w:numId w:val="51"/>
        </w:numPr>
        <w:wordWrap w:val="0"/>
        <w:adjustRightInd w:val="0"/>
        <w:snapToGrid w:val="0"/>
        <w:spacing w:line="360" w:lineRule="auto"/>
        <w:rPr>
          <w:lang w:val="zh-CN"/>
        </w:rPr>
      </w:pPr>
      <w:r>
        <w:rPr>
          <w:rFonts w:hint="eastAsia" w:cs="Helvetica"/>
          <w:szCs w:val="24"/>
          <w:lang w:val="zh-CN"/>
        </w:rPr>
        <w:t>资格</w:t>
      </w:r>
      <w:r>
        <w:rPr>
          <w:rFonts w:hint="eastAsia"/>
          <w:szCs w:val="24"/>
          <w:lang w:val="zh-CN"/>
        </w:rPr>
        <w:t>审查合格投标人不足3家的，不得评标，应予以废标。</w:t>
      </w:r>
    </w:p>
    <w:p>
      <w:pPr>
        <w:pStyle w:val="3"/>
        <w:numPr>
          <w:ilvl w:val="0"/>
          <w:numId w:val="48"/>
        </w:numPr>
        <w:wordWrap w:val="0"/>
        <w:spacing w:before="0" w:after="0" w:line="360" w:lineRule="auto"/>
        <w:ind w:left="618" w:hanging="618"/>
        <w:jc w:val="left"/>
        <w:rPr>
          <w:rFonts w:ascii="宋体" w:hAnsi="宋体" w:eastAsia="宋体" w:cs="Times New Roman"/>
          <w:bCs w:val="0"/>
          <w:sz w:val="28"/>
          <w:szCs w:val="28"/>
          <w:lang w:val="zh-CN"/>
        </w:rPr>
      </w:pPr>
      <w:bookmarkStart w:id="471" w:name="_Toc13537"/>
      <w:bookmarkStart w:id="472" w:name="_Toc117244476"/>
      <w:bookmarkStart w:id="473" w:name="_Toc117244361"/>
      <w:bookmarkStart w:id="474" w:name="_Toc27599"/>
      <w:r>
        <w:rPr>
          <w:rFonts w:hint="eastAsia" w:ascii="宋体" w:hAnsi="宋体" w:eastAsia="宋体" w:cs="Times New Roman"/>
          <w:bCs w:val="0"/>
          <w:sz w:val="28"/>
          <w:szCs w:val="28"/>
          <w:lang w:val="zh-CN"/>
        </w:rPr>
        <w:t>资格审查标准</w:t>
      </w:r>
      <w:bookmarkEnd w:id="471"/>
      <w:bookmarkEnd w:id="472"/>
      <w:bookmarkEnd w:id="473"/>
      <w:bookmarkEnd w:id="474"/>
    </w:p>
    <w:tbl>
      <w:tblPr>
        <w:tblStyle w:val="30"/>
        <w:tblW w:w="9935"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817"/>
        <w:gridCol w:w="9118"/>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7" w:type="dxa"/>
            <w:tcBorders>
              <w:tl2br w:val="nil"/>
              <w:tr2bl w:val="nil"/>
            </w:tcBorders>
            <w:shd w:val="pct10" w:color="C3BD96" w:themeColor="background2" w:themeShade="BF" w:fill="DDD9C4" w:themeFill="background2" w:themeFillShade="E6"/>
            <w:vAlign w:val="center"/>
          </w:tcPr>
          <w:p>
            <w:pPr>
              <w:pStyle w:val="43"/>
              <w:wordWrap w:val="0"/>
              <w:spacing w:line="360" w:lineRule="auto"/>
              <w:ind w:firstLine="0" w:firstLineChars="0"/>
              <w:jc w:val="center"/>
              <w:rPr>
                <w:b/>
                <w:szCs w:val="24"/>
                <w:lang w:val="zh-CN"/>
              </w:rPr>
            </w:pPr>
            <w:r>
              <w:rPr>
                <w:rFonts w:hint="eastAsia"/>
                <w:b/>
                <w:szCs w:val="24"/>
                <w:lang w:val="zh-CN"/>
              </w:rPr>
              <w:t>序号</w:t>
            </w:r>
          </w:p>
        </w:tc>
        <w:tc>
          <w:tcPr>
            <w:tcW w:w="9118" w:type="dxa"/>
            <w:tcBorders>
              <w:tl2br w:val="nil"/>
              <w:tr2bl w:val="nil"/>
            </w:tcBorders>
            <w:shd w:val="pct10" w:color="C3BD96" w:themeColor="background2" w:themeShade="BF" w:fill="DDD9C4" w:themeFill="background2" w:themeFillShade="E6"/>
            <w:vAlign w:val="center"/>
          </w:tcPr>
          <w:p>
            <w:pPr>
              <w:pStyle w:val="43"/>
              <w:wordWrap w:val="0"/>
              <w:spacing w:line="360" w:lineRule="auto"/>
              <w:ind w:firstLine="0" w:firstLineChars="0"/>
              <w:jc w:val="center"/>
              <w:rPr>
                <w:b/>
                <w:szCs w:val="24"/>
                <w:lang w:val="zh-CN"/>
              </w:rPr>
            </w:pPr>
            <w:r>
              <w:rPr>
                <w:rFonts w:hint="eastAsia"/>
                <w:b/>
                <w:szCs w:val="24"/>
                <w:lang w:val="zh-CN"/>
              </w:rPr>
              <w:t>审查内容</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7" w:type="dxa"/>
            <w:tcBorders>
              <w:tl2br w:val="nil"/>
              <w:tr2bl w:val="nil"/>
            </w:tcBorders>
            <w:vAlign w:val="center"/>
          </w:tcPr>
          <w:p>
            <w:pPr>
              <w:pStyle w:val="43"/>
              <w:numPr>
                <w:ilvl w:val="0"/>
                <w:numId w:val="52"/>
              </w:numPr>
              <w:tabs>
                <w:tab w:val="left" w:pos="72"/>
              </w:tabs>
              <w:wordWrap w:val="0"/>
              <w:spacing w:line="360" w:lineRule="auto"/>
              <w:ind w:firstLineChars="0"/>
              <w:jc w:val="center"/>
              <w:rPr>
                <w:szCs w:val="24"/>
                <w:lang w:val="zh-CN"/>
              </w:rPr>
            </w:pPr>
          </w:p>
        </w:tc>
        <w:tc>
          <w:tcPr>
            <w:tcW w:w="9118" w:type="dxa"/>
            <w:tcBorders>
              <w:tl2br w:val="nil"/>
              <w:tr2bl w:val="nil"/>
            </w:tcBorders>
            <w:vAlign w:val="center"/>
          </w:tcPr>
          <w:p>
            <w:pPr>
              <w:pStyle w:val="43"/>
              <w:wordWrap w:val="0"/>
              <w:spacing w:line="360" w:lineRule="auto"/>
              <w:ind w:firstLine="0" w:firstLineChars="0"/>
              <w:jc w:val="left"/>
              <w:rPr>
                <w:szCs w:val="24"/>
                <w:lang w:val="zh-CN"/>
              </w:rPr>
            </w:pPr>
            <w:r>
              <w:rPr>
                <w:rFonts w:hint="eastAsia"/>
                <w:szCs w:val="24"/>
                <w:lang w:val="zh-CN"/>
              </w:rPr>
              <w:t>法人、其他组织应提供营业执照或执业许可证等证明文件，自然人应提供身份证明文件（仅限中国公民）。</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7" w:type="dxa"/>
            <w:tcBorders>
              <w:tl2br w:val="nil"/>
              <w:tr2bl w:val="nil"/>
            </w:tcBorders>
            <w:vAlign w:val="center"/>
          </w:tcPr>
          <w:p>
            <w:pPr>
              <w:pStyle w:val="43"/>
              <w:numPr>
                <w:ilvl w:val="0"/>
                <w:numId w:val="52"/>
              </w:numPr>
              <w:tabs>
                <w:tab w:val="left" w:pos="72"/>
              </w:tabs>
              <w:wordWrap w:val="0"/>
              <w:spacing w:line="360" w:lineRule="auto"/>
              <w:ind w:firstLineChars="0"/>
              <w:jc w:val="center"/>
              <w:rPr>
                <w:szCs w:val="24"/>
              </w:rPr>
            </w:pPr>
          </w:p>
        </w:tc>
        <w:tc>
          <w:tcPr>
            <w:tcW w:w="9118" w:type="dxa"/>
            <w:tcBorders>
              <w:tl2br w:val="nil"/>
              <w:tr2bl w:val="nil"/>
            </w:tcBorders>
            <w:vAlign w:val="center"/>
          </w:tcPr>
          <w:p>
            <w:pPr>
              <w:pStyle w:val="43"/>
              <w:wordWrap w:val="0"/>
              <w:spacing w:line="360" w:lineRule="auto"/>
              <w:ind w:firstLine="0" w:firstLineChars="0"/>
              <w:jc w:val="left"/>
              <w:rPr>
                <w:szCs w:val="24"/>
                <w:lang w:val="zh-CN"/>
              </w:rPr>
            </w:pPr>
            <w:r>
              <w:rPr>
                <w:rFonts w:hint="eastAsia"/>
                <w:szCs w:val="24"/>
                <w:lang w:val="zh-CN"/>
              </w:rPr>
              <w:t>应提供“具备参与政府采购资格条件的声明函”。</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7" w:type="dxa"/>
            <w:tcBorders>
              <w:tl2br w:val="nil"/>
              <w:tr2bl w:val="nil"/>
            </w:tcBorders>
            <w:vAlign w:val="center"/>
          </w:tcPr>
          <w:p>
            <w:pPr>
              <w:pStyle w:val="43"/>
              <w:numPr>
                <w:ilvl w:val="0"/>
                <w:numId w:val="52"/>
              </w:numPr>
              <w:tabs>
                <w:tab w:val="left" w:pos="72"/>
              </w:tabs>
              <w:wordWrap w:val="0"/>
              <w:spacing w:line="360" w:lineRule="auto"/>
              <w:ind w:firstLineChars="0"/>
              <w:jc w:val="center"/>
              <w:rPr>
                <w:szCs w:val="24"/>
                <w:lang w:val="zh-CN"/>
              </w:rPr>
            </w:pPr>
          </w:p>
        </w:tc>
        <w:tc>
          <w:tcPr>
            <w:tcW w:w="9118" w:type="dxa"/>
            <w:tcBorders>
              <w:tl2br w:val="nil"/>
              <w:tr2bl w:val="nil"/>
            </w:tcBorders>
            <w:vAlign w:val="center"/>
          </w:tcPr>
          <w:p>
            <w:pPr>
              <w:pStyle w:val="43"/>
              <w:wordWrap w:val="0"/>
              <w:spacing w:line="360" w:lineRule="auto"/>
              <w:ind w:firstLine="0" w:firstLineChars="0"/>
              <w:jc w:val="left"/>
              <w:rPr>
                <w:szCs w:val="24"/>
                <w:lang w:val="zh-CN"/>
              </w:rPr>
            </w:pPr>
            <w:r>
              <w:rPr>
                <w:rFonts w:hint="eastAsia"/>
                <w:szCs w:val="24"/>
                <w:lang w:val="zh-CN"/>
              </w:rPr>
              <w:t>应提供“未与有关系的其它投标人参加同一合同采购活动的声明函”。</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7" w:type="dxa"/>
            <w:tcBorders>
              <w:tl2br w:val="nil"/>
              <w:tr2bl w:val="nil"/>
            </w:tcBorders>
            <w:vAlign w:val="center"/>
          </w:tcPr>
          <w:p>
            <w:pPr>
              <w:pStyle w:val="43"/>
              <w:numPr>
                <w:ilvl w:val="0"/>
                <w:numId w:val="52"/>
              </w:numPr>
              <w:tabs>
                <w:tab w:val="left" w:pos="72"/>
              </w:tabs>
              <w:wordWrap w:val="0"/>
              <w:spacing w:line="360" w:lineRule="auto"/>
              <w:ind w:firstLineChars="0"/>
              <w:jc w:val="center"/>
              <w:rPr>
                <w:szCs w:val="24"/>
                <w:lang w:val="zh-CN"/>
              </w:rPr>
            </w:pPr>
          </w:p>
        </w:tc>
        <w:tc>
          <w:tcPr>
            <w:tcW w:w="9118" w:type="dxa"/>
            <w:tcBorders>
              <w:tl2br w:val="nil"/>
              <w:tr2bl w:val="nil"/>
            </w:tcBorders>
            <w:vAlign w:val="center"/>
          </w:tcPr>
          <w:p>
            <w:pPr>
              <w:pStyle w:val="43"/>
              <w:wordWrap w:val="0"/>
              <w:spacing w:line="360" w:lineRule="auto"/>
              <w:ind w:firstLine="0" w:firstLineChars="0"/>
              <w:jc w:val="left"/>
              <w:rPr>
                <w:szCs w:val="24"/>
                <w:lang w:val="zh-CN"/>
              </w:rPr>
            </w:pPr>
            <w:r>
              <w:rPr>
                <w:rFonts w:hint="eastAsia"/>
                <w:szCs w:val="24"/>
                <w:lang w:val="zh-CN"/>
              </w:rPr>
              <w:t>应提供“未为本项目提供相关服务的声明函”。</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7" w:type="dxa"/>
            <w:tcBorders>
              <w:tl2br w:val="nil"/>
              <w:tr2bl w:val="nil"/>
            </w:tcBorders>
            <w:vAlign w:val="center"/>
          </w:tcPr>
          <w:p>
            <w:pPr>
              <w:pStyle w:val="43"/>
              <w:numPr>
                <w:ilvl w:val="0"/>
                <w:numId w:val="52"/>
              </w:numPr>
              <w:tabs>
                <w:tab w:val="left" w:pos="72"/>
              </w:tabs>
              <w:wordWrap w:val="0"/>
              <w:spacing w:line="360" w:lineRule="auto"/>
              <w:ind w:firstLineChars="0"/>
              <w:jc w:val="center"/>
              <w:rPr>
                <w:szCs w:val="24"/>
                <w:lang w:val="zh-CN"/>
              </w:rPr>
            </w:pPr>
          </w:p>
        </w:tc>
        <w:tc>
          <w:tcPr>
            <w:tcW w:w="9118" w:type="dxa"/>
            <w:tcBorders>
              <w:tl2br w:val="nil"/>
              <w:tr2bl w:val="nil"/>
            </w:tcBorders>
            <w:vAlign w:val="center"/>
          </w:tcPr>
          <w:p>
            <w:pPr>
              <w:pStyle w:val="43"/>
              <w:wordWrap w:val="0"/>
              <w:spacing w:line="360" w:lineRule="auto"/>
              <w:ind w:firstLine="0" w:firstLineChars="0"/>
              <w:jc w:val="left"/>
              <w:rPr>
                <w:szCs w:val="24"/>
                <w:lang w:val="zh-CN"/>
              </w:rPr>
            </w:pPr>
            <w:r>
              <w:rPr>
                <w:rFonts w:hint="eastAsia"/>
                <w:szCs w:val="24"/>
                <w:lang w:val="zh-CN"/>
              </w:rPr>
              <w:t>应提供“未被列入违法失信行为记录名单的声明函”。</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7" w:type="dxa"/>
            <w:tcBorders>
              <w:tl2br w:val="nil"/>
              <w:tr2bl w:val="nil"/>
            </w:tcBorders>
            <w:vAlign w:val="center"/>
          </w:tcPr>
          <w:p>
            <w:pPr>
              <w:pStyle w:val="43"/>
              <w:numPr>
                <w:ilvl w:val="0"/>
                <w:numId w:val="52"/>
              </w:numPr>
              <w:tabs>
                <w:tab w:val="left" w:pos="72"/>
              </w:tabs>
              <w:wordWrap w:val="0"/>
              <w:spacing w:line="360" w:lineRule="auto"/>
              <w:ind w:firstLineChars="0"/>
              <w:jc w:val="center"/>
              <w:rPr>
                <w:szCs w:val="24"/>
              </w:rPr>
            </w:pPr>
          </w:p>
        </w:tc>
        <w:tc>
          <w:tcPr>
            <w:tcW w:w="9118" w:type="dxa"/>
            <w:tcBorders>
              <w:tl2br w:val="nil"/>
              <w:tr2bl w:val="nil"/>
            </w:tcBorders>
            <w:vAlign w:val="center"/>
          </w:tcPr>
          <w:p>
            <w:pPr>
              <w:pStyle w:val="11"/>
              <w:spacing w:line="360" w:lineRule="auto"/>
              <w:jc w:val="left"/>
              <w:rPr>
                <w:szCs w:val="24"/>
              </w:rPr>
            </w:pPr>
            <w:r>
              <w:rPr>
                <w:rFonts w:hint="eastAsia"/>
                <w:szCs w:val="24"/>
              </w:rPr>
              <w:t>应提供《政府采购促进中小企业发展管理办法》（财库〔2020〕46号）规定的“中小企业声明函（服务）”。</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9935" w:type="dxa"/>
            <w:gridSpan w:val="2"/>
            <w:tcBorders>
              <w:tl2br w:val="nil"/>
              <w:tr2bl w:val="nil"/>
            </w:tcBorders>
            <w:vAlign w:val="center"/>
          </w:tcPr>
          <w:p>
            <w:pPr>
              <w:tabs>
                <w:tab w:val="left" w:pos="459"/>
              </w:tabs>
              <w:autoSpaceDE w:val="0"/>
              <w:autoSpaceDN w:val="0"/>
              <w:adjustRightInd w:val="0"/>
              <w:spacing w:line="360" w:lineRule="auto"/>
              <w:rPr>
                <w:i/>
                <w:szCs w:val="24"/>
              </w:rPr>
            </w:pPr>
            <w:bookmarkStart w:id="475" w:name="_Toc102057740"/>
            <w:bookmarkStart w:id="476" w:name="_Toc102116174"/>
            <w:bookmarkStart w:id="477" w:name="_Toc102056240"/>
            <w:bookmarkStart w:id="478" w:name="_Toc102114942"/>
            <w:bookmarkStart w:id="479" w:name="_Toc102116044"/>
            <w:bookmarkStart w:id="480" w:name="_Toc102119875"/>
            <w:r>
              <w:rPr>
                <w:rFonts w:hint="eastAsia"/>
                <w:b/>
                <w:bCs/>
                <w:iCs/>
                <w:szCs w:val="24"/>
              </w:rPr>
              <w:t>注：不满足本表任意要求之一的，视为资格审查不通过。</w:t>
            </w:r>
          </w:p>
        </w:tc>
      </w:tr>
    </w:tbl>
    <w:p>
      <w:pPr>
        <w:wordWrap w:val="0"/>
        <w:spacing w:line="360" w:lineRule="auto"/>
        <w:ind w:firstLine="420"/>
        <w:rPr>
          <w:b/>
          <w:bCs/>
          <w:kern w:val="44"/>
          <w:szCs w:val="24"/>
        </w:rPr>
      </w:pPr>
      <w:r>
        <w:rPr>
          <w:sz w:val="36"/>
          <w:szCs w:val="36"/>
        </w:rPr>
        <w:br w:type="page"/>
      </w:r>
    </w:p>
    <w:p>
      <w:pPr>
        <w:pStyle w:val="2"/>
        <w:numPr>
          <w:ilvl w:val="0"/>
          <w:numId w:val="1"/>
        </w:numPr>
        <w:tabs>
          <w:tab w:val="left" w:pos="1276"/>
        </w:tabs>
        <w:wordWrap w:val="0"/>
        <w:spacing w:before="120" w:after="120" w:line="360" w:lineRule="auto"/>
        <w:ind w:left="723" w:hanging="723" w:hangingChars="200"/>
        <w:jc w:val="center"/>
        <w:rPr>
          <w:sz w:val="36"/>
          <w:szCs w:val="36"/>
        </w:rPr>
      </w:pPr>
      <w:bookmarkStart w:id="481" w:name="_Toc2888"/>
      <w:bookmarkStart w:id="482" w:name="_Toc117244362"/>
      <w:bookmarkStart w:id="483" w:name="_Toc117244477"/>
      <w:bookmarkStart w:id="484" w:name="_Toc22936"/>
      <w:r>
        <w:rPr>
          <w:rFonts w:hint="eastAsia"/>
          <w:sz w:val="36"/>
          <w:szCs w:val="36"/>
        </w:rPr>
        <w:t>评标</w:t>
      </w:r>
      <w:bookmarkEnd w:id="458"/>
      <w:bookmarkEnd w:id="475"/>
      <w:bookmarkEnd w:id="476"/>
      <w:bookmarkEnd w:id="477"/>
      <w:bookmarkEnd w:id="478"/>
      <w:bookmarkEnd w:id="479"/>
      <w:bookmarkEnd w:id="480"/>
      <w:r>
        <w:rPr>
          <w:rFonts w:hint="eastAsia"/>
          <w:sz w:val="36"/>
          <w:szCs w:val="36"/>
        </w:rPr>
        <w:t>办法</w:t>
      </w:r>
      <w:bookmarkEnd w:id="481"/>
      <w:bookmarkEnd w:id="482"/>
      <w:bookmarkEnd w:id="483"/>
      <w:bookmarkEnd w:id="484"/>
    </w:p>
    <w:p>
      <w:pPr>
        <w:pStyle w:val="3"/>
        <w:numPr>
          <w:ilvl w:val="0"/>
          <w:numId w:val="53"/>
        </w:numPr>
        <w:wordWrap w:val="0"/>
        <w:spacing w:before="0" w:after="0" w:line="360" w:lineRule="auto"/>
        <w:ind w:left="616" w:hanging="616"/>
        <w:jc w:val="left"/>
        <w:rPr>
          <w:rFonts w:ascii="宋体" w:hAnsi="宋体" w:eastAsia="宋体" w:cs="Times New Roman"/>
          <w:bCs w:val="0"/>
          <w:sz w:val="28"/>
          <w:szCs w:val="28"/>
          <w:lang w:val="zh-CN"/>
        </w:rPr>
      </w:pPr>
      <w:bookmarkStart w:id="485" w:name="_Toc278891605"/>
      <w:bookmarkStart w:id="486" w:name="_Toc272247708"/>
      <w:bookmarkStart w:id="487" w:name="_Toc30100"/>
      <w:bookmarkStart w:id="488" w:name="_Toc102119876"/>
      <w:bookmarkStart w:id="489" w:name="_Toc102056241"/>
      <w:bookmarkStart w:id="490" w:name="_Toc102116175"/>
      <w:bookmarkStart w:id="491" w:name="_Toc102057741"/>
      <w:bookmarkStart w:id="492" w:name="_Toc117244363"/>
      <w:bookmarkStart w:id="493" w:name="_Toc117244478"/>
      <w:bookmarkStart w:id="494" w:name="_Toc102114943"/>
      <w:bookmarkStart w:id="495" w:name="_Toc494561961"/>
      <w:bookmarkStart w:id="496" w:name="_Toc511894517"/>
      <w:bookmarkStart w:id="497" w:name="_Toc102116045"/>
      <w:bookmarkStart w:id="498" w:name="_Toc1727"/>
      <w:r>
        <w:rPr>
          <w:rFonts w:hint="eastAsia" w:ascii="宋体" w:hAnsi="宋体" w:eastAsia="宋体" w:cs="Times New Roman"/>
          <w:bCs w:val="0"/>
          <w:sz w:val="28"/>
          <w:szCs w:val="28"/>
          <w:lang w:val="zh-CN"/>
        </w:rPr>
        <w:t>评标</w:t>
      </w:r>
      <w:bookmarkEnd w:id="485"/>
      <w:bookmarkEnd w:id="486"/>
      <w:r>
        <w:rPr>
          <w:rFonts w:hint="eastAsia" w:ascii="宋体" w:hAnsi="宋体" w:eastAsia="宋体" w:cs="Times New Roman"/>
          <w:bCs w:val="0"/>
          <w:sz w:val="28"/>
          <w:szCs w:val="28"/>
          <w:lang w:val="zh-CN"/>
        </w:rPr>
        <w:t>方法</w:t>
      </w:r>
      <w:bookmarkEnd w:id="487"/>
      <w:bookmarkEnd w:id="488"/>
      <w:bookmarkEnd w:id="489"/>
      <w:bookmarkEnd w:id="490"/>
      <w:bookmarkEnd w:id="491"/>
      <w:bookmarkEnd w:id="492"/>
      <w:bookmarkEnd w:id="493"/>
      <w:bookmarkEnd w:id="494"/>
      <w:bookmarkEnd w:id="495"/>
      <w:bookmarkEnd w:id="496"/>
      <w:bookmarkEnd w:id="497"/>
      <w:bookmarkEnd w:id="498"/>
    </w:p>
    <w:p>
      <w:pPr>
        <w:wordWrap w:val="0"/>
        <w:spacing w:line="360" w:lineRule="auto"/>
        <w:ind w:firstLine="480" w:firstLineChars="200"/>
        <w:rPr>
          <w:bCs/>
          <w:lang w:val="zh-CN"/>
        </w:rPr>
      </w:pPr>
      <w:r>
        <w:rPr>
          <w:rFonts w:hint="eastAsia"/>
          <w:bCs/>
          <w:szCs w:val="24"/>
          <w:lang w:val="zh-CN"/>
        </w:rPr>
        <w:t>本项目评标采用综合评分法。综合评分法</w:t>
      </w:r>
      <w:r>
        <w:rPr>
          <w:bCs/>
          <w:szCs w:val="24"/>
          <w:lang w:val="zh-CN"/>
        </w:rPr>
        <w:t>是指投标文件满足招标文件全部实质性要求</w:t>
      </w:r>
      <w:r>
        <w:rPr>
          <w:rFonts w:hint="eastAsia"/>
          <w:bCs/>
          <w:szCs w:val="24"/>
          <w:lang w:val="zh-CN"/>
        </w:rPr>
        <w:t>，并</w:t>
      </w:r>
      <w:r>
        <w:rPr>
          <w:bCs/>
          <w:szCs w:val="24"/>
          <w:lang w:val="zh-CN"/>
        </w:rPr>
        <w:t>按照评</w:t>
      </w:r>
      <w:r>
        <w:rPr>
          <w:bCs/>
          <w:lang w:val="zh-CN"/>
        </w:rPr>
        <w:t>审因素的量化指标评审得分最高的投标人为中标候选人的评标方法。</w:t>
      </w:r>
      <w:bookmarkStart w:id="499" w:name="_Toc272247709"/>
      <w:bookmarkStart w:id="500" w:name="_Toc511894518"/>
      <w:bookmarkStart w:id="501" w:name="_Toc494561962"/>
      <w:bookmarkStart w:id="502" w:name="_Toc278891606"/>
    </w:p>
    <w:p>
      <w:pPr>
        <w:pStyle w:val="3"/>
        <w:numPr>
          <w:ilvl w:val="0"/>
          <w:numId w:val="53"/>
        </w:numPr>
        <w:wordWrap w:val="0"/>
        <w:spacing w:before="0" w:after="0" w:line="360" w:lineRule="auto"/>
        <w:ind w:left="616" w:hanging="616"/>
        <w:jc w:val="left"/>
        <w:rPr>
          <w:rFonts w:ascii="宋体" w:hAnsi="宋体" w:eastAsia="宋体" w:cs="Times New Roman"/>
          <w:bCs w:val="0"/>
          <w:sz w:val="28"/>
          <w:szCs w:val="28"/>
          <w:lang w:val="zh-CN"/>
        </w:rPr>
      </w:pPr>
      <w:bookmarkStart w:id="503" w:name="_Toc102114944"/>
      <w:bookmarkStart w:id="504" w:name="_Toc102057742"/>
      <w:bookmarkStart w:id="505" w:name="_Toc117244479"/>
      <w:bookmarkStart w:id="506" w:name="_Toc117244364"/>
      <w:bookmarkStart w:id="507" w:name="_Toc102116176"/>
      <w:bookmarkStart w:id="508" w:name="_Toc102116046"/>
      <w:bookmarkStart w:id="509" w:name="_Toc102119877"/>
      <w:bookmarkStart w:id="510" w:name="_Toc102056242"/>
      <w:bookmarkStart w:id="511" w:name="_Toc13495"/>
      <w:bookmarkStart w:id="512" w:name="_Toc25295"/>
      <w:r>
        <w:rPr>
          <w:rFonts w:hint="eastAsia" w:ascii="宋体" w:hAnsi="宋体" w:eastAsia="宋体" w:cs="Times New Roman"/>
          <w:bCs w:val="0"/>
          <w:sz w:val="28"/>
          <w:szCs w:val="28"/>
          <w:lang w:val="zh-CN"/>
        </w:rPr>
        <w:t>评标程序</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pPr>
        <w:pStyle w:val="43"/>
        <w:numPr>
          <w:ilvl w:val="0"/>
          <w:numId w:val="54"/>
        </w:numPr>
        <w:spacing w:line="360" w:lineRule="auto"/>
        <w:ind w:left="284" w:hanging="284" w:firstLineChars="0"/>
        <w:rPr>
          <w:b/>
          <w:strike/>
          <w:szCs w:val="24"/>
          <w:lang w:val="zh-CN"/>
        </w:rPr>
      </w:pPr>
      <w:bookmarkStart w:id="513" w:name="_Toc102116177"/>
      <w:bookmarkStart w:id="514" w:name="_Toc102116047"/>
      <w:bookmarkStart w:id="515" w:name="_Toc102057743"/>
      <w:bookmarkStart w:id="516" w:name="_Toc102119878"/>
      <w:bookmarkStart w:id="517" w:name="_Toc102114945"/>
      <w:bookmarkStart w:id="518" w:name="_Toc102056243"/>
      <w:r>
        <w:rPr>
          <w:rFonts w:hint="eastAsia"/>
          <w:b/>
          <w:szCs w:val="24"/>
          <w:lang w:val="zh-CN"/>
        </w:rPr>
        <w:t>符合性审查</w:t>
      </w:r>
      <w:bookmarkEnd w:id="513"/>
      <w:bookmarkEnd w:id="514"/>
      <w:bookmarkEnd w:id="515"/>
      <w:bookmarkEnd w:id="516"/>
      <w:bookmarkEnd w:id="517"/>
      <w:bookmarkEnd w:id="518"/>
    </w:p>
    <w:p>
      <w:pPr>
        <w:wordWrap w:val="0"/>
        <w:spacing w:line="360" w:lineRule="auto"/>
        <w:ind w:firstLine="470" w:firstLineChars="196"/>
        <w:rPr>
          <w:b/>
          <w:bCs/>
          <w:lang w:val="zh-CN"/>
        </w:rPr>
      </w:pPr>
      <w:r>
        <w:rPr>
          <w:rFonts w:cs="Helvetica"/>
          <w:szCs w:val="24"/>
          <w:lang w:val="zh-CN"/>
        </w:rPr>
        <w:t>评标委员会应当</w:t>
      </w:r>
      <w:r>
        <w:rPr>
          <w:rFonts w:hint="eastAsia" w:cs="Helvetica"/>
          <w:szCs w:val="24"/>
          <w:lang w:val="zh-CN"/>
        </w:rPr>
        <w:t>按照本章“三、评标标准”中“符合性审查”的内容</w:t>
      </w:r>
      <w:r>
        <w:rPr>
          <w:rFonts w:cs="Helvetica"/>
          <w:szCs w:val="24"/>
          <w:lang w:val="zh-CN"/>
        </w:rPr>
        <w:t>对</w:t>
      </w:r>
      <w:r>
        <w:rPr>
          <w:rFonts w:hint="eastAsia" w:cs="Helvetica"/>
          <w:szCs w:val="24"/>
          <w:lang w:val="zh-CN"/>
        </w:rPr>
        <w:t>通过资格审查</w:t>
      </w:r>
      <w:r>
        <w:rPr>
          <w:rFonts w:cs="Helvetica"/>
          <w:szCs w:val="24"/>
          <w:lang w:val="zh-CN"/>
        </w:rPr>
        <w:t>的投标人的投标文件进行符合性审查，以确定其是否满足招标文件实质性要求</w:t>
      </w:r>
      <w:r>
        <w:rPr>
          <w:rFonts w:hint="eastAsia"/>
          <w:bCs/>
          <w:lang w:val="zh-CN"/>
        </w:rPr>
        <w:t>。不满足招标文件实质性要求的按照</w:t>
      </w:r>
      <w:r>
        <w:rPr>
          <w:rFonts w:hint="eastAsia"/>
          <w:b/>
          <w:bCs/>
          <w:lang w:val="zh-CN"/>
        </w:rPr>
        <w:t>无效投标处理。</w:t>
      </w:r>
    </w:p>
    <w:p>
      <w:pPr>
        <w:pStyle w:val="43"/>
        <w:numPr>
          <w:ilvl w:val="0"/>
          <w:numId w:val="54"/>
        </w:numPr>
        <w:spacing w:line="360" w:lineRule="auto"/>
        <w:ind w:left="284" w:hanging="284" w:firstLineChars="0"/>
        <w:rPr>
          <w:b/>
          <w:szCs w:val="24"/>
          <w:lang w:val="zh-CN"/>
        </w:rPr>
      </w:pPr>
      <w:bookmarkStart w:id="519" w:name="_Toc102116178"/>
      <w:bookmarkStart w:id="520" w:name="_Toc102119879"/>
      <w:bookmarkStart w:id="521" w:name="_Toc102114946"/>
      <w:bookmarkStart w:id="522" w:name="_Toc102057744"/>
      <w:bookmarkStart w:id="523" w:name="_Toc102116048"/>
      <w:bookmarkStart w:id="524" w:name="_Toc102056244"/>
      <w:r>
        <w:rPr>
          <w:rFonts w:hint="eastAsia"/>
          <w:b/>
          <w:szCs w:val="24"/>
          <w:lang w:val="zh-CN"/>
        </w:rPr>
        <w:t>投标文件澄清</w:t>
      </w:r>
      <w:bookmarkEnd w:id="519"/>
      <w:bookmarkEnd w:id="520"/>
      <w:bookmarkEnd w:id="521"/>
      <w:bookmarkEnd w:id="522"/>
      <w:bookmarkEnd w:id="523"/>
      <w:bookmarkEnd w:id="524"/>
    </w:p>
    <w:p>
      <w:pPr>
        <w:numPr>
          <w:ilvl w:val="0"/>
          <w:numId w:val="55"/>
        </w:numPr>
        <w:wordWrap w:val="0"/>
        <w:adjustRightInd w:val="0"/>
        <w:snapToGrid w:val="0"/>
        <w:spacing w:line="360" w:lineRule="auto"/>
        <w:rPr>
          <w:rFonts w:cs="Helvetica"/>
          <w:szCs w:val="24"/>
          <w:lang w:val="zh-CN"/>
        </w:rPr>
      </w:pPr>
      <w:r>
        <w:rPr>
          <w:rFonts w:hint="eastAsia" w:cs="Helvetica"/>
          <w:szCs w:val="24"/>
          <w:lang w:val="zh-CN"/>
        </w:rPr>
        <w:t>评标期间，</w:t>
      </w:r>
      <w:r>
        <w:rPr>
          <w:rFonts w:cs="Helvetica"/>
          <w:szCs w:val="24"/>
          <w:lang w:val="zh-CN"/>
        </w:rPr>
        <w:t>对于投标文件中含义不明确、同类问题表述不一致或者有明显文字和计算错误的内容，评标委员会</w:t>
      </w:r>
      <w:r>
        <w:rPr>
          <w:rFonts w:hint="eastAsia" w:cs="Helvetica"/>
          <w:szCs w:val="24"/>
          <w:lang w:val="zh-CN"/>
        </w:rPr>
        <w:t>应当在电子采购平台上以书面的形式</w:t>
      </w:r>
      <w:r>
        <w:rPr>
          <w:rFonts w:cs="Helvetica"/>
          <w:szCs w:val="24"/>
          <w:lang w:val="zh-CN"/>
        </w:rPr>
        <w:t>要求投标人</w:t>
      </w:r>
      <w:r>
        <w:rPr>
          <w:rFonts w:hint="eastAsia" w:cs="Helvetica"/>
          <w:szCs w:val="24"/>
          <w:lang w:val="zh-CN"/>
        </w:rPr>
        <w:t>作</w:t>
      </w:r>
      <w:r>
        <w:rPr>
          <w:rFonts w:cs="Helvetica"/>
          <w:szCs w:val="24"/>
          <w:lang w:val="zh-CN"/>
        </w:rPr>
        <w:t>出必要的澄清、说明或者补正。</w:t>
      </w:r>
    </w:p>
    <w:p>
      <w:pPr>
        <w:numPr>
          <w:ilvl w:val="0"/>
          <w:numId w:val="55"/>
        </w:numPr>
        <w:wordWrap w:val="0"/>
        <w:adjustRightInd w:val="0"/>
        <w:snapToGrid w:val="0"/>
        <w:spacing w:line="360" w:lineRule="auto"/>
        <w:rPr>
          <w:rFonts w:cs="Helvetica"/>
          <w:szCs w:val="24"/>
          <w:lang w:val="zh-CN"/>
        </w:rPr>
      </w:pPr>
      <w:r>
        <w:rPr>
          <w:rFonts w:hint="eastAsia" w:cs="Helvetica"/>
          <w:szCs w:val="24"/>
          <w:lang w:val="zh-CN"/>
        </w:rPr>
        <w:t>投标人</w:t>
      </w:r>
      <w:r>
        <w:rPr>
          <w:rFonts w:hint="eastAsia"/>
          <w:bCs/>
          <w:lang w:val="zh-CN"/>
        </w:rPr>
        <w:t>应</w:t>
      </w:r>
      <w:r>
        <w:rPr>
          <w:rFonts w:hint="eastAsia" w:cs="Helvetica"/>
          <w:szCs w:val="24"/>
          <w:lang w:val="zh-CN"/>
        </w:rPr>
        <w:t>按照</w:t>
      </w:r>
      <w:r>
        <w:rPr>
          <w:rFonts w:hint="eastAsia"/>
          <w:bCs/>
          <w:lang w:val="zh-CN"/>
        </w:rPr>
        <w:t>评标委员会要求在规定时间内作出澄清、说明或者补正，</w:t>
      </w:r>
      <w:r>
        <w:rPr>
          <w:rFonts w:cs="Helvetica"/>
          <w:szCs w:val="24"/>
          <w:lang w:val="zh-CN"/>
        </w:rPr>
        <w:t>澄清、说明或者补正不得超出投标文件的范围或者改变投标文件的实质性内容。</w:t>
      </w:r>
    </w:p>
    <w:p>
      <w:pPr>
        <w:numPr>
          <w:ilvl w:val="0"/>
          <w:numId w:val="55"/>
        </w:numPr>
        <w:wordWrap w:val="0"/>
        <w:adjustRightInd w:val="0"/>
        <w:snapToGrid w:val="0"/>
        <w:spacing w:line="360" w:lineRule="auto"/>
        <w:rPr>
          <w:lang w:val="zh-CN"/>
        </w:rPr>
      </w:pPr>
      <w:r>
        <w:rPr>
          <w:rFonts w:hint="eastAsia" w:cs="Helvetica"/>
          <w:szCs w:val="24"/>
          <w:lang w:val="zh-CN"/>
        </w:rPr>
        <w:t>投标人</w:t>
      </w:r>
      <w:r>
        <w:rPr>
          <w:rFonts w:hint="eastAsia"/>
          <w:lang w:val="zh-CN"/>
        </w:rPr>
        <w:t>的</w:t>
      </w:r>
      <w:r>
        <w:rPr>
          <w:rFonts w:cs="Helvetica"/>
          <w:szCs w:val="24"/>
          <w:lang w:val="zh-CN"/>
        </w:rPr>
        <w:t>澄清、说明或者补正</w:t>
      </w:r>
      <w:r>
        <w:rPr>
          <w:rFonts w:hint="eastAsia"/>
          <w:lang w:val="zh-CN"/>
        </w:rPr>
        <w:t>是其投标文件的有效组成部分，</w:t>
      </w:r>
      <w:r>
        <w:rPr>
          <w:rFonts w:cs="Helvetica"/>
          <w:szCs w:val="24"/>
          <w:lang w:val="zh-CN"/>
        </w:rPr>
        <w:t>澄清、说明或者补正应当</w:t>
      </w:r>
      <w:r>
        <w:rPr>
          <w:rFonts w:hint="eastAsia" w:cs="Helvetica"/>
          <w:szCs w:val="24"/>
          <w:lang w:val="zh-CN"/>
        </w:rPr>
        <w:t>在电子采购平台</w:t>
      </w:r>
      <w:r>
        <w:rPr>
          <w:szCs w:val="24"/>
          <w:lang w:val="zh-CN"/>
        </w:rPr>
        <w:t>加盖电子印章</w:t>
      </w:r>
      <w:r>
        <w:rPr>
          <w:rFonts w:hint="eastAsia"/>
          <w:szCs w:val="24"/>
          <w:lang w:val="zh-CN"/>
        </w:rPr>
        <w:t>后</w:t>
      </w:r>
      <w:r>
        <w:rPr>
          <w:rFonts w:hint="eastAsia" w:cs="Helvetica"/>
          <w:szCs w:val="24"/>
          <w:lang w:val="zh-CN"/>
        </w:rPr>
        <w:t>提交</w:t>
      </w:r>
      <w:r>
        <w:rPr>
          <w:rFonts w:cs="Helvetica"/>
          <w:szCs w:val="24"/>
          <w:lang w:val="zh-CN"/>
        </w:rPr>
        <w:t>。</w:t>
      </w:r>
    </w:p>
    <w:p>
      <w:pPr>
        <w:numPr>
          <w:ilvl w:val="0"/>
          <w:numId w:val="55"/>
        </w:numPr>
        <w:wordWrap w:val="0"/>
        <w:adjustRightInd w:val="0"/>
        <w:snapToGrid w:val="0"/>
        <w:spacing w:line="360" w:lineRule="auto"/>
        <w:rPr>
          <w:bCs/>
          <w:lang w:val="zh-CN"/>
        </w:rPr>
      </w:pPr>
      <w:r>
        <w:rPr>
          <w:rFonts w:cs="Helvetica"/>
          <w:szCs w:val="24"/>
          <w:lang w:val="zh-CN"/>
        </w:rPr>
        <w:t>投标</w:t>
      </w:r>
      <w:r>
        <w:rPr>
          <w:lang w:val="zh-CN"/>
        </w:rPr>
        <w:t>文件</w:t>
      </w:r>
      <w:r>
        <w:rPr>
          <w:bCs/>
          <w:lang w:val="zh-CN"/>
        </w:rPr>
        <w:t>报价出现前后不一致的，按照下列规定修正：</w:t>
      </w:r>
    </w:p>
    <w:p>
      <w:pPr>
        <w:tabs>
          <w:tab w:val="left" w:pos="851"/>
          <w:tab w:val="left" w:pos="1418"/>
        </w:tabs>
        <w:wordWrap w:val="0"/>
        <w:spacing w:line="360" w:lineRule="auto"/>
        <w:ind w:left="1051" w:leftChars="202" w:hanging="566" w:hangingChars="236"/>
        <w:rPr>
          <w:szCs w:val="24"/>
          <w:lang w:val="zh-CN"/>
        </w:rPr>
      </w:pPr>
      <w:r>
        <w:rPr>
          <w:rFonts w:hint="eastAsia"/>
          <w:szCs w:val="24"/>
          <w:lang w:val="zh-CN"/>
        </w:rPr>
        <w:t>（1）</w:t>
      </w:r>
      <w:r>
        <w:rPr>
          <w:szCs w:val="24"/>
          <w:lang w:val="zh-CN"/>
        </w:rPr>
        <w:t>投标文件中开标一览表</w:t>
      </w:r>
      <w:r>
        <w:rPr>
          <w:rFonts w:hint="eastAsia"/>
          <w:szCs w:val="24"/>
          <w:lang w:val="zh-CN"/>
        </w:rPr>
        <w:t>（报价表）</w:t>
      </w:r>
      <w:r>
        <w:rPr>
          <w:szCs w:val="24"/>
          <w:lang w:val="zh-CN"/>
        </w:rPr>
        <w:t>内容与投标文件中相应内容不一致的，以开标一览表</w:t>
      </w:r>
      <w:r>
        <w:rPr>
          <w:rFonts w:hint="eastAsia"/>
          <w:szCs w:val="24"/>
          <w:lang w:val="zh-CN"/>
        </w:rPr>
        <w:t>（报价表）</w:t>
      </w:r>
      <w:r>
        <w:rPr>
          <w:szCs w:val="24"/>
          <w:lang w:val="zh-CN"/>
        </w:rPr>
        <w:t>为准</w:t>
      </w:r>
      <w:r>
        <w:rPr>
          <w:rFonts w:hint="eastAsia"/>
          <w:szCs w:val="24"/>
          <w:lang w:val="zh-CN"/>
        </w:rPr>
        <w:t>。</w:t>
      </w:r>
    </w:p>
    <w:p>
      <w:pPr>
        <w:tabs>
          <w:tab w:val="left" w:pos="851"/>
          <w:tab w:val="left" w:pos="1418"/>
        </w:tabs>
        <w:wordWrap w:val="0"/>
        <w:spacing w:line="360" w:lineRule="auto"/>
        <w:ind w:left="1331" w:leftChars="203" w:hanging="844" w:hangingChars="352"/>
        <w:rPr>
          <w:szCs w:val="24"/>
          <w:lang w:val="zh-CN"/>
        </w:rPr>
      </w:pPr>
      <w:r>
        <w:rPr>
          <w:rFonts w:hint="eastAsia"/>
          <w:szCs w:val="24"/>
          <w:lang w:val="zh-CN"/>
        </w:rPr>
        <w:t>（2）</w:t>
      </w:r>
      <w:r>
        <w:rPr>
          <w:szCs w:val="24"/>
          <w:lang w:val="zh-CN"/>
        </w:rPr>
        <w:t>大写金额和小写金额不一致的，以大写金额为准</w:t>
      </w:r>
      <w:r>
        <w:rPr>
          <w:rFonts w:hint="eastAsia"/>
          <w:szCs w:val="24"/>
          <w:lang w:val="zh-CN"/>
        </w:rPr>
        <w:t>。</w:t>
      </w:r>
    </w:p>
    <w:p>
      <w:pPr>
        <w:tabs>
          <w:tab w:val="left" w:pos="851"/>
          <w:tab w:val="left" w:pos="1418"/>
        </w:tabs>
        <w:wordWrap w:val="0"/>
        <w:spacing w:line="360" w:lineRule="auto"/>
        <w:ind w:left="1331" w:leftChars="203" w:hanging="844" w:hangingChars="352"/>
        <w:rPr>
          <w:szCs w:val="24"/>
          <w:lang w:val="zh-CN"/>
        </w:rPr>
      </w:pPr>
      <w:r>
        <w:rPr>
          <w:rFonts w:hint="eastAsia"/>
          <w:szCs w:val="24"/>
          <w:lang w:val="zh-CN"/>
        </w:rPr>
        <w:t>（3）</w:t>
      </w:r>
      <w:r>
        <w:rPr>
          <w:szCs w:val="24"/>
          <w:lang w:val="zh-CN"/>
        </w:rPr>
        <w:t>单价金额小数点或百分比有明显错位的，以开标一览表的总价为准，并修改单价</w:t>
      </w:r>
      <w:r>
        <w:rPr>
          <w:rFonts w:hint="eastAsia"/>
          <w:szCs w:val="24"/>
          <w:lang w:val="zh-CN"/>
        </w:rPr>
        <w:t>。</w:t>
      </w:r>
    </w:p>
    <w:p>
      <w:pPr>
        <w:tabs>
          <w:tab w:val="left" w:pos="851"/>
          <w:tab w:val="left" w:pos="1418"/>
        </w:tabs>
        <w:wordWrap w:val="0"/>
        <w:spacing w:line="360" w:lineRule="auto"/>
        <w:ind w:left="1331" w:leftChars="203" w:hanging="844" w:hangingChars="352"/>
        <w:rPr>
          <w:szCs w:val="24"/>
          <w:lang w:val="zh-CN"/>
        </w:rPr>
      </w:pPr>
      <w:r>
        <w:rPr>
          <w:rFonts w:hint="eastAsia"/>
          <w:szCs w:val="24"/>
          <w:lang w:val="zh-CN"/>
        </w:rPr>
        <w:t>（4）</w:t>
      </w:r>
      <w:r>
        <w:rPr>
          <w:szCs w:val="24"/>
          <w:lang w:val="zh-CN"/>
        </w:rPr>
        <w:t>总价金额与按单价汇总金额不一致的，以单价金额计算结果为准</w:t>
      </w:r>
      <w:r>
        <w:rPr>
          <w:rFonts w:hint="eastAsia"/>
          <w:szCs w:val="24"/>
          <w:lang w:val="zh-CN"/>
        </w:rPr>
        <w:t>。</w:t>
      </w:r>
    </w:p>
    <w:p>
      <w:pPr>
        <w:tabs>
          <w:tab w:val="left" w:pos="851"/>
          <w:tab w:val="left" w:pos="1418"/>
        </w:tabs>
        <w:wordWrap w:val="0"/>
        <w:spacing w:line="360" w:lineRule="auto"/>
        <w:ind w:left="1331" w:leftChars="203" w:hanging="844" w:hangingChars="352"/>
        <w:rPr>
          <w:szCs w:val="24"/>
          <w:lang w:val="zh-CN"/>
        </w:rPr>
      </w:pPr>
      <w:r>
        <w:rPr>
          <w:rFonts w:hint="eastAsia"/>
          <w:szCs w:val="24"/>
          <w:lang w:val="zh-CN"/>
        </w:rPr>
        <w:t>（5）</w:t>
      </w:r>
      <w:r>
        <w:rPr>
          <w:szCs w:val="24"/>
          <w:lang w:val="zh-CN"/>
        </w:rPr>
        <w:t>同时出现两种以上不一致的，按照前款规定的顺序修正</w:t>
      </w:r>
      <w:r>
        <w:rPr>
          <w:rFonts w:hint="eastAsia"/>
          <w:szCs w:val="24"/>
          <w:lang w:val="zh-CN"/>
        </w:rPr>
        <w:t>。</w:t>
      </w:r>
    </w:p>
    <w:p>
      <w:pPr>
        <w:tabs>
          <w:tab w:val="left" w:pos="851"/>
          <w:tab w:val="left" w:pos="1418"/>
        </w:tabs>
        <w:wordWrap w:val="0"/>
        <w:spacing w:line="360" w:lineRule="auto"/>
        <w:ind w:left="1051" w:leftChars="202" w:hanging="566" w:hangingChars="236"/>
        <w:rPr>
          <w:szCs w:val="24"/>
          <w:lang w:val="zh-CN"/>
        </w:rPr>
      </w:pPr>
      <w:r>
        <w:rPr>
          <w:rFonts w:hint="eastAsia"/>
          <w:szCs w:val="24"/>
          <w:lang w:val="zh-CN"/>
        </w:rPr>
        <w:t>（6）</w:t>
      </w:r>
      <w:r>
        <w:rPr>
          <w:szCs w:val="24"/>
          <w:lang w:val="zh-CN"/>
        </w:rPr>
        <w:t>修正后的报价按照</w:t>
      </w:r>
      <w:r>
        <w:rPr>
          <w:rFonts w:hint="eastAsia"/>
          <w:szCs w:val="24"/>
          <w:lang w:val="zh-CN"/>
        </w:rPr>
        <w:t>本节第2.3条规定</w:t>
      </w:r>
      <w:r>
        <w:rPr>
          <w:szCs w:val="24"/>
          <w:lang w:val="zh-CN"/>
        </w:rPr>
        <w:t>经投标人确认后产生约束力，投标人不确认的，</w:t>
      </w:r>
      <w:r>
        <w:rPr>
          <w:rFonts w:hint="eastAsia"/>
          <w:szCs w:val="24"/>
          <w:lang w:val="zh-CN"/>
        </w:rPr>
        <w:t>按照</w:t>
      </w:r>
      <w:r>
        <w:rPr>
          <w:szCs w:val="24"/>
          <w:lang w:val="zh-CN"/>
        </w:rPr>
        <w:t>无</w:t>
      </w:r>
      <w:r>
        <w:rPr>
          <w:b/>
          <w:szCs w:val="24"/>
          <w:lang w:val="zh-CN"/>
        </w:rPr>
        <w:t>效</w:t>
      </w:r>
      <w:r>
        <w:rPr>
          <w:rFonts w:hint="eastAsia"/>
          <w:b/>
          <w:szCs w:val="24"/>
          <w:lang w:val="zh-CN"/>
        </w:rPr>
        <w:t>投标处理</w:t>
      </w:r>
      <w:r>
        <w:rPr>
          <w:szCs w:val="24"/>
          <w:lang w:val="zh-CN"/>
        </w:rPr>
        <w:t>。</w:t>
      </w:r>
    </w:p>
    <w:p>
      <w:pPr>
        <w:pStyle w:val="43"/>
        <w:numPr>
          <w:ilvl w:val="0"/>
          <w:numId w:val="54"/>
        </w:numPr>
        <w:spacing w:line="360" w:lineRule="auto"/>
        <w:ind w:left="284" w:hanging="284" w:firstLineChars="0"/>
        <w:rPr>
          <w:b/>
          <w:szCs w:val="24"/>
          <w:lang w:val="zh-CN"/>
        </w:rPr>
      </w:pPr>
      <w:bookmarkStart w:id="525" w:name="_Toc102114947"/>
      <w:bookmarkStart w:id="526" w:name="_Toc102056245"/>
      <w:bookmarkStart w:id="527" w:name="_Toc102057745"/>
      <w:bookmarkStart w:id="528" w:name="_Toc102116049"/>
      <w:bookmarkStart w:id="529" w:name="_Toc102119880"/>
      <w:bookmarkStart w:id="530" w:name="_Toc102116179"/>
      <w:r>
        <w:rPr>
          <w:rFonts w:hint="eastAsia"/>
          <w:b/>
          <w:szCs w:val="24"/>
          <w:lang w:val="zh-CN"/>
        </w:rPr>
        <w:t>商务技术评</w:t>
      </w:r>
      <w:bookmarkEnd w:id="525"/>
      <w:bookmarkEnd w:id="526"/>
      <w:bookmarkEnd w:id="527"/>
      <w:bookmarkEnd w:id="528"/>
      <w:bookmarkEnd w:id="529"/>
      <w:bookmarkEnd w:id="530"/>
      <w:r>
        <w:rPr>
          <w:rFonts w:hint="eastAsia"/>
          <w:b/>
          <w:szCs w:val="24"/>
          <w:lang w:val="zh-CN"/>
        </w:rPr>
        <w:t>审</w:t>
      </w:r>
    </w:p>
    <w:p>
      <w:pPr>
        <w:wordWrap w:val="0"/>
        <w:spacing w:line="360" w:lineRule="auto"/>
        <w:ind w:firstLine="480" w:firstLineChars="200"/>
        <w:rPr>
          <w:bCs/>
          <w:lang w:val="zh-CN"/>
        </w:rPr>
      </w:pPr>
      <w:r>
        <w:rPr>
          <w:rFonts w:hint="eastAsia"/>
          <w:bCs/>
          <w:lang w:val="zh-CN"/>
        </w:rPr>
        <w:t>评标委员会</w:t>
      </w:r>
      <w:r>
        <w:rPr>
          <w:bCs/>
          <w:lang w:val="zh-CN"/>
        </w:rPr>
        <w:t>应</w:t>
      </w:r>
      <w:r>
        <w:rPr>
          <w:rFonts w:hint="eastAsia"/>
          <w:bCs/>
          <w:lang w:val="zh-CN"/>
        </w:rPr>
        <w:t>对符合性审查合格的投标文件进行商务和技术评审，并</w:t>
      </w:r>
      <w:r>
        <w:rPr>
          <w:bCs/>
          <w:lang w:val="zh-CN"/>
        </w:rPr>
        <w:t>按照</w:t>
      </w:r>
      <w:r>
        <w:rPr>
          <w:rFonts w:hint="eastAsia"/>
          <w:bCs/>
          <w:lang w:val="zh-CN"/>
        </w:rPr>
        <w:t>招标</w:t>
      </w:r>
      <w:r>
        <w:rPr>
          <w:bCs/>
          <w:lang w:val="zh-CN"/>
        </w:rPr>
        <w:t>文件要求及</w:t>
      </w:r>
      <w:r>
        <w:rPr>
          <w:rFonts w:hint="eastAsia"/>
          <w:bCs/>
          <w:lang w:val="zh-CN"/>
        </w:rPr>
        <w:t>本章“三、评标标准”中“商务评分”和“技术评分”的内容进行综合比较和评价。以</w:t>
      </w:r>
      <w:r>
        <w:rPr>
          <w:bCs/>
          <w:lang w:val="zh-CN"/>
        </w:rPr>
        <w:t>联合体形式投标的，</w:t>
      </w:r>
      <w:r>
        <w:rPr>
          <w:rFonts w:hint="eastAsia"/>
          <w:bCs/>
          <w:lang w:val="zh-CN"/>
        </w:rPr>
        <w:t>评分时只对联合体主体进行评审。</w:t>
      </w:r>
    </w:p>
    <w:p>
      <w:pPr>
        <w:pStyle w:val="43"/>
        <w:numPr>
          <w:ilvl w:val="0"/>
          <w:numId w:val="54"/>
        </w:numPr>
        <w:spacing w:line="360" w:lineRule="auto"/>
        <w:ind w:left="284" w:hanging="284" w:firstLineChars="0"/>
        <w:rPr>
          <w:b/>
          <w:szCs w:val="24"/>
          <w:lang w:val="zh-CN"/>
        </w:rPr>
      </w:pPr>
      <w:bookmarkStart w:id="531" w:name="_Toc102119882"/>
      <w:bookmarkStart w:id="532" w:name="_Toc102056247"/>
      <w:bookmarkStart w:id="533" w:name="_Toc102116181"/>
      <w:bookmarkStart w:id="534" w:name="_Toc102114949"/>
      <w:bookmarkStart w:id="535" w:name="_Toc102057747"/>
      <w:bookmarkStart w:id="536" w:name="_Toc102116051"/>
      <w:r>
        <w:rPr>
          <w:rFonts w:hint="eastAsia"/>
          <w:b/>
          <w:szCs w:val="24"/>
          <w:lang w:val="zh-CN"/>
        </w:rPr>
        <w:t>报价评</w:t>
      </w:r>
      <w:bookmarkEnd w:id="531"/>
      <w:bookmarkEnd w:id="532"/>
      <w:bookmarkEnd w:id="533"/>
      <w:bookmarkEnd w:id="534"/>
      <w:bookmarkEnd w:id="535"/>
      <w:bookmarkEnd w:id="536"/>
      <w:r>
        <w:rPr>
          <w:rFonts w:hint="eastAsia"/>
          <w:b/>
          <w:szCs w:val="24"/>
          <w:lang w:val="zh-CN"/>
        </w:rPr>
        <w:t>审</w:t>
      </w:r>
    </w:p>
    <w:p>
      <w:pPr>
        <w:wordWrap w:val="0"/>
        <w:spacing w:after="62" w:afterLines="20" w:line="360" w:lineRule="auto"/>
        <w:ind w:firstLine="470" w:firstLineChars="196"/>
        <w:rPr>
          <w:rFonts w:cs="Helvetica"/>
          <w:szCs w:val="24"/>
          <w:lang w:val="zh-CN"/>
        </w:rPr>
      </w:pPr>
      <w:r>
        <w:rPr>
          <w:rFonts w:hint="eastAsia" w:cs="Helvetica"/>
          <w:szCs w:val="24"/>
          <w:lang w:val="zh-CN"/>
        </w:rPr>
        <w:t>评标委员会应对符合性审查合格的投标文件报价进行评审。</w:t>
      </w:r>
    </w:p>
    <w:p>
      <w:pPr>
        <w:numPr>
          <w:ilvl w:val="0"/>
          <w:numId w:val="56"/>
        </w:numPr>
        <w:wordWrap w:val="0"/>
        <w:adjustRightInd w:val="0"/>
        <w:snapToGrid w:val="0"/>
        <w:spacing w:line="360" w:lineRule="auto"/>
        <w:rPr>
          <w:bCs/>
          <w:szCs w:val="21"/>
          <w:lang w:val="zh-CN"/>
        </w:rPr>
      </w:pPr>
      <w:r>
        <w:rPr>
          <w:rFonts w:hint="eastAsia"/>
          <w:szCs w:val="24"/>
          <w:lang w:val="zh-CN"/>
        </w:rPr>
        <w:t>报价合理性说明：</w:t>
      </w:r>
      <w:r>
        <w:rPr>
          <w:rFonts w:cs="Helvetica"/>
          <w:szCs w:val="24"/>
          <w:lang w:val="zh-CN"/>
        </w:rPr>
        <w:t>评标委员会认为投标人的报价明显低于其他通过符合性审查投标人的报价，有可能影响产品质量或者不能诚信履约的，应当要求其</w:t>
      </w:r>
      <w:r>
        <w:rPr>
          <w:rFonts w:hint="eastAsia" w:cs="Helvetica"/>
          <w:szCs w:val="24"/>
          <w:lang w:val="zh-CN"/>
        </w:rPr>
        <w:t>在</w:t>
      </w:r>
      <w:r>
        <w:rPr>
          <w:rFonts w:cs="Helvetica"/>
          <w:szCs w:val="24"/>
          <w:lang w:val="zh-CN"/>
        </w:rPr>
        <w:t>合理的时间内提供说明，必要时提交相关证明材料；投标人不能证明其报价合理性的，评标委员</w:t>
      </w:r>
      <w:r>
        <w:rPr>
          <w:rFonts w:hint="eastAsia" w:cs="Helvetica"/>
          <w:szCs w:val="24"/>
          <w:lang w:val="zh-CN"/>
        </w:rPr>
        <w:t>应当将其作为</w:t>
      </w:r>
      <w:r>
        <w:rPr>
          <w:rFonts w:cs="Helvetica"/>
          <w:b/>
          <w:szCs w:val="24"/>
          <w:lang w:val="zh-CN"/>
        </w:rPr>
        <w:t>无效投标处理</w:t>
      </w:r>
      <w:r>
        <w:rPr>
          <w:rFonts w:cs="Helvetica"/>
          <w:szCs w:val="24"/>
          <w:lang w:val="zh-CN"/>
        </w:rPr>
        <w:t>。</w:t>
      </w:r>
    </w:p>
    <w:p>
      <w:pPr>
        <w:numPr>
          <w:ilvl w:val="0"/>
          <w:numId w:val="56"/>
        </w:numPr>
        <w:wordWrap w:val="0"/>
        <w:adjustRightInd w:val="0"/>
        <w:snapToGrid w:val="0"/>
        <w:spacing w:line="360" w:lineRule="auto"/>
        <w:rPr>
          <w:szCs w:val="24"/>
          <w:lang w:val="zh-CN"/>
        </w:rPr>
      </w:pPr>
      <w:r>
        <w:rPr>
          <w:rFonts w:hint="eastAsia"/>
          <w:szCs w:val="24"/>
          <w:lang w:val="zh-CN"/>
        </w:rPr>
        <w:t>价格扣除：</w:t>
      </w:r>
      <w:r>
        <w:rPr>
          <w:szCs w:val="24"/>
          <w:lang w:val="zh-CN"/>
        </w:rPr>
        <w:t xml:space="preserve"> </w:t>
      </w:r>
    </w:p>
    <w:p>
      <w:pPr>
        <w:wordWrap w:val="0"/>
        <w:adjustRightInd w:val="0"/>
        <w:snapToGrid w:val="0"/>
        <w:spacing w:line="360" w:lineRule="auto"/>
        <w:ind w:left="1052" w:leftChars="202" w:hanging="567"/>
        <w:rPr>
          <w:bCs/>
          <w:szCs w:val="24"/>
          <w:lang w:val="zh-CN"/>
        </w:rPr>
      </w:pPr>
      <w:r>
        <w:rPr>
          <w:rFonts w:hint="eastAsia"/>
          <w:bCs/>
          <w:szCs w:val="24"/>
          <w:lang w:val="zh-CN"/>
        </w:rPr>
        <w:t>（1）非专门面向中小企业的采购项目或采购包，对符合规定的小微企业</w:t>
      </w:r>
      <w:r>
        <w:rPr>
          <w:rFonts w:hint="eastAsia" w:ascii="楷体" w:hAnsi="楷体" w:eastAsia="楷体"/>
          <w:bCs/>
          <w:szCs w:val="24"/>
          <w:lang w:val="zh-CN"/>
        </w:rPr>
        <w:t>（监狱企业、残疾人福利性单位、联合体各方均为小微企业的联合体、符合小微企业划分标准的个体工商户视同小微企业）</w:t>
      </w:r>
      <w:r>
        <w:rPr>
          <w:rFonts w:hint="eastAsia"/>
          <w:bCs/>
          <w:szCs w:val="24"/>
          <w:lang w:val="zh-CN"/>
        </w:rPr>
        <w:t>报价给予</w:t>
      </w:r>
      <w:r>
        <w:rPr>
          <w:rFonts w:hint="eastAsia"/>
          <w:b/>
          <w:bCs/>
          <w:i/>
          <w:iCs/>
          <w:szCs w:val="24"/>
          <w:u w:val="single"/>
          <w:lang w:val="zh-CN"/>
        </w:rPr>
        <w:t>10%-20%</w:t>
      </w:r>
      <w:r>
        <w:rPr>
          <w:rFonts w:hint="eastAsia"/>
          <w:b/>
          <w:bCs/>
          <w:i/>
          <w:iCs/>
          <w:szCs w:val="24"/>
          <w:u w:val="single"/>
        </w:rPr>
        <w:t>（选一个确定</w:t>
      </w:r>
      <w:r>
        <w:rPr>
          <w:b/>
          <w:bCs/>
          <w:i/>
          <w:iCs/>
          <w:szCs w:val="24"/>
          <w:u w:val="single"/>
        </w:rPr>
        <w:t>的</w:t>
      </w:r>
      <w:r>
        <w:rPr>
          <w:rFonts w:hint="eastAsia"/>
          <w:b/>
          <w:bCs/>
          <w:i/>
          <w:iCs/>
          <w:szCs w:val="24"/>
          <w:u w:val="single"/>
        </w:rPr>
        <w:t>整数值）</w:t>
      </w:r>
      <w:r>
        <w:rPr>
          <w:rFonts w:hint="eastAsia"/>
          <w:bCs/>
          <w:szCs w:val="24"/>
          <w:lang w:val="zh-CN"/>
        </w:rPr>
        <w:t>的扣除，对小微企业中的监狱企业、残疾人福利性单位、采购产品纳入创新产品应用示范推荐目录内企业、采购产品获得节能产品或环境标志产品认证证书的企业报价给予</w:t>
      </w:r>
      <w:r>
        <w:rPr>
          <w:rFonts w:hint="eastAsia"/>
          <w:b/>
          <w:bCs/>
          <w:szCs w:val="24"/>
          <w:lang w:val="zh-CN"/>
        </w:rPr>
        <w:t>20%</w:t>
      </w:r>
      <w:r>
        <w:rPr>
          <w:rFonts w:hint="eastAsia"/>
          <w:bCs/>
          <w:szCs w:val="24"/>
          <w:lang w:val="zh-CN"/>
        </w:rPr>
        <w:t>的价格扣除，用扣除后的价格计算评标基准价。</w:t>
      </w:r>
    </w:p>
    <w:p>
      <w:pPr>
        <w:wordWrap w:val="0"/>
        <w:adjustRightInd w:val="0"/>
        <w:snapToGrid w:val="0"/>
        <w:spacing w:line="360" w:lineRule="auto"/>
        <w:ind w:left="1052" w:leftChars="202" w:hanging="567"/>
        <w:rPr>
          <w:bCs/>
          <w:szCs w:val="24"/>
          <w:lang w:val="zh-CN"/>
        </w:rPr>
      </w:pPr>
      <w:r>
        <w:rPr>
          <w:rFonts w:hint="eastAsia"/>
          <w:bCs/>
          <w:szCs w:val="24"/>
          <w:lang w:val="zh-CN"/>
        </w:rPr>
        <w:t>（2）接受大中型企业与小微企业组成联合体或者允许大中型企业向一家或者多家小微企业分包的采购项目，对于联合投标协议或者分包意向协议约定小微企业的合同份额占到合同总金额30%以上的，对联合体或者大中型企业的报价给予</w:t>
      </w:r>
      <w:r>
        <w:rPr>
          <w:rFonts w:hint="eastAsia"/>
          <w:b/>
          <w:bCs/>
          <w:i/>
          <w:iCs/>
          <w:szCs w:val="24"/>
          <w:u w:val="single"/>
          <w:lang w:val="zh-CN"/>
        </w:rPr>
        <w:t>4%-6%</w:t>
      </w:r>
      <w:r>
        <w:rPr>
          <w:rFonts w:hint="eastAsia"/>
          <w:b/>
          <w:bCs/>
          <w:i/>
          <w:iCs/>
          <w:szCs w:val="24"/>
          <w:u w:val="single"/>
        </w:rPr>
        <w:t>（选一个确定的整数值）</w:t>
      </w:r>
      <w:r>
        <w:rPr>
          <w:rFonts w:hint="eastAsia"/>
          <w:bCs/>
          <w:szCs w:val="24"/>
          <w:lang w:val="zh-CN"/>
        </w:rPr>
        <w:t>的扣除，用扣除后的价格计算评标基准价。</w:t>
      </w:r>
    </w:p>
    <w:p>
      <w:pPr>
        <w:wordWrap w:val="0"/>
        <w:adjustRightInd w:val="0"/>
        <w:snapToGrid w:val="0"/>
        <w:spacing w:line="360" w:lineRule="auto"/>
        <w:ind w:left="1052" w:leftChars="202" w:hanging="567"/>
        <w:rPr>
          <w:bCs/>
          <w:szCs w:val="24"/>
          <w:lang w:val="zh-CN"/>
        </w:rPr>
      </w:pPr>
      <w:r>
        <w:rPr>
          <w:rFonts w:hint="eastAsia"/>
          <w:bCs/>
          <w:szCs w:val="24"/>
          <w:lang w:val="zh-CN"/>
        </w:rPr>
        <w:t>（3）参加政府采购活动的小微企业（含节能环保、创新产品企业）未提供“中小企业声明函”的；</w:t>
      </w:r>
      <w:r>
        <w:rPr>
          <w:rFonts w:hint="eastAsia"/>
          <w:szCs w:val="24"/>
          <w:lang w:val="zh-CN"/>
        </w:rPr>
        <w:t>监狱企业未提供</w:t>
      </w:r>
      <w:r>
        <w:rPr>
          <w:rFonts w:hint="eastAsia"/>
          <w:bCs/>
          <w:szCs w:val="24"/>
          <w:lang w:val="zh-CN"/>
        </w:rPr>
        <w:t>“监狱企业证明文件”的；监狱企业中的小微企业未提供“中小企业声明函”的；残疾人福利性单位未提供“残疾人福利性单位声明函”的；残疾人福利性单位中的小微企业未提供“中小企业声明函”的；</w:t>
      </w:r>
      <w:r>
        <w:rPr>
          <w:rFonts w:hint="eastAsia"/>
          <w:b/>
          <w:bCs/>
          <w:szCs w:val="24"/>
          <w:lang w:val="zh-CN"/>
        </w:rPr>
        <w:t>不得享受相应的价格扣除优惠</w:t>
      </w:r>
      <w:r>
        <w:rPr>
          <w:rFonts w:hint="eastAsia"/>
          <w:bCs/>
          <w:szCs w:val="24"/>
          <w:lang w:val="zh-CN"/>
        </w:rPr>
        <w:t>。组成联合体或者接受分包的小微企业与联合体内其他企业、分包企业之间存在直接控股、管理关系的，</w:t>
      </w:r>
      <w:r>
        <w:rPr>
          <w:rFonts w:hint="eastAsia"/>
          <w:b/>
          <w:bCs/>
          <w:szCs w:val="24"/>
          <w:lang w:val="zh-CN"/>
        </w:rPr>
        <w:t>不得享受价格扣除优惠</w:t>
      </w:r>
      <w:r>
        <w:rPr>
          <w:rFonts w:hint="eastAsia"/>
          <w:bCs/>
          <w:szCs w:val="24"/>
          <w:lang w:val="zh-CN"/>
        </w:rPr>
        <w:t>。</w:t>
      </w:r>
    </w:p>
    <w:p>
      <w:pPr>
        <w:wordWrap w:val="0"/>
        <w:adjustRightInd w:val="0"/>
        <w:snapToGrid w:val="0"/>
        <w:spacing w:line="360" w:lineRule="auto"/>
        <w:ind w:left="1052" w:leftChars="202" w:hanging="567"/>
        <w:rPr>
          <w:b/>
          <w:bCs/>
          <w:lang w:val="zh-CN"/>
        </w:rPr>
      </w:pPr>
      <w:r>
        <w:rPr>
          <w:rFonts w:hint="eastAsia"/>
          <w:szCs w:val="24"/>
          <w:lang w:val="zh-CN"/>
        </w:rPr>
        <w:t>（4）</w:t>
      </w:r>
      <w:r>
        <w:rPr>
          <w:rFonts w:hint="eastAsia"/>
          <w:bCs/>
          <w:szCs w:val="24"/>
          <w:lang w:val="zh-CN"/>
        </w:rPr>
        <w:t>专门面向中小企业</w:t>
      </w:r>
      <w:r>
        <w:rPr>
          <w:rFonts w:hint="eastAsia"/>
          <w:bCs/>
          <w:lang w:val="zh-CN"/>
        </w:rPr>
        <w:t>、</w:t>
      </w:r>
      <w:r>
        <w:rPr>
          <w:rFonts w:hint="eastAsia"/>
          <w:szCs w:val="24"/>
          <w:lang w:val="zh-CN"/>
        </w:rPr>
        <w:t>预留部分采购份额面向中小企业采购的项目或采购包</w:t>
      </w:r>
      <w:r>
        <w:rPr>
          <w:rFonts w:hint="eastAsia"/>
          <w:bCs/>
          <w:lang w:val="zh-CN"/>
        </w:rPr>
        <w:t>，</w:t>
      </w:r>
      <w:r>
        <w:rPr>
          <w:rFonts w:hint="eastAsia"/>
          <w:bCs/>
          <w:szCs w:val="24"/>
          <w:lang w:val="zh-CN"/>
        </w:rPr>
        <w:t>评审时不再进行价格扣除</w:t>
      </w:r>
      <w:r>
        <w:rPr>
          <w:rFonts w:hint="eastAsia"/>
          <w:b/>
          <w:bCs/>
          <w:lang w:val="zh-CN"/>
        </w:rPr>
        <w:t xml:space="preserve">。 </w:t>
      </w:r>
    </w:p>
    <w:p>
      <w:pPr>
        <w:numPr>
          <w:ilvl w:val="0"/>
          <w:numId w:val="56"/>
        </w:numPr>
        <w:wordWrap w:val="0"/>
        <w:adjustRightInd w:val="0"/>
        <w:snapToGrid w:val="0"/>
        <w:spacing w:line="360" w:lineRule="auto"/>
        <w:rPr>
          <w:szCs w:val="24"/>
          <w:lang w:val="zh-CN"/>
        </w:rPr>
      </w:pPr>
      <w:r>
        <w:rPr>
          <w:rFonts w:hint="eastAsia"/>
          <w:szCs w:val="24"/>
          <w:lang w:val="zh-CN"/>
        </w:rPr>
        <w:t>价格分采用低价优先法计算，不得去掉报价中的最高报价和最低报价。计算方法详见本章评分标准中“4.报价评分”中的具体计算公式。</w:t>
      </w:r>
    </w:p>
    <w:p>
      <w:pPr>
        <w:pStyle w:val="43"/>
        <w:numPr>
          <w:ilvl w:val="0"/>
          <w:numId w:val="54"/>
        </w:numPr>
        <w:spacing w:line="360" w:lineRule="auto"/>
        <w:ind w:left="284" w:hanging="284" w:firstLineChars="0"/>
        <w:rPr>
          <w:b/>
          <w:szCs w:val="24"/>
          <w:lang w:val="zh-CN"/>
        </w:rPr>
      </w:pPr>
      <w:bookmarkStart w:id="537" w:name="_Toc102057748"/>
      <w:bookmarkStart w:id="538" w:name="_Toc102116052"/>
      <w:bookmarkStart w:id="539" w:name="_Toc102056248"/>
      <w:bookmarkStart w:id="540" w:name="_Toc102116182"/>
      <w:bookmarkStart w:id="541" w:name="_Toc102119883"/>
      <w:bookmarkStart w:id="542" w:name="_Toc102114950"/>
      <w:r>
        <w:rPr>
          <w:rFonts w:hint="eastAsia"/>
          <w:b/>
          <w:szCs w:val="24"/>
          <w:lang w:val="zh-CN"/>
        </w:rPr>
        <w:t>相同品牌处理</w:t>
      </w:r>
      <w:bookmarkEnd w:id="537"/>
      <w:bookmarkEnd w:id="538"/>
      <w:bookmarkEnd w:id="539"/>
      <w:bookmarkEnd w:id="540"/>
      <w:bookmarkEnd w:id="541"/>
      <w:bookmarkEnd w:id="542"/>
      <w:r>
        <w:rPr>
          <w:rFonts w:hint="eastAsia"/>
          <w:b/>
          <w:szCs w:val="24"/>
          <w:lang w:val="zh-CN"/>
        </w:rPr>
        <w:t>原则</w:t>
      </w:r>
    </w:p>
    <w:p>
      <w:pPr>
        <w:numPr>
          <w:ilvl w:val="0"/>
          <w:numId w:val="57"/>
        </w:numPr>
        <w:wordWrap w:val="0"/>
        <w:adjustRightInd w:val="0"/>
        <w:snapToGrid w:val="0"/>
        <w:spacing w:line="360" w:lineRule="auto"/>
        <w:rPr>
          <w:rFonts w:cs="Helvetica"/>
          <w:szCs w:val="24"/>
          <w:lang w:val="zh-CN"/>
        </w:rPr>
      </w:pPr>
      <w:r>
        <w:rPr>
          <w:rFonts w:hint="eastAsia" w:cs="Helvetica"/>
          <w:szCs w:val="24"/>
          <w:lang w:val="zh-CN"/>
        </w:rPr>
        <w:t>单一</w:t>
      </w:r>
      <w:r>
        <w:rPr>
          <w:rFonts w:hint="eastAsia"/>
          <w:szCs w:val="24"/>
          <w:lang w:val="zh-CN"/>
        </w:rPr>
        <w:t>产品</w:t>
      </w:r>
      <w:r>
        <w:rPr>
          <w:rFonts w:hint="eastAsia" w:cs="Helvetica"/>
          <w:szCs w:val="24"/>
          <w:lang w:val="zh-CN"/>
        </w:rPr>
        <w:t>采购（或非单一产品采购中的核心产品），</w:t>
      </w:r>
      <w:r>
        <w:rPr>
          <w:rFonts w:cs="Helvetica"/>
          <w:szCs w:val="24"/>
          <w:lang w:val="zh-CN"/>
        </w:rPr>
        <w:t>提供相同品牌产品且通过资格审查、符合性审查的不同投标人参加同一合同项下投标的，按一家投标人计算，评审后得分最高的同品牌投标人获得中标</w:t>
      </w:r>
      <w:r>
        <w:rPr>
          <w:rFonts w:hint="eastAsia" w:cs="Helvetica"/>
          <w:szCs w:val="24"/>
          <w:lang w:val="zh-CN"/>
        </w:rPr>
        <w:t>候选</w:t>
      </w:r>
      <w:r>
        <w:rPr>
          <w:rFonts w:cs="Helvetica"/>
          <w:szCs w:val="24"/>
          <w:lang w:val="zh-CN"/>
        </w:rPr>
        <w:t>人推荐资格；评审得分相同的，由采购人</w:t>
      </w:r>
      <w:r>
        <w:rPr>
          <w:rFonts w:hint="eastAsia" w:cs="Helvetica"/>
          <w:szCs w:val="24"/>
          <w:lang w:val="zh-CN"/>
        </w:rPr>
        <w:t>确定</w:t>
      </w:r>
      <w:r>
        <w:rPr>
          <w:rFonts w:cs="Helvetica"/>
          <w:szCs w:val="24"/>
          <w:lang w:val="zh-CN"/>
        </w:rPr>
        <w:t>或者采购人委托评标委员会</w:t>
      </w:r>
      <w:r>
        <w:rPr>
          <w:rFonts w:hint="eastAsia" w:cs="Helvetica"/>
          <w:szCs w:val="24"/>
          <w:lang w:val="zh-CN"/>
        </w:rPr>
        <w:t>以投票方式</w:t>
      </w:r>
      <w:r>
        <w:rPr>
          <w:rFonts w:cs="Helvetica"/>
          <w:szCs w:val="24"/>
          <w:lang w:val="zh-CN"/>
        </w:rPr>
        <w:t>确定一</w:t>
      </w:r>
      <w:r>
        <w:rPr>
          <w:rFonts w:hint="eastAsia" w:cs="Helvetica"/>
          <w:szCs w:val="24"/>
          <w:lang w:val="zh-CN"/>
        </w:rPr>
        <w:t>家</w:t>
      </w:r>
      <w:r>
        <w:rPr>
          <w:rFonts w:cs="Helvetica"/>
          <w:szCs w:val="24"/>
          <w:lang w:val="zh-CN"/>
        </w:rPr>
        <w:t>投标人获得中标人推荐资格，其</w:t>
      </w:r>
      <w:r>
        <w:rPr>
          <w:rFonts w:hint="eastAsia" w:cs="Helvetica"/>
          <w:szCs w:val="24"/>
          <w:lang w:val="zh-CN"/>
        </w:rPr>
        <w:t>它</w:t>
      </w:r>
      <w:r>
        <w:rPr>
          <w:rFonts w:cs="Helvetica"/>
          <w:szCs w:val="24"/>
          <w:lang w:val="zh-CN"/>
        </w:rPr>
        <w:t>同品牌投标人不作为中标候选人。</w:t>
      </w:r>
    </w:p>
    <w:p>
      <w:pPr>
        <w:numPr>
          <w:ilvl w:val="0"/>
          <w:numId w:val="57"/>
        </w:numPr>
        <w:wordWrap w:val="0"/>
        <w:adjustRightInd w:val="0"/>
        <w:snapToGrid w:val="0"/>
        <w:spacing w:line="360" w:lineRule="auto"/>
        <w:rPr>
          <w:szCs w:val="24"/>
          <w:lang w:val="zh-CN"/>
        </w:rPr>
      </w:pPr>
      <w:r>
        <w:rPr>
          <w:rFonts w:hint="eastAsia"/>
          <w:szCs w:val="24"/>
          <w:lang w:val="zh-CN"/>
        </w:rPr>
        <w:t>非单一产品采购项目，采购人应当根据采购项目技术构成、产品价格比重等合理确定一个核心产品（采购清单中作“与核心产品相同〈或同一〉品牌”实质性要求的产品，视为一个核心产品），并以“核心产品”在招标文件中载明，评审时按前款规定处理。</w:t>
      </w:r>
    </w:p>
    <w:p>
      <w:pPr>
        <w:pStyle w:val="43"/>
        <w:numPr>
          <w:ilvl w:val="0"/>
          <w:numId w:val="54"/>
        </w:numPr>
        <w:spacing w:line="360" w:lineRule="auto"/>
        <w:ind w:left="284" w:hanging="284" w:firstLineChars="0"/>
        <w:rPr>
          <w:b/>
          <w:szCs w:val="24"/>
          <w:lang w:val="zh-CN"/>
        </w:rPr>
      </w:pPr>
      <w:bookmarkStart w:id="543" w:name="_Toc102116053"/>
      <w:bookmarkStart w:id="544" w:name="_Toc102057749"/>
      <w:bookmarkStart w:id="545" w:name="_Toc102056249"/>
      <w:bookmarkStart w:id="546" w:name="_Toc102119884"/>
      <w:bookmarkStart w:id="547" w:name="_Toc102114951"/>
      <w:bookmarkStart w:id="548" w:name="_Toc102116183"/>
      <w:r>
        <w:rPr>
          <w:rFonts w:hint="eastAsia"/>
          <w:b/>
          <w:szCs w:val="24"/>
          <w:lang w:val="zh-CN"/>
        </w:rPr>
        <w:t>计分办法及复核</w:t>
      </w:r>
      <w:bookmarkEnd w:id="543"/>
      <w:bookmarkEnd w:id="544"/>
      <w:bookmarkEnd w:id="545"/>
      <w:bookmarkEnd w:id="546"/>
      <w:bookmarkEnd w:id="547"/>
      <w:bookmarkEnd w:id="548"/>
    </w:p>
    <w:p>
      <w:pPr>
        <w:numPr>
          <w:ilvl w:val="0"/>
          <w:numId w:val="58"/>
        </w:numPr>
        <w:wordWrap w:val="0"/>
        <w:adjustRightInd w:val="0"/>
        <w:snapToGrid w:val="0"/>
        <w:spacing w:line="360" w:lineRule="auto"/>
        <w:rPr>
          <w:rFonts w:cs="Helvetica"/>
          <w:szCs w:val="24"/>
          <w:lang w:val="zh-CN"/>
        </w:rPr>
      </w:pPr>
      <w:r>
        <w:rPr>
          <w:rFonts w:hint="eastAsia" w:cs="Helvetica"/>
          <w:szCs w:val="24"/>
          <w:lang w:val="zh-CN"/>
        </w:rPr>
        <w:t>评标过程中，各项分值一般精确到小数点后两位，评标得分应为商务评分、技术评分、报价</w:t>
      </w:r>
      <w:r>
        <w:rPr>
          <w:rFonts w:hint="eastAsia"/>
          <w:szCs w:val="24"/>
          <w:lang w:val="zh-CN"/>
        </w:rPr>
        <w:t>评分</w:t>
      </w:r>
      <w:r>
        <w:rPr>
          <w:rFonts w:hint="eastAsia" w:cs="Helvetica"/>
          <w:szCs w:val="24"/>
          <w:lang w:val="zh-CN"/>
        </w:rPr>
        <w:t>之和。评标委员会各成员应汇总每个投标人的得分。</w:t>
      </w:r>
    </w:p>
    <w:p>
      <w:pPr>
        <w:numPr>
          <w:ilvl w:val="0"/>
          <w:numId w:val="58"/>
        </w:numPr>
        <w:wordWrap w:val="0"/>
        <w:adjustRightInd w:val="0"/>
        <w:snapToGrid w:val="0"/>
        <w:spacing w:line="360" w:lineRule="auto"/>
        <w:rPr>
          <w:rFonts w:cs="Helvetica"/>
          <w:szCs w:val="24"/>
          <w:lang w:val="zh-CN"/>
        </w:rPr>
      </w:pPr>
      <w:r>
        <w:rPr>
          <w:rFonts w:hint="eastAsia" w:cs="Helvetica"/>
          <w:szCs w:val="24"/>
          <w:lang w:val="zh-CN"/>
        </w:rPr>
        <w:t>评标结果汇总完成后，集中采购机构应对评标结果进行复核。经复核发现存在以下情形之一的，评标委员会应当当场修改评标结果，并在评标报告中记载：</w:t>
      </w:r>
    </w:p>
    <w:p>
      <w:pPr>
        <w:pStyle w:val="11"/>
        <w:wordWrap w:val="0"/>
        <w:spacing w:line="360" w:lineRule="auto"/>
        <w:ind w:firstLine="480" w:firstLineChars="200"/>
        <w:rPr>
          <w:lang w:val="zh-CN"/>
        </w:rPr>
      </w:pPr>
      <w:r>
        <w:rPr>
          <w:rFonts w:hint="eastAsia"/>
          <w:lang w:val="zh-CN"/>
        </w:rPr>
        <w:t>（1）分值汇总计算错误的；</w:t>
      </w:r>
    </w:p>
    <w:p>
      <w:pPr>
        <w:pStyle w:val="11"/>
        <w:wordWrap w:val="0"/>
        <w:spacing w:line="360" w:lineRule="auto"/>
        <w:ind w:firstLine="480" w:firstLineChars="200"/>
        <w:rPr>
          <w:lang w:val="zh-CN"/>
        </w:rPr>
      </w:pPr>
      <w:r>
        <w:rPr>
          <w:rFonts w:hint="eastAsia"/>
          <w:lang w:val="zh-CN"/>
        </w:rPr>
        <w:t>（2）分项评分超出评分标准范围的；</w:t>
      </w:r>
    </w:p>
    <w:p>
      <w:pPr>
        <w:pStyle w:val="11"/>
        <w:wordWrap w:val="0"/>
        <w:spacing w:line="360" w:lineRule="auto"/>
        <w:ind w:firstLine="480" w:firstLineChars="200"/>
        <w:rPr>
          <w:lang w:val="zh-CN"/>
        </w:rPr>
      </w:pPr>
      <w:r>
        <w:rPr>
          <w:rFonts w:hint="eastAsia"/>
          <w:lang w:val="zh-CN"/>
        </w:rPr>
        <w:t>（3）评标委员会成员对客观评审因素评分不一致的；</w:t>
      </w:r>
    </w:p>
    <w:p>
      <w:pPr>
        <w:pStyle w:val="11"/>
        <w:wordWrap w:val="0"/>
        <w:spacing w:line="360" w:lineRule="auto"/>
        <w:ind w:firstLine="480" w:firstLineChars="200"/>
        <w:rPr>
          <w:lang w:val="zh-CN"/>
        </w:rPr>
      </w:pPr>
      <w:r>
        <w:rPr>
          <w:rFonts w:hint="eastAsia"/>
          <w:lang w:val="zh-CN"/>
        </w:rPr>
        <w:t>（4）经评标委员会认定评分畸高、畸低的。</w:t>
      </w:r>
    </w:p>
    <w:p>
      <w:pPr>
        <w:numPr>
          <w:ilvl w:val="0"/>
          <w:numId w:val="58"/>
        </w:numPr>
        <w:wordWrap w:val="0"/>
        <w:adjustRightInd w:val="0"/>
        <w:snapToGrid w:val="0"/>
        <w:spacing w:line="360" w:lineRule="auto"/>
        <w:rPr>
          <w:rFonts w:cs="Helvetica"/>
          <w:szCs w:val="24"/>
          <w:lang w:val="zh-CN"/>
        </w:rPr>
      </w:pPr>
      <w:r>
        <w:rPr>
          <w:rFonts w:hint="eastAsia" w:cs="Helvetica"/>
          <w:szCs w:val="24"/>
          <w:lang w:val="zh-CN"/>
        </w:rPr>
        <w:t>各投标人的最终得分为评标委员会所有成员对各投标人评标得分汇总后的算术平均值。</w:t>
      </w:r>
    </w:p>
    <w:p>
      <w:pPr>
        <w:pStyle w:val="43"/>
        <w:numPr>
          <w:ilvl w:val="0"/>
          <w:numId w:val="54"/>
        </w:numPr>
        <w:spacing w:line="360" w:lineRule="auto"/>
        <w:ind w:left="284" w:hanging="284" w:firstLineChars="0"/>
        <w:rPr>
          <w:b/>
          <w:szCs w:val="24"/>
          <w:lang w:val="zh-CN"/>
        </w:rPr>
      </w:pPr>
      <w:bookmarkStart w:id="549" w:name="_Toc102057750"/>
      <w:bookmarkStart w:id="550" w:name="_Toc102116184"/>
      <w:bookmarkStart w:id="551" w:name="_Toc102056250"/>
      <w:bookmarkStart w:id="552" w:name="_Toc102114952"/>
      <w:bookmarkStart w:id="553" w:name="_Toc102119885"/>
      <w:bookmarkStart w:id="554" w:name="_Toc102116054"/>
      <w:r>
        <w:rPr>
          <w:rFonts w:hint="eastAsia"/>
          <w:b/>
          <w:szCs w:val="24"/>
          <w:lang w:val="zh-CN"/>
        </w:rPr>
        <w:t>评标报告</w:t>
      </w:r>
      <w:bookmarkEnd w:id="549"/>
      <w:bookmarkEnd w:id="550"/>
      <w:bookmarkEnd w:id="551"/>
      <w:bookmarkEnd w:id="552"/>
      <w:bookmarkEnd w:id="553"/>
      <w:bookmarkEnd w:id="554"/>
    </w:p>
    <w:p>
      <w:pPr>
        <w:numPr>
          <w:ilvl w:val="0"/>
          <w:numId w:val="59"/>
        </w:numPr>
        <w:wordWrap w:val="0"/>
        <w:adjustRightInd w:val="0"/>
        <w:snapToGrid w:val="0"/>
        <w:spacing w:line="360" w:lineRule="auto"/>
        <w:rPr>
          <w:rFonts w:cs="Helvetica"/>
          <w:szCs w:val="24"/>
          <w:lang w:val="zh-CN"/>
        </w:rPr>
      </w:pPr>
      <w:r>
        <w:rPr>
          <w:rFonts w:hint="eastAsia" w:cs="Helvetica"/>
          <w:szCs w:val="24"/>
          <w:lang w:val="zh-CN"/>
        </w:rPr>
        <w:t>评标委员会按照招标文件确定的评标方法、程序及标准，对投标文件进行评审。</w:t>
      </w:r>
      <w:r>
        <w:rPr>
          <w:rFonts w:cs="Helvetica"/>
          <w:szCs w:val="24"/>
          <w:lang w:val="zh-CN"/>
        </w:rPr>
        <w:t>评标结果</w:t>
      </w:r>
      <w:r>
        <w:rPr>
          <w:rFonts w:hint="eastAsia" w:cs="Helvetica"/>
          <w:szCs w:val="24"/>
          <w:lang w:val="zh-CN"/>
        </w:rPr>
        <w:t>排序</w:t>
      </w:r>
      <w:r>
        <w:rPr>
          <w:rFonts w:cs="Helvetica"/>
          <w:szCs w:val="24"/>
          <w:lang w:val="zh-CN"/>
        </w:rPr>
        <w:t>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numPr>
          <w:ilvl w:val="0"/>
          <w:numId w:val="59"/>
        </w:numPr>
        <w:wordWrap w:val="0"/>
        <w:adjustRightInd w:val="0"/>
        <w:snapToGrid w:val="0"/>
        <w:spacing w:line="360" w:lineRule="auto"/>
        <w:rPr>
          <w:rFonts w:cs="Helvetica"/>
          <w:szCs w:val="24"/>
          <w:lang w:val="zh-CN"/>
        </w:rPr>
      </w:pPr>
      <w:r>
        <w:rPr>
          <w:rFonts w:hint="eastAsia" w:cs="Helvetica"/>
          <w:szCs w:val="24"/>
          <w:lang w:val="zh-CN"/>
        </w:rPr>
        <w:t>评标委员会依据评标结果，按评审得分由高到低的顺序向采购人推荐中标候选人名单，并形成评标报告。</w:t>
      </w:r>
    </w:p>
    <w:p>
      <w:pPr>
        <w:numPr>
          <w:ilvl w:val="0"/>
          <w:numId w:val="59"/>
        </w:numPr>
        <w:wordWrap w:val="0"/>
        <w:adjustRightInd w:val="0"/>
        <w:snapToGrid w:val="0"/>
        <w:spacing w:line="360" w:lineRule="auto"/>
        <w:rPr>
          <w:rFonts w:cs="Helvetica"/>
          <w:szCs w:val="24"/>
          <w:lang w:val="zh-CN"/>
        </w:rPr>
      </w:pPr>
      <w:r>
        <w:rPr>
          <w:rFonts w:hint="eastAsia" w:cs="Helvetica"/>
          <w:szCs w:val="24"/>
          <w:lang w:val="zh-CN"/>
        </w:rPr>
        <w:t>评标委员会应当在评标报告上签名，对自己的评审意见承担法律责任。对需要共同认定的事项存在争议的，应当按照少数服从多数的原则作出结论。持不同意见的评标委员会成员应当在评标报告上签署不同意见，并说明理由，否则视为同意评标报告。</w:t>
      </w:r>
      <w:bookmarkStart w:id="555" w:name="_Toc494561963"/>
      <w:bookmarkStart w:id="556" w:name="_Toc511894519"/>
    </w:p>
    <w:p>
      <w:pPr>
        <w:pStyle w:val="43"/>
        <w:numPr>
          <w:ilvl w:val="0"/>
          <w:numId w:val="54"/>
        </w:numPr>
        <w:spacing w:line="360" w:lineRule="auto"/>
        <w:ind w:left="284" w:hanging="284" w:firstLineChars="0"/>
        <w:rPr>
          <w:b/>
          <w:szCs w:val="24"/>
          <w:lang w:val="zh-CN"/>
        </w:rPr>
      </w:pPr>
      <w:bookmarkStart w:id="557" w:name="_Toc102056217"/>
      <w:bookmarkStart w:id="558" w:name="_Toc102116151"/>
      <w:bookmarkStart w:id="559" w:name="_Toc102057717"/>
      <w:bookmarkStart w:id="560" w:name="_Toc102119852"/>
      <w:bookmarkStart w:id="561" w:name="_Toc102114919"/>
      <w:bookmarkStart w:id="562" w:name="_Toc102116021"/>
      <w:r>
        <w:rPr>
          <w:rFonts w:hint="eastAsia"/>
          <w:b/>
          <w:szCs w:val="24"/>
          <w:lang w:val="zh-CN"/>
        </w:rPr>
        <w:t>应予废标的情形</w:t>
      </w:r>
      <w:bookmarkEnd w:id="557"/>
      <w:bookmarkEnd w:id="558"/>
      <w:bookmarkEnd w:id="559"/>
      <w:bookmarkEnd w:id="560"/>
      <w:bookmarkEnd w:id="561"/>
      <w:bookmarkEnd w:id="562"/>
    </w:p>
    <w:p>
      <w:pPr>
        <w:numPr>
          <w:ilvl w:val="0"/>
          <w:numId w:val="60"/>
        </w:numPr>
        <w:wordWrap w:val="0"/>
        <w:adjustRightInd w:val="0"/>
        <w:snapToGrid w:val="0"/>
        <w:spacing w:line="360" w:lineRule="auto"/>
        <w:rPr>
          <w:szCs w:val="24"/>
          <w:lang w:val="zh-CN"/>
        </w:rPr>
      </w:pPr>
      <w:r>
        <w:rPr>
          <w:rFonts w:hint="eastAsia"/>
          <w:szCs w:val="24"/>
          <w:lang w:val="zh-CN"/>
        </w:rPr>
        <w:t>在招标采购过程中，出现下列情形之一的，应予废标：</w:t>
      </w:r>
    </w:p>
    <w:p>
      <w:pPr>
        <w:pStyle w:val="11"/>
        <w:wordWrap w:val="0"/>
        <w:adjustRightInd w:val="0"/>
        <w:snapToGrid w:val="0"/>
        <w:spacing w:line="360" w:lineRule="auto"/>
        <w:ind w:firstLine="480" w:firstLineChars="200"/>
        <w:rPr>
          <w:szCs w:val="24"/>
          <w:lang w:val="zh-CN"/>
        </w:rPr>
      </w:pPr>
      <w:r>
        <w:rPr>
          <w:rFonts w:hint="eastAsia"/>
          <w:szCs w:val="24"/>
          <w:lang w:val="zh-CN"/>
        </w:rPr>
        <w:t>（1）符合专业条件的投标人或者对招标文件作实质响应的投标人不足3家的；</w:t>
      </w:r>
    </w:p>
    <w:p>
      <w:pPr>
        <w:pStyle w:val="11"/>
        <w:wordWrap w:val="0"/>
        <w:adjustRightInd w:val="0"/>
        <w:snapToGrid w:val="0"/>
        <w:spacing w:line="360" w:lineRule="auto"/>
        <w:ind w:firstLine="480" w:firstLineChars="200"/>
        <w:rPr>
          <w:szCs w:val="24"/>
          <w:lang w:val="zh-CN"/>
        </w:rPr>
      </w:pPr>
      <w:r>
        <w:rPr>
          <w:rFonts w:hint="eastAsia"/>
          <w:szCs w:val="24"/>
          <w:lang w:val="zh-CN"/>
        </w:rPr>
        <w:t>（2）出现影响采购公正的违法、违规行为的；</w:t>
      </w:r>
    </w:p>
    <w:p>
      <w:pPr>
        <w:pStyle w:val="11"/>
        <w:wordWrap w:val="0"/>
        <w:adjustRightInd w:val="0"/>
        <w:snapToGrid w:val="0"/>
        <w:spacing w:line="360" w:lineRule="auto"/>
        <w:ind w:firstLine="480" w:firstLineChars="200"/>
        <w:rPr>
          <w:szCs w:val="24"/>
          <w:lang w:val="zh-CN"/>
        </w:rPr>
      </w:pPr>
      <w:r>
        <w:rPr>
          <w:rFonts w:hint="eastAsia"/>
          <w:szCs w:val="24"/>
          <w:lang w:val="zh-CN"/>
        </w:rPr>
        <w:t>（3）投标人的报价均超过了采购预算，采购人不能支付的；</w:t>
      </w:r>
    </w:p>
    <w:p>
      <w:pPr>
        <w:pStyle w:val="11"/>
        <w:wordWrap w:val="0"/>
        <w:adjustRightInd w:val="0"/>
        <w:snapToGrid w:val="0"/>
        <w:spacing w:line="360" w:lineRule="auto"/>
        <w:ind w:firstLine="480" w:firstLineChars="200"/>
        <w:rPr>
          <w:szCs w:val="24"/>
          <w:lang w:val="zh-CN"/>
        </w:rPr>
      </w:pPr>
      <w:r>
        <w:rPr>
          <w:rFonts w:hint="eastAsia"/>
          <w:szCs w:val="24"/>
          <w:lang w:val="zh-CN"/>
        </w:rPr>
        <w:t>（4）因重大变故，采购任务取消的。</w:t>
      </w:r>
    </w:p>
    <w:p>
      <w:pPr>
        <w:numPr>
          <w:ilvl w:val="0"/>
          <w:numId w:val="60"/>
        </w:numPr>
        <w:wordWrap w:val="0"/>
        <w:adjustRightInd w:val="0"/>
        <w:snapToGrid w:val="0"/>
        <w:spacing w:line="360" w:lineRule="auto"/>
        <w:rPr>
          <w:szCs w:val="24"/>
          <w:lang w:val="zh-CN"/>
        </w:rPr>
      </w:pPr>
      <w:r>
        <w:rPr>
          <w:rFonts w:hint="eastAsia"/>
          <w:szCs w:val="24"/>
          <w:lang w:val="zh-CN"/>
        </w:rPr>
        <w:t>废标后，采购人应当将废标理由通知所有投标人。</w:t>
      </w:r>
    </w:p>
    <w:p>
      <w:pPr>
        <w:pStyle w:val="43"/>
        <w:numPr>
          <w:ilvl w:val="0"/>
          <w:numId w:val="54"/>
        </w:numPr>
        <w:spacing w:line="360" w:lineRule="auto"/>
        <w:ind w:left="284" w:hanging="284" w:firstLineChars="0"/>
        <w:rPr>
          <w:b/>
          <w:szCs w:val="24"/>
          <w:lang w:val="zh-CN"/>
        </w:rPr>
      </w:pPr>
      <w:bookmarkStart w:id="563" w:name="_Toc102116022"/>
      <w:bookmarkStart w:id="564" w:name="_Toc102119853"/>
      <w:bookmarkStart w:id="565" w:name="_Toc102114920"/>
      <w:bookmarkStart w:id="566" w:name="_Toc102116152"/>
      <w:bookmarkStart w:id="567" w:name="_Toc102057718"/>
      <w:bookmarkStart w:id="568" w:name="_Toc102056218"/>
      <w:r>
        <w:rPr>
          <w:rFonts w:hint="eastAsia"/>
          <w:b/>
          <w:szCs w:val="24"/>
          <w:lang w:val="zh-CN"/>
        </w:rPr>
        <w:t>停止评标的情形</w:t>
      </w:r>
      <w:bookmarkEnd w:id="563"/>
      <w:bookmarkEnd w:id="564"/>
      <w:bookmarkEnd w:id="565"/>
      <w:bookmarkEnd w:id="566"/>
      <w:bookmarkEnd w:id="567"/>
      <w:bookmarkEnd w:id="568"/>
    </w:p>
    <w:p>
      <w:pPr>
        <w:pStyle w:val="11"/>
        <w:wordWrap w:val="0"/>
        <w:adjustRightInd w:val="0"/>
        <w:snapToGrid w:val="0"/>
        <w:spacing w:line="360" w:lineRule="auto"/>
        <w:ind w:firstLine="480" w:firstLineChars="200"/>
        <w:rPr>
          <w:szCs w:val="24"/>
          <w:lang w:val="zh-CN"/>
        </w:rPr>
      </w:pPr>
      <w:r>
        <w:rPr>
          <w:rFonts w:hint="eastAsia"/>
          <w:szCs w:val="24"/>
          <w:lang w:val="zh-CN"/>
        </w:rPr>
        <w:t>评标委员会发现招标文件存在歧义、重大缺陷导致评标工作无法进行，或者招标文件内容违反国家有关强制性规定的，应当停止评标工作，与采购人或者集中采购机构沟通并作书面记录。采购人或者集中采购机构确认后，应当修改招标文件，重新组织采购活动。</w:t>
      </w:r>
    </w:p>
    <w:p>
      <w:pPr>
        <w:pStyle w:val="3"/>
        <w:numPr>
          <w:ilvl w:val="0"/>
          <w:numId w:val="53"/>
        </w:numPr>
        <w:wordWrap w:val="0"/>
        <w:spacing w:before="0" w:after="0" w:line="360" w:lineRule="auto"/>
        <w:ind w:left="616" w:hanging="616"/>
        <w:jc w:val="left"/>
        <w:rPr>
          <w:rFonts w:ascii="宋体" w:hAnsi="宋体" w:eastAsia="宋体" w:cs="Times New Roman"/>
          <w:bCs w:val="0"/>
          <w:sz w:val="28"/>
          <w:szCs w:val="28"/>
          <w:lang w:val="zh-CN"/>
        </w:rPr>
      </w:pPr>
      <w:bookmarkStart w:id="569" w:name="_Toc102116185"/>
      <w:bookmarkStart w:id="570" w:name="_Toc102119886"/>
      <w:bookmarkStart w:id="571" w:name="_Toc102116055"/>
      <w:bookmarkStart w:id="572" w:name="_Toc117244365"/>
      <w:bookmarkStart w:id="573" w:name="_Toc102114953"/>
      <w:bookmarkStart w:id="574" w:name="_Toc117244480"/>
      <w:bookmarkStart w:id="575" w:name="_Toc102057751"/>
      <w:bookmarkStart w:id="576" w:name="_Toc102056251"/>
      <w:bookmarkStart w:id="577" w:name="_Toc13482"/>
      <w:bookmarkStart w:id="578" w:name="_Toc17348"/>
      <w:r>
        <w:rPr>
          <w:rFonts w:hint="eastAsia" w:ascii="宋体" w:hAnsi="宋体" w:eastAsia="宋体" w:cs="Times New Roman"/>
          <w:bCs w:val="0"/>
          <w:sz w:val="28"/>
          <w:szCs w:val="28"/>
          <w:lang w:val="zh-CN"/>
        </w:rPr>
        <w:t>评标标准</w:t>
      </w:r>
      <w:bookmarkEnd w:id="569"/>
      <w:bookmarkEnd w:id="570"/>
      <w:bookmarkEnd w:id="571"/>
      <w:bookmarkEnd w:id="572"/>
      <w:bookmarkEnd w:id="573"/>
      <w:bookmarkEnd w:id="574"/>
      <w:bookmarkEnd w:id="575"/>
      <w:bookmarkEnd w:id="576"/>
      <w:bookmarkEnd w:id="577"/>
      <w:bookmarkEnd w:id="578"/>
    </w:p>
    <w:bookmarkEnd w:id="555"/>
    <w:bookmarkEnd w:id="556"/>
    <w:p>
      <w:pPr>
        <w:pStyle w:val="43"/>
        <w:numPr>
          <w:ilvl w:val="0"/>
          <w:numId w:val="61"/>
        </w:numPr>
        <w:spacing w:line="360" w:lineRule="auto"/>
        <w:ind w:left="284" w:hanging="284" w:firstLineChars="0"/>
        <w:rPr>
          <w:b/>
          <w:szCs w:val="24"/>
          <w:lang w:val="zh-CN"/>
        </w:rPr>
      </w:pPr>
      <w:bookmarkStart w:id="579" w:name="_Toc102116056"/>
      <w:bookmarkStart w:id="580" w:name="_Toc102119887"/>
      <w:bookmarkStart w:id="581" w:name="_Toc102056252"/>
      <w:bookmarkStart w:id="582" w:name="_Toc102114954"/>
      <w:bookmarkStart w:id="583" w:name="_Toc102057752"/>
      <w:bookmarkStart w:id="584" w:name="_Toc102116186"/>
      <w:r>
        <w:rPr>
          <w:rFonts w:hint="eastAsia"/>
          <w:b/>
          <w:szCs w:val="24"/>
          <w:lang w:val="zh-CN"/>
        </w:rPr>
        <w:t>符合性审查（不满足本表任意要求之一的，视为符合性审查不通过）</w:t>
      </w:r>
    </w:p>
    <w:tbl>
      <w:tblPr>
        <w:tblStyle w:val="30"/>
        <w:tblW w:w="9746"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17"/>
        <w:gridCol w:w="8929"/>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7" w:type="dxa"/>
            <w:tcBorders>
              <w:tl2br w:val="nil"/>
              <w:tr2bl w:val="nil"/>
            </w:tcBorders>
            <w:shd w:val="pct10" w:color="C3BD96" w:themeColor="background2" w:themeShade="BF" w:fill="DDD9C4" w:themeFill="background2" w:themeFillShade="E6"/>
          </w:tcPr>
          <w:p>
            <w:pPr>
              <w:wordWrap w:val="0"/>
              <w:spacing w:line="360" w:lineRule="auto"/>
              <w:jc w:val="center"/>
              <w:rPr>
                <w:b/>
                <w:bCs/>
                <w:lang w:val="zh-CN"/>
              </w:rPr>
            </w:pPr>
            <w:r>
              <w:rPr>
                <w:rFonts w:hint="eastAsia"/>
                <w:b/>
                <w:bCs/>
                <w:lang w:val="zh-CN"/>
              </w:rPr>
              <w:t>序号</w:t>
            </w:r>
          </w:p>
        </w:tc>
        <w:tc>
          <w:tcPr>
            <w:tcW w:w="8929" w:type="dxa"/>
            <w:tcBorders>
              <w:tl2br w:val="nil"/>
              <w:tr2bl w:val="nil"/>
            </w:tcBorders>
            <w:shd w:val="pct10" w:color="C3BD96" w:themeColor="background2" w:themeShade="BF" w:fill="DDD9C4" w:themeFill="background2" w:themeFillShade="E6"/>
          </w:tcPr>
          <w:p>
            <w:pPr>
              <w:wordWrap w:val="0"/>
              <w:spacing w:line="360" w:lineRule="auto"/>
              <w:jc w:val="center"/>
              <w:rPr>
                <w:b/>
                <w:bCs/>
                <w:lang w:val="zh-CN"/>
              </w:rPr>
            </w:pPr>
            <w:r>
              <w:rPr>
                <w:rFonts w:hint="eastAsia"/>
                <w:b/>
                <w:bCs/>
                <w:lang w:val="zh-CN"/>
              </w:rPr>
              <w:t>审查内容</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7" w:type="dxa"/>
            <w:tcBorders>
              <w:tl2br w:val="nil"/>
              <w:tr2bl w:val="nil"/>
            </w:tcBorders>
            <w:vAlign w:val="center"/>
          </w:tcPr>
          <w:p>
            <w:pPr>
              <w:pStyle w:val="43"/>
              <w:numPr>
                <w:ilvl w:val="0"/>
                <w:numId w:val="62"/>
              </w:numPr>
              <w:tabs>
                <w:tab w:val="left" w:pos="284"/>
              </w:tabs>
              <w:wordWrap w:val="0"/>
              <w:spacing w:line="360" w:lineRule="auto"/>
              <w:ind w:left="142" w:hanging="142" w:firstLineChars="0"/>
              <w:jc w:val="center"/>
              <w:rPr>
                <w:bCs/>
                <w:lang w:val="zh-CN"/>
              </w:rPr>
            </w:pPr>
          </w:p>
        </w:tc>
        <w:tc>
          <w:tcPr>
            <w:tcW w:w="8929" w:type="dxa"/>
            <w:tcBorders>
              <w:tl2br w:val="nil"/>
              <w:tr2bl w:val="nil"/>
            </w:tcBorders>
          </w:tcPr>
          <w:p>
            <w:pPr>
              <w:wordWrap w:val="0"/>
              <w:spacing w:line="360" w:lineRule="auto"/>
              <w:rPr>
                <w:bCs/>
                <w:szCs w:val="24"/>
                <w:lang w:val="zh-CN"/>
              </w:rPr>
            </w:pPr>
            <w:r>
              <w:rPr>
                <w:rFonts w:hint="eastAsia"/>
                <w:szCs w:val="24"/>
                <w:lang w:val="zh-CN"/>
              </w:rPr>
              <w:t>投标总报价未超过项目（分包）预算金额或最高限价；</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7" w:type="dxa"/>
            <w:tcBorders>
              <w:tl2br w:val="nil"/>
              <w:tr2bl w:val="nil"/>
            </w:tcBorders>
            <w:vAlign w:val="center"/>
          </w:tcPr>
          <w:p>
            <w:pPr>
              <w:pStyle w:val="43"/>
              <w:numPr>
                <w:ilvl w:val="0"/>
                <w:numId w:val="62"/>
              </w:numPr>
              <w:wordWrap w:val="0"/>
              <w:spacing w:line="360" w:lineRule="auto"/>
              <w:ind w:left="142" w:hanging="142" w:firstLineChars="0"/>
              <w:jc w:val="center"/>
              <w:rPr>
                <w:bCs/>
                <w:lang w:val="zh-CN"/>
              </w:rPr>
            </w:pPr>
          </w:p>
        </w:tc>
        <w:tc>
          <w:tcPr>
            <w:tcW w:w="8929" w:type="dxa"/>
            <w:tcBorders>
              <w:tl2br w:val="nil"/>
              <w:tr2bl w:val="nil"/>
            </w:tcBorders>
          </w:tcPr>
          <w:p>
            <w:pPr>
              <w:wordWrap w:val="0"/>
              <w:spacing w:line="360" w:lineRule="auto"/>
              <w:rPr>
                <w:bCs/>
                <w:szCs w:val="24"/>
                <w:lang w:val="zh-CN"/>
              </w:rPr>
            </w:pPr>
            <w:r>
              <w:rPr>
                <w:rFonts w:hint="eastAsia"/>
                <w:szCs w:val="24"/>
                <w:lang w:val="zh-CN"/>
              </w:rPr>
              <w:t>应提供《投标书》、《开标一览表》、《投标报价明细表》，且符合招标文件要求；</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7" w:type="dxa"/>
            <w:tcBorders>
              <w:tl2br w:val="nil"/>
              <w:tr2bl w:val="nil"/>
            </w:tcBorders>
            <w:vAlign w:val="center"/>
          </w:tcPr>
          <w:p>
            <w:pPr>
              <w:pStyle w:val="43"/>
              <w:numPr>
                <w:ilvl w:val="0"/>
                <w:numId w:val="62"/>
              </w:numPr>
              <w:wordWrap w:val="0"/>
              <w:spacing w:line="360" w:lineRule="auto"/>
              <w:ind w:left="142" w:hanging="142" w:firstLineChars="0"/>
              <w:jc w:val="center"/>
              <w:rPr>
                <w:bCs/>
                <w:lang w:val="zh-CN"/>
              </w:rPr>
            </w:pPr>
          </w:p>
        </w:tc>
        <w:tc>
          <w:tcPr>
            <w:tcW w:w="8929" w:type="dxa"/>
            <w:tcBorders>
              <w:tl2br w:val="nil"/>
              <w:tr2bl w:val="nil"/>
            </w:tcBorders>
          </w:tcPr>
          <w:p>
            <w:pPr>
              <w:wordWrap w:val="0"/>
              <w:spacing w:line="360" w:lineRule="auto"/>
              <w:rPr>
                <w:bCs/>
                <w:szCs w:val="24"/>
                <w:lang w:val="zh-CN"/>
              </w:rPr>
            </w:pPr>
            <w:r>
              <w:rPr>
                <w:rFonts w:hint="eastAsia"/>
                <w:szCs w:val="24"/>
                <w:lang w:val="zh-CN"/>
              </w:rPr>
              <w:t>合同履行期限（项目工期/交货期）、质保期（服务期）符合招标文件要求；</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7" w:type="dxa"/>
            <w:tcBorders>
              <w:tl2br w:val="nil"/>
              <w:tr2bl w:val="nil"/>
            </w:tcBorders>
            <w:vAlign w:val="center"/>
          </w:tcPr>
          <w:p>
            <w:pPr>
              <w:pStyle w:val="43"/>
              <w:numPr>
                <w:ilvl w:val="0"/>
                <w:numId w:val="62"/>
              </w:numPr>
              <w:wordWrap w:val="0"/>
              <w:spacing w:line="360" w:lineRule="auto"/>
              <w:ind w:left="142" w:hanging="142" w:firstLineChars="0"/>
              <w:jc w:val="center"/>
              <w:rPr>
                <w:bCs/>
                <w:lang w:val="zh-CN"/>
              </w:rPr>
            </w:pPr>
          </w:p>
        </w:tc>
        <w:tc>
          <w:tcPr>
            <w:tcW w:w="8929" w:type="dxa"/>
            <w:tcBorders>
              <w:tl2br w:val="nil"/>
              <w:tr2bl w:val="nil"/>
            </w:tcBorders>
          </w:tcPr>
          <w:p>
            <w:pPr>
              <w:wordWrap w:val="0"/>
              <w:spacing w:line="360" w:lineRule="auto"/>
              <w:rPr>
                <w:bCs/>
                <w:szCs w:val="24"/>
                <w:lang w:val="zh-CN"/>
              </w:rPr>
            </w:pPr>
            <w:r>
              <w:rPr>
                <w:rFonts w:hint="eastAsia"/>
                <w:szCs w:val="24"/>
                <w:lang w:val="zh-CN"/>
              </w:rPr>
              <w:t>未出现两个或两个以上投标方案；</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7" w:type="dxa"/>
            <w:tcBorders>
              <w:tl2br w:val="nil"/>
              <w:tr2bl w:val="nil"/>
            </w:tcBorders>
            <w:vAlign w:val="center"/>
          </w:tcPr>
          <w:p>
            <w:pPr>
              <w:pStyle w:val="43"/>
              <w:numPr>
                <w:ilvl w:val="0"/>
                <w:numId w:val="62"/>
              </w:numPr>
              <w:wordWrap w:val="0"/>
              <w:spacing w:line="360" w:lineRule="auto"/>
              <w:ind w:left="142" w:hanging="142" w:firstLineChars="0"/>
              <w:jc w:val="center"/>
              <w:rPr>
                <w:bCs/>
                <w:lang w:val="zh-CN"/>
              </w:rPr>
            </w:pPr>
          </w:p>
        </w:tc>
        <w:tc>
          <w:tcPr>
            <w:tcW w:w="8929" w:type="dxa"/>
            <w:tcBorders>
              <w:tl2br w:val="nil"/>
              <w:tr2bl w:val="nil"/>
            </w:tcBorders>
          </w:tcPr>
          <w:p>
            <w:pPr>
              <w:wordWrap w:val="0"/>
              <w:spacing w:line="360" w:lineRule="auto"/>
              <w:rPr>
                <w:bCs/>
                <w:szCs w:val="24"/>
                <w:lang w:val="zh-CN"/>
              </w:rPr>
            </w:pPr>
            <w:r>
              <w:rPr>
                <w:rFonts w:hint="eastAsia"/>
                <w:szCs w:val="24"/>
                <w:lang w:val="zh-CN"/>
              </w:rPr>
              <w:t>投标报价不存在缺项、漏项；</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7" w:type="dxa"/>
            <w:tcBorders>
              <w:tl2br w:val="nil"/>
              <w:tr2bl w:val="nil"/>
            </w:tcBorders>
            <w:vAlign w:val="center"/>
          </w:tcPr>
          <w:p>
            <w:pPr>
              <w:pStyle w:val="43"/>
              <w:numPr>
                <w:ilvl w:val="0"/>
                <w:numId w:val="62"/>
              </w:numPr>
              <w:wordWrap w:val="0"/>
              <w:spacing w:line="360" w:lineRule="auto"/>
              <w:ind w:left="142" w:hanging="142" w:firstLineChars="0"/>
              <w:jc w:val="center"/>
              <w:rPr>
                <w:bCs/>
                <w:lang w:val="zh-CN"/>
              </w:rPr>
            </w:pPr>
          </w:p>
        </w:tc>
        <w:tc>
          <w:tcPr>
            <w:tcW w:w="8929" w:type="dxa"/>
            <w:tcBorders>
              <w:tl2br w:val="nil"/>
              <w:tr2bl w:val="nil"/>
            </w:tcBorders>
          </w:tcPr>
          <w:p>
            <w:pPr>
              <w:wordWrap w:val="0"/>
              <w:spacing w:line="360" w:lineRule="auto"/>
              <w:rPr>
                <w:bCs/>
                <w:szCs w:val="24"/>
                <w:lang w:val="zh-CN"/>
              </w:rPr>
            </w:pPr>
            <w:r>
              <w:rPr>
                <w:rFonts w:hint="eastAsia"/>
                <w:szCs w:val="24"/>
                <w:lang w:val="zh-CN"/>
              </w:rPr>
              <w:t>投标有效期符合招标文件要求；</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7" w:type="dxa"/>
            <w:tcBorders>
              <w:tl2br w:val="nil"/>
              <w:tr2bl w:val="nil"/>
            </w:tcBorders>
            <w:vAlign w:val="center"/>
          </w:tcPr>
          <w:p>
            <w:pPr>
              <w:pStyle w:val="43"/>
              <w:numPr>
                <w:ilvl w:val="0"/>
                <w:numId w:val="62"/>
              </w:numPr>
              <w:wordWrap w:val="0"/>
              <w:spacing w:line="360" w:lineRule="auto"/>
              <w:ind w:left="142" w:hanging="142" w:firstLineChars="0"/>
              <w:jc w:val="center"/>
              <w:rPr>
                <w:bCs/>
                <w:lang w:val="zh-CN"/>
              </w:rPr>
            </w:pPr>
          </w:p>
        </w:tc>
        <w:tc>
          <w:tcPr>
            <w:tcW w:w="8929" w:type="dxa"/>
            <w:tcBorders>
              <w:tl2br w:val="nil"/>
              <w:tr2bl w:val="nil"/>
            </w:tcBorders>
          </w:tcPr>
          <w:p>
            <w:pPr>
              <w:wordWrap w:val="0"/>
              <w:spacing w:line="360" w:lineRule="auto"/>
              <w:rPr>
                <w:bCs/>
                <w:szCs w:val="24"/>
                <w:lang w:val="zh-CN"/>
              </w:rPr>
            </w:pPr>
            <w:r>
              <w:rPr>
                <w:rFonts w:hint="eastAsia" w:cstheme="minorEastAsia"/>
              </w:rPr>
              <w:t>《法定代表人授权书》有法定代表人签字（签章）和加盖公章；符合招标文件第二章</w:t>
            </w:r>
            <w:r>
              <w:rPr>
                <w:rFonts w:cstheme="minorEastAsia"/>
                <w:b/>
              </w:rPr>
              <w:t>5</w:t>
            </w:r>
            <w:r>
              <w:rPr>
                <w:rFonts w:hint="eastAsia" w:cstheme="minorEastAsia"/>
                <w:b/>
              </w:rPr>
              <w:t>.3条</w:t>
            </w:r>
            <w:r>
              <w:rPr>
                <w:rFonts w:hint="eastAsia" w:cstheme="minorEastAsia"/>
              </w:rPr>
              <w:t>规定情形，以分公司形式参与投标的，法定代表人授权书应由其总公司法定代表人签字（签章）并加盖公章；</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7" w:type="dxa"/>
            <w:tcBorders>
              <w:tl2br w:val="nil"/>
              <w:tr2bl w:val="nil"/>
            </w:tcBorders>
            <w:vAlign w:val="center"/>
          </w:tcPr>
          <w:p>
            <w:pPr>
              <w:pStyle w:val="43"/>
              <w:numPr>
                <w:ilvl w:val="0"/>
                <w:numId w:val="62"/>
              </w:numPr>
              <w:wordWrap w:val="0"/>
              <w:spacing w:line="360" w:lineRule="auto"/>
              <w:ind w:left="142" w:hanging="142" w:firstLineChars="0"/>
              <w:jc w:val="center"/>
              <w:rPr>
                <w:bCs/>
                <w:lang w:val="zh-CN"/>
              </w:rPr>
            </w:pPr>
          </w:p>
        </w:tc>
        <w:tc>
          <w:tcPr>
            <w:tcW w:w="8929" w:type="dxa"/>
            <w:tcBorders>
              <w:tl2br w:val="nil"/>
              <w:tr2bl w:val="nil"/>
            </w:tcBorders>
          </w:tcPr>
          <w:p>
            <w:pPr>
              <w:wordWrap w:val="0"/>
              <w:spacing w:line="360" w:lineRule="auto"/>
              <w:rPr>
                <w:szCs w:val="24"/>
                <w:lang w:val="zh-CN"/>
              </w:rPr>
            </w:pPr>
            <w:r>
              <w:rPr>
                <w:rFonts w:hint="eastAsia"/>
                <w:szCs w:val="24"/>
                <w:lang w:val="zh-CN"/>
              </w:rPr>
              <w:t>应按招标文件要求盖章或签字（签章）</w:t>
            </w:r>
            <w:r>
              <w:rPr>
                <w:rFonts w:hint="eastAsia" w:cstheme="minorEastAsia"/>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7" w:type="dxa"/>
            <w:tcBorders>
              <w:tl2br w:val="nil"/>
              <w:tr2bl w:val="nil"/>
            </w:tcBorders>
            <w:vAlign w:val="center"/>
          </w:tcPr>
          <w:p>
            <w:pPr>
              <w:pStyle w:val="43"/>
              <w:numPr>
                <w:ilvl w:val="0"/>
                <w:numId w:val="62"/>
              </w:numPr>
              <w:wordWrap w:val="0"/>
              <w:spacing w:line="360" w:lineRule="auto"/>
              <w:ind w:left="142" w:hanging="142" w:firstLineChars="0"/>
              <w:jc w:val="center"/>
              <w:rPr>
                <w:bCs/>
                <w:lang w:val="zh-CN"/>
              </w:rPr>
            </w:pPr>
          </w:p>
        </w:tc>
        <w:tc>
          <w:tcPr>
            <w:tcW w:w="8929" w:type="dxa"/>
            <w:tcBorders>
              <w:tl2br w:val="nil"/>
              <w:tr2bl w:val="nil"/>
            </w:tcBorders>
          </w:tcPr>
          <w:p>
            <w:pPr>
              <w:wordWrap w:val="0"/>
              <w:spacing w:line="360" w:lineRule="auto"/>
              <w:rPr>
                <w:bCs/>
                <w:szCs w:val="24"/>
                <w:lang w:val="zh-CN"/>
              </w:rPr>
            </w:pPr>
            <w:r>
              <w:rPr>
                <w:rFonts w:hint="eastAsia"/>
                <w:szCs w:val="24"/>
                <w:lang w:val="zh-CN"/>
              </w:rPr>
              <w:t>应提供所投货物（或服务）确定的参数值或功能表述（或服务内容及标准），且明确是否响应招标文件采购需求；</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7" w:type="dxa"/>
            <w:tcBorders>
              <w:tl2br w:val="nil"/>
              <w:tr2bl w:val="nil"/>
            </w:tcBorders>
            <w:vAlign w:val="center"/>
          </w:tcPr>
          <w:p>
            <w:pPr>
              <w:pStyle w:val="43"/>
              <w:numPr>
                <w:ilvl w:val="0"/>
                <w:numId w:val="62"/>
              </w:numPr>
              <w:wordWrap w:val="0"/>
              <w:spacing w:line="360" w:lineRule="auto"/>
              <w:ind w:left="142" w:hanging="142" w:firstLineChars="0"/>
              <w:jc w:val="center"/>
              <w:rPr>
                <w:bCs/>
                <w:lang w:val="zh-CN"/>
              </w:rPr>
            </w:pPr>
          </w:p>
        </w:tc>
        <w:tc>
          <w:tcPr>
            <w:tcW w:w="8929" w:type="dxa"/>
            <w:tcBorders>
              <w:tl2br w:val="nil"/>
              <w:tr2bl w:val="nil"/>
            </w:tcBorders>
          </w:tcPr>
          <w:p>
            <w:pPr>
              <w:wordWrap w:val="0"/>
              <w:spacing w:line="360" w:lineRule="auto"/>
              <w:rPr>
                <w:bCs/>
                <w:szCs w:val="24"/>
                <w:lang w:val="zh-CN"/>
              </w:rPr>
            </w:pPr>
            <w:r>
              <w:rPr>
                <w:rFonts w:hint="eastAsia"/>
                <w:szCs w:val="24"/>
                <w:lang w:val="zh-CN"/>
              </w:rPr>
              <w:t>满足招标文件“第三章 采购需求”中“★”号条款要求；</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7" w:type="dxa"/>
            <w:tcBorders>
              <w:tl2br w:val="nil"/>
              <w:tr2bl w:val="nil"/>
            </w:tcBorders>
            <w:vAlign w:val="center"/>
          </w:tcPr>
          <w:p>
            <w:pPr>
              <w:pStyle w:val="43"/>
              <w:numPr>
                <w:ilvl w:val="0"/>
                <w:numId w:val="62"/>
              </w:numPr>
              <w:wordWrap w:val="0"/>
              <w:spacing w:line="360" w:lineRule="auto"/>
              <w:ind w:left="142" w:hanging="142" w:firstLineChars="0"/>
              <w:jc w:val="center"/>
              <w:rPr>
                <w:bCs/>
                <w:lang w:val="zh-CN"/>
              </w:rPr>
            </w:pPr>
          </w:p>
        </w:tc>
        <w:tc>
          <w:tcPr>
            <w:tcW w:w="8929" w:type="dxa"/>
            <w:tcBorders>
              <w:tl2br w:val="nil"/>
              <w:tr2bl w:val="nil"/>
            </w:tcBorders>
          </w:tcPr>
          <w:p>
            <w:pPr>
              <w:wordWrap w:val="0"/>
              <w:spacing w:line="360" w:lineRule="auto"/>
              <w:rPr>
                <w:bCs/>
                <w:szCs w:val="24"/>
                <w:lang w:val="zh-CN"/>
              </w:rPr>
            </w:pPr>
            <w:r>
              <w:rPr>
                <w:rFonts w:hint="eastAsia"/>
                <w:szCs w:val="24"/>
                <w:lang w:val="zh-CN"/>
              </w:rPr>
              <w:t>未</w:t>
            </w:r>
            <w:r>
              <w:rPr>
                <w:szCs w:val="24"/>
                <w:lang w:val="zh-CN"/>
              </w:rPr>
              <w:t>含有采购人不能接受的附加条件</w:t>
            </w:r>
            <w:r>
              <w:rPr>
                <w:rFonts w:hint="eastAsia"/>
                <w:szCs w:val="24"/>
                <w:lang w:val="zh-CN"/>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7" w:type="dxa"/>
            <w:tcBorders>
              <w:tl2br w:val="nil"/>
              <w:tr2bl w:val="nil"/>
            </w:tcBorders>
            <w:vAlign w:val="center"/>
          </w:tcPr>
          <w:p>
            <w:pPr>
              <w:pStyle w:val="43"/>
              <w:numPr>
                <w:ilvl w:val="0"/>
                <w:numId w:val="62"/>
              </w:numPr>
              <w:wordWrap w:val="0"/>
              <w:spacing w:line="360" w:lineRule="auto"/>
              <w:ind w:left="142" w:hanging="142" w:firstLineChars="0"/>
              <w:jc w:val="center"/>
              <w:rPr>
                <w:bCs/>
                <w:lang w:val="zh-CN"/>
              </w:rPr>
            </w:pPr>
          </w:p>
        </w:tc>
        <w:tc>
          <w:tcPr>
            <w:tcW w:w="8929" w:type="dxa"/>
            <w:tcBorders>
              <w:tl2br w:val="nil"/>
              <w:tr2bl w:val="nil"/>
            </w:tcBorders>
          </w:tcPr>
          <w:p>
            <w:pPr>
              <w:wordWrap w:val="0"/>
              <w:spacing w:line="360" w:lineRule="auto"/>
              <w:rPr>
                <w:bCs/>
                <w:szCs w:val="24"/>
                <w:lang w:val="zh-CN"/>
              </w:rPr>
            </w:pPr>
            <w:r>
              <w:rPr>
                <w:rFonts w:hint="eastAsia"/>
                <w:szCs w:val="24"/>
                <w:lang w:val="zh-CN"/>
              </w:rPr>
              <w:t>应按要求提供《符合性审查对照表》、《商务要求响应偏离说明表》、《商务评分对照表》、《技术要求响应偏离说明表》、《技术评分对照表》；</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7" w:type="dxa"/>
            <w:tcBorders>
              <w:tl2br w:val="nil"/>
              <w:tr2bl w:val="nil"/>
            </w:tcBorders>
            <w:vAlign w:val="center"/>
          </w:tcPr>
          <w:p>
            <w:pPr>
              <w:pStyle w:val="43"/>
              <w:numPr>
                <w:ilvl w:val="0"/>
                <w:numId w:val="62"/>
              </w:numPr>
              <w:wordWrap w:val="0"/>
              <w:spacing w:line="360" w:lineRule="auto"/>
              <w:ind w:left="142" w:hanging="142" w:firstLineChars="0"/>
              <w:jc w:val="center"/>
              <w:rPr>
                <w:bCs/>
                <w:lang w:val="zh-CN"/>
              </w:rPr>
            </w:pPr>
          </w:p>
        </w:tc>
        <w:tc>
          <w:tcPr>
            <w:tcW w:w="8929" w:type="dxa"/>
            <w:tcBorders>
              <w:tl2br w:val="nil"/>
              <w:tr2bl w:val="nil"/>
            </w:tcBorders>
          </w:tcPr>
          <w:p>
            <w:pPr>
              <w:wordWrap w:val="0"/>
              <w:spacing w:line="360" w:lineRule="auto"/>
              <w:rPr>
                <w:bCs/>
                <w:strike/>
                <w:szCs w:val="24"/>
                <w:lang w:val="zh-CN"/>
              </w:rPr>
            </w:pPr>
            <w:r>
              <w:rPr>
                <w:rFonts w:hint="eastAsia"/>
                <w:szCs w:val="24"/>
                <w:lang w:val="zh-CN"/>
              </w:rPr>
              <w:t>投标人不存在招标文件第二章</w:t>
            </w:r>
            <w:r>
              <w:rPr>
                <w:rFonts w:hint="eastAsia"/>
                <w:b/>
                <w:szCs w:val="24"/>
                <w:lang w:val="zh-CN"/>
              </w:rPr>
              <w:t>27.1条</w:t>
            </w:r>
            <w:r>
              <w:rPr>
                <w:rFonts w:hint="eastAsia"/>
                <w:szCs w:val="24"/>
                <w:lang w:val="zh-CN"/>
              </w:rPr>
              <w:t>规定的串通投标行为；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817" w:type="dxa"/>
            <w:tcBorders>
              <w:tl2br w:val="nil"/>
              <w:tr2bl w:val="nil"/>
            </w:tcBorders>
            <w:vAlign w:val="center"/>
          </w:tcPr>
          <w:p>
            <w:pPr>
              <w:pStyle w:val="43"/>
              <w:numPr>
                <w:ilvl w:val="0"/>
                <w:numId w:val="62"/>
              </w:numPr>
              <w:wordWrap w:val="0"/>
              <w:spacing w:line="360" w:lineRule="auto"/>
              <w:ind w:left="142" w:hanging="142" w:firstLineChars="0"/>
              <w:jc w:val="center"/>
              <w:rPr>
                <w:bCs/>
                <w:lang w:val="zh-CN"/>
              </w:rPr>
            </w:pPr>
          </w:p>
        </w:tc>
        <w:tc>
          <w:tcPr>
            <w:tcW w:w="8929" w:type="dxa"/>
            <w:tcBorders>
              <w:tl2br w:val="nil"/>
              <w:tr2bl w:val="nil"/>
            </w:tcBorders>
          </w:tcPr>
          <w:p>
            <w:pPr>
              <w:wordWrap w:val="0"/>
              <w:spacing w:line="360" w:lineRule="auto"/>
              <w:rPr>
                <w:bCs/>
                <w:szCs w:val="24"/>
                <w:lang w:val="zh-CN"/>
              </w:rPr>
            </w:pPr>
            <w:r>
              <w:rPr>
                <w:rFonts w:hint="eastAsia"/>
                <w:szCs w:val="24"/>
                <w:lang w:val="zh-CN"/>
              </w:rPr>
              <w:t>不存在</w:t>
            </w:r>
            <w:r>
              <w:rPr>
                <w:szCs w:val="24"/>
                <w:lang w:val="zh-CN"/>
              </w:rPr>
              <w:t>法律、法规</w:t>
            </w:r>
            <w:r>
              <w:rPr>
                <w:rFonts w:hint="eastAsia"/>
                <w:szCs w:val="24"/>
                <w:lang w:val="zh-CN"/>
              </w:rPr>
              <w:t>和招标文件</w:t>
            </w:r>
            <w:r>
              <w:rPr>
                <w:szCs w:val="24"/>
                <w:lang w:val="zh-CN"/>
              </w:rPr>
              <w:t>规定的其他</w:t>
            </w:r>
            <w:r>
              <w:rPr>
                <w:rFonts w:hint="eastAsia"/>
                <w:szCs w:val="24"/>
                <w:lang w:val="zh-CN"/>
              </w:rPr>
              <w:t>无效投标</w:t>
            </w:r>
            <w:r>
              <w:rPr>
                <w:szCs w:val="24"/>
                <w:lang w:val="zh-CN"/>
              </w:rPr>
              <w:t>情形。</w:t>
            </w:r>
          </w:p>
        </w:tc>
      </w:tr>
    </w:tbl>
    <w:p>
      <w:pPr>
        <w:spacing w:line="360" w:lineRule="auto"/>
        <w:rPr>
          <w:b/>
          <w:szCs w:val="24"/>
          <w:lang w:val="zh-CN"/>
        </w:rPr>
      </w:pPr>
      <w:r>
        <w:rPr>
          <w:rFonts w:hint="eastAsia"/>
          <w:b/>
          <w:szCs w:val="24"/>
          <w:lang w:val="zh-CN"/>
        </w:rPr>
        <w:t>2</w:t>
      </w:r>
      <w:r>
        <w:rPr>
          <w:b/>
          <w:szCs w:val="24"/>
          <w:lang w:val="zh-CN"/>
        </w:rPr>
        <w:t>.</w:t>
      </w:r>
      <w:r>
        <w:rPr>
          <w:rFonts w:hint="eastAsia"/>
          <w:b/>
          <w:szCs w:val="24"/>
          <w:lang w:val="zh-CN"/>
        </w:rPr>
        <w:t>商务评分（</w:t>
      </w:r>
      <w:r>
        <w:rPr>
          <w:rFonts w:hint="eastAsia"/>
          <w:b/>
          <w:szCs w:val="24"/>
        </w:rPr>
        <w:t>26</w:t>
      </w:r>
      <w:r>
        <w:rPr>
          <w:rFonts w:hint="eastAsia"/>
          <w:b/>
          <w:szCs w:val="24"/>
          <w:lang w:val="zh-CN"/>
        </w:rPr>
        <w:t>分）</w:t>
      </w:r>
    </w:p>
    <w:tbl>
      <w:tblPr>
        <w:tblStyle w:val="29"/>
        <w:tblW w:w="978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86"/>
        <w:gridCol w:w="1151"/>
        <w:gridCol w:w="755"/>
        <w:gridCol w:w="7088"/>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89" w:hRule="atLeast"/>
          <w:jc w:val="center"/>
        </w:trPr>
        <w:tc>
          <w:tcPr>
            <w:tcW w:w="785" w:type="dxa"/>
            <w:tcBorders>
              <w:top w:val="single" w:color="auto" w:sz="12" w:space="0"/>
              <w:left w:val="single" w:color="auto" w:sz="12" w:space="0"/>
              <w:bottom w:val="single" w:color="auto" w:sz="2" w:space="0"/>
              <w:right w:val="single" w:color="auto" w:sz="2" w:space="0"/>
            </w:tcBorders>
            <w:shd w:val="pct10" w:color="C3BD96" w:fill="DDD9C4"/>
            <w:vAlign w:val="center"/>
          </w:tcPr>
          <w:p>
            <w:pPr>
              <w:wordWrap w:val="0"/>
              <w:spacing w:line="360" w:lineRule="auto"/>
              <w:ind w:left="-89" w:leftChars="-37" w:right="-98" w:rightChars="-41"/>
              <w:jc w:val="center"/>
              <w:rPr>
                <w:rFonts w:hint="eastAsia" w:cs="宋体"/>
                <w:b/>
                <w:szCs w:val="24"/>
              </w:rPr>
            </w:pPr>
            <w:r>
              <w:rPr>
                <w:rFonts w:hint="eastAsia" w:cs="宋体"/>
                <w:b/>
                <w:szCs w:val="24"/>
              </w:rPr>
              <w:t>序号</w:t>
            </w:r>
          </w:p>
        </w:tc>
        <w:tc>
          <w:tcPr>
            <w:tcW w:w="1151" w:type="dxa"/>
            <w:tcBorders>
              <w:top w:val="single" w:color="auto" w:sz="12" w:space="0"/>
              <w:left w:val="single" w:color="auto" w:sz="2" w:space="0"/>
              <w:bottom w:val="single" w:color="auto" w:sz="2" w:space="0"/>
              <w:right w:val="single" w:color="auto" w:sz="2" w:space="0"/>
            </w:tcBorders>
            <w:shd w:val="pct10" w:color="C3BD96" w:fill="DDD9C4"/>
            <w:vAlign w:val="center"/>
          </w:tcPr>
          <w:p>
            <w:pPr>
              <w:wordWrap w:val="0"/>
              <w:spacing w:line="360" w:lineRule="auto"/>
              <w:ind w:left="-89" w:leftChars="-37" w:right="-98" w:rightChars="-41"/>
              <w:jc w:val="center"/>
              <w:rPr>
                <w:rFonts w:hint="eastAsia" w:cs="宋体"/>
                <w:b/>
                <w:szCs w:val="24"/>
              </w:rPr>
            </w:pPr>
            <w:r>
              <w:rPr>
                <w:rFonts w:hint="eastAsia" w:cs="宋体"/>
                <w:b/>
                <w:szCs w:val="24"/>
              </w:rPr>
              <w:t>评审因素</w:t>
            </w:r>
          </w:p>
        </w:tc>
        <w:tc>
          <w:tcPr>
            <w:tcW w:w="755" w:type="dxa"/>
            <w:tcBorders>
              <w:top w:val="single" w:color="auto" w:sz="12" w:space="0"/>
              <w:left w:val="single" w:color="auto" w:sz="2" w:space="0"/>
              <w:bottom w:val="single" w:color="auto" w:sz="2" w:space="0"/>
              <w:right w:val="single" w:color="auto" w:sz="2" w:space="0"/>
            </w:tcBorders>
            <w:shd w:val="pct10" w:color="C3BD96" w:fill="DDD9C4"/>
            <w:vAlign w:val="center"/>
          </w:tcPr>
          <w:p>
            <w:pPr>
              <w:wordWrap w:val="0"/>
              <w:spacing w:line="360" w:lineRule="auto"/>
              <w:ind w:left="-84" w:leftChars="-35" w:right="-91" w:rightChars="-38"/>
              <w:jc w:val="center"/>
              <w:rPr>
                <w:rFonts w:hint="eastAsia" w:cs="宋体"/>
                <w:b/>
                <w:szCs w:val="24"/>
              </w:rPr>
            </w:pPr>
            <w:r>
              <w:rPr>
                <w:rFonts w:hint="eastAsia" w:cs="宋体"/>
                <w:b/>
                <w:szCs w:val="24"/>
              </w:rPr>
              <w:t>分值</w:t>
            </w:r>
          </w:p>
        </w:tc>
        <w:tc>
          <w:tcPr>
            <w:tcW w:w="7085" w:type="dxa"/>
            <w:tcBorders>
              <w:top w:val="single" w:color="auto" w:sz="12" w:space="0"/>
              <w:left w:val="single" w:color="auto" w:sz="2" w:space="0"/>
              <w:bottom w:val="single" w:color="auto" w:sz="2" w:space="0"/>
              <w:right w:val="single" w:color="auto" w:sz="12" w:space="0"/>
            </w:tcBorders>
            <w:shd w:val="pct10" w:color="C3BD96" w:fill="DDD9C4"/>
            <w:vAlign w:val="center"/>
          </w:tcPr>
          <w:p>
            <w:pPr>
              <w:wordWrap w:val="0"/>
              <w:spacing w:line="360" w:lineRule="auto"/>
              <w:jc w:val="center"/>
              <w:rPr>
                <w:rFonts w:hint="eastAsia" w:cs="宋体"/>
                <w:b/>
                <w:szCs w:val="24"/>
              </w:rPr>
            </w:pPr>
            <w:r>
              <w:rPr>
                <w:rFonts w:hint="eastAsia" w:cs="宋体"/>
                <w:b/>
                <w:szCs w:val="24"/>
              </w:rPr>
              <w:t>评分标准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 w:hRule="atLeast"/>
          <w:jc w:val="center"/>
        </w:trPr>
        <w:tc>
          <w:tcPr>
            <w:tcW w:w="785" w:type="dxa"/>
            <w:tcBorders>
              <w:top w:val="single" w:color="auto" w:sz="2" w:space="0"/>
              <w:left w:val="single" w:color="auto" w:sz="12" w:space="0"/>
              <w:bottom w:val="single" w:color="auto" w:sz="2" w:space="0"/>
              <w:right w:val="single" w:color="auto" w:sz="2" w:space="0"/>
            </w:tcBorders>
            <w:vAlign w:val="center"/>
          </w:tcPr>
          <w:p>
            <w:pPr>
              <w:numPr>
                <w:ilvl w:val="0"/>
                <w:numId w:val="63"/>
              </w:numPr>
              <w:tabs>
                <w:tab w:val="left" w:pos="447"/>
              </w:tabs>
              <w:wordWrap w:val="0"/>
              <w:spacing w:line="360" w:lineRule="auto"/>
              <w:ind w:left="0" w:right="-48" w:rightChars="-20" w:firstLine="0"/>
              <w:jc w:val="center"/>
              <w:rPr>
                <w:rFonts w:hint="eastAsia" w:cs="宋体"/>
                <w:b/>
                <w:szCs w:val="24"/>
              </w:rPr>
            </w:pPr>
          </w:p>
        </w:tc>
        <w:tc>
          <w:tcPr>
            <w:tcW w:w="1151" w:type="dxa"/>
            <w:tcBorders>
              <w:top w:val="single" w:color="auto" w:sz="2" w:space="0"/>
              <w:left w:val="single" w:color="auto" w:sz="2" w:space="0"/>
              <w:bottom w:val="single" w:color="auto" w:sz="2" w:space="0"/>
              <w:right w:val="single" w:color="auto" w:sz="2" w:space="0"/>
            </w:tcBorders>
            <w:vAlign w:val="center"/>
          </w:tcPr>
          <w:p>
            <w:pPr>
              <w:wordWrap w:val="0"/>
              <w:spacing w:line="360" w:lineRule="auto"/>
              <w:ind w:left="-24" w:leftChars="-10" w:right="-24" w:rightChars="-10"/>
              <w:jc w:val="center"/>
              <w:rPr>
                <w:rFonts w:hint="eastAsia" w:cs="宋体"/>
                <w:szCs w:val="24"/>
              </w:rPr>
            </w:pPr>
            <w:r>
              <w:rPr>
                <w:rFonts w:hint="eastAsia" w:cs="宋体"/>
                <w:szCs w:val="24"/>
              </w:rPr>
              <w:t>投标人综合实力</w:t>
            </w:r>
          </w:p>
        </w:tc>
        <w:tc>
          <w:tcPr>
            <w:tcW w:w="755" w:type="dxa"/>
            <w:tcBorders>
              <w:top w:val="single" w:color="auto" w:sz="2" w:space="0"/>
              <w:left w:val="single" w:color="auto" w:sz="2" w:space="0"/>
              <w:bottom w:val="single" w:color="auto" w:sz="2" w:space="0"/>
              <w:right w:val="single" w:color="auto" w:sz="2" w:space="0"/>
            </w:tcBorders>
            <w:vAlign w:val="center"/>
          </w:tcPr>
          <w:p>
            <w:pPr>
              <w:wordWrap w:val="0"/>
              <w:spacing w:line="360" w:lineRule="auto"/>
              <w:ind w:left="-55" w:leftChars="-23" w:right="-41" w:rightChars="-17"/>
              <w:jc w:val="center"/>
              <w:rPr>
                <w:rFonts w:hint="eastAsia" w:cs="宋体"/>
                <w:szCs w:val="24"/>
              </w:rPr>
            </w:pPr>
            <w:r>
              <w:rPr>
                <w:rFonts w:cs="宋体"/>
                <w:szCs w:val="24"/>
              </w:rPr>
              <w:t>8</w:t>
            </w:r>
          </w:p>
        </w:tc>
        <w:tc>
          <w:tcPr>
            <w:tcW w:w="7085" w:type="dxa"/>
            <w:tcBorders>
              <w:top w:val="single" w:color="auto" w:sz="2" w:space="0"/>
              <w:left w:val="single" w:color="auto" w:sz="2" w:space="0"/>
              <w:bottom w:val="single" w:color="auto" w:sz="2" w:space="0"/>
              <w:right w:val="single" w:color="auto" w:sz="12" w:space="0"/>
            </w:tcBorders>
            <w:vAlign w:val="center"/>
          </w:tcPr>
          <w:p>
            <w:pPr>
              <w:tabs>
                <w:tab w:val="left" w:pos="351"/>
                <w:tab w:val="left" w:pos="816"/>
              </w:tabs>
              <w:wordWrap w:val="0"/>
              <w:spacing w:line="360" w:lineRule="auto"/>
              <w:ind w:right="-58" w:rightChars="-24"/>
              <w:jc w:val="left"/>
              <w:rPr>
                <w:rFonts w:hint="eastAsia" w:cs="宋体"/>
                <w:iCs/>
                <w:szCs w:val="24"/>
              </w:rPr>
            </w:pPr>
            <w:r>
              <w:rPr>
                <w:rFonts w:hint="eastAsia" w:cs="宋体"/>
                <w:iCs/>
                <w:szCs w:val="24"/>
                <w:lang w:eastAsia="zh-CN"/>
              </w:rPr>
              <w:t>投标人具备</w:t>
            </w:r>
            <w:r>
              <w:rPr>
                <w:rFonts w:cs="宋体"/>
                <w:iCs/>
                <w:szCs w:val="24"/>
              </w:rPr>
              <w:t>信息安全管理体系认证证书</w:t>
            </w:r>
            <w:r>
              <w:rPr>
                <w:rFonts w:hint="eastAsia" w:cs="宋体"/>
                <w:iCs/>
                <w:szCs w:val="24"/>
                <w:lang w:eastAsia="zh-CN"/>
              </w:rPr>
              <w:t>、</w:t>
            </w:r>
            <w:r>
              <w:rPr>
                <w:rFonts w:cs="宋体"/>
                <w:iCs/>
                <w:szCs w:val="24"/>
              </w:rPr>
              <w:t>信息技术服务管理体系认证证书</w:t>
            </w:r>
            <w:r>
              <w:rPr>
                <w:rFonts w:hint="eastAsia" w:cs="宋体"/>
                <w:iCs/>
                <w:szCs w:val="24"/>
                <w:lang w:eastAsia="zh-CN"/>
              </w:rPr>
              <w:t>、</w:t>
            </w:r>
            <w:r>
              <w:rPr>
                <w:rFonts w:hint="eastAsia" w:cs="宋体"/>
                <w:iCs/>
                <w:szCs w:val="24"/>
              </w:rPr>
              <w:t>信息技术服务标准</w:t>
            </w:r>
            <w:r>
              <w:rPr>
                <w:rFonts w:hint="eastAsia" w:cs="宋体"/>
                <w:iCs/>
                <w:szCs w:val="24"/>
                <w:lang w:eastAsia="zh-CN"/>
              </w:rPr>
              <w:t>符合性证书（</w:t>
            </w:r>
            <w:r>
              <w:rPr>
                <w:rFonts w:hint="eastAsia" w:cs="宋体"/>
                <w:iCs/>
                <w:szCs w:val="24"/>
                <w:lang w:val="en-US" w:eastAsia="zh-CN"/>
              </w:rPr>
              <w:t>ITSS</w:t>
            </w:r>
            <w:r>
              <w:rPr>
                <w:rFonts w:hint="eastAsia" w:cs="宋体"/>
                <w:iCs/>
                <w:szCs w:val="24"/>
                <w:lang w:eastAsia="zh-CN"/>
              </w:rPr>
              <w:t>）</w:t>
            </w:r>
            <w:r>
              <w:rPr>
                <w:rFonts w:cs="宋体"/>
                <w:iCs/>
                <w:szCs w:val="24"/>
              </w:rPr>
              <w:t>三级及以上</w:t>
            </w:r>
            <w:r>
              <w:rPr>
                <w:rFonts w:hint="eastAsia" w:cs="宋体"/>
                <w:iCs/>
                <w:szCs w:val="24"/>
                <w:lang w:eastAsia="zh-CN"/>
              </w:rPr>
              <w:t>、信息系统建设和服务能力认证（</w:t>
            </w:r>
            <w:r>
              <w:rPr>
                <w:rFonts w:hint="eastAsia" w:cs="宋体"/>
                <w:iCs/>
                <w:szCs w:val="24"/>
                <w:lang w:val="en-US" w:eastAsia="zh-CN"/>
              </w:rPr>
              <w:t>CS</w:t>
            </w:r>
            <w:r>
              <w:rPr>
                <w:rFonts w:hint="eastAsia" w:cs="宋体"/>
                <w:iCs/>
                <w:szCs w:val="24"/>
                <w:lang w:eastAsia="zh-CN"/>
              </w:rPr>
              <w:t>）2级及2级以上</w:t>
            </w:r>
            <w:r>
              <w:rPr>
                <w:rFonts w:cs="宋体"/>
                <w:iCs/>
                <w:szCs w:val="24"/>
              </w:rPr>
              <w:t>的</w:t>
            </w:r>
            <w:r>
              <w:rPr>
                <w:rFonts w:hint="eastAsia" w:cs="宋体"/>
                <w:iCs/>
                <w:szCs w:val="24"/>
                <w:lang w:eastAsia="zh-CN"/>
              </w:rPr>
              <w:t>，每提供</w:t>
            </w:r>
            <w:r>
              <w:rPr>
                <w:rFonts w:hint="eastAsia" w:cs="宋体"/>
                <w:iCs/>
                <w:szCs w:val="24"/>
                <w:lang w:val="en-US" w:eastAsia="zh-CN"/>
              </w:rPr>
              <w:t>1个</w:t>
            </w:r>
            <w:r>
              <w:rPr>
                <w:rFonts w:cs="宋体"/>
                <w:iCs/>
                <w:szCs w:val="24"/>
              </w:rPr>
              <w:t>得</w:t>
            </w:r>
            <w:r>
              <w:rPr>
                <w:rFonts w:hint="eastAsia" w:cs="宋体"/>
                <w:iCs/>
                <w:szCs w:val="24"/>
              </w:rPr>
              <w:t>2分</w:t>
            </w:r>
            <w:r>
              <w:rPr>
                <w:rFonts w:cs="宋体"/>
                <w:iCs/>
                <w:szCs w:val="24"/>
              </w:rPr>
              <w:t>，</w:t>
            </w:r>
            <w:r>
              <w:rPr>
                <w:rFonts w:hint="eastAsia" w:cs="宋体"/>
                <w:iCs/>
                <w:szCs w:val="24"/>
                <w:lang w:eastAsia="zh-CN"/>
              </w:rPr>
              <w:t>最多得</w:t>
            </w:r>
            <w:r>
              <w:rPr>
                <w:rFonts w:hint="eastAsia" w:cs="宋体"/>
                <w:iCs/>
                <w:szCs w:val="24"/>
                <w:lang w:val="en-US" w:eastAsia="zh-CN"/>
              </w:rPr>
              <w:t>8分</w:t>
            </w:r>
            <w:r>
              <w:rPr>
                <w:rFonts w:hint="eastAsia" w:cs="宋体"/>
                <w:iCs/>
                <w:szCs w:val="24"/>
              </w:rPr>
              <w:t>。</w:t>
            </w:r>
            <w:r>
              <w:rPr>
                <w:rFonts w:hint="eastAsia" w:cs="宋体"/>
                <w:szCs w:val="24"/>
              </w:rPr>
              <w:t>注：提供合格有效的证书复印件或全国认证认可信息公共服务平台http：//cx.cnca.cn/查询截图，否则不得分。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jc w:val="center"/>
        </w:trPr>
        <w:tc>
          <w:tcPr>
            <w:tcW w:w="785" w:type="dxa"/>
            <w:tcBorders>
              <w:top w:val="single" w:color="auto" w:sz="2" w:space="0"/>
              <w:left w:val="single" w:color="auto" w:sz="12" w:space="0"/>
              <w:bottom w:val="single" w:color="auto" w:sz="2" w:space="0"/>
              <w:right w:val="single" w:color="auto" w:sz="2" w:space="0"/>
            </w:tcBorders>
            <w:vAlign w:val="center"/>
          </w:tcPr>
          <w:p>
            <w:pPr>
              <w:numPr>
                <w:ilvl w:val="0"/>
                <w:numId w:val="63"/>
              </w:numPr>
              <w:tabs>
                <w:tab w:val="left" w:pos="447"/>
              </w:tabs>
              <w:wordWrap w:val="0"/>
              <w:spacing w:line="360" w:lineRule="auto"/>
              <w:ind w:left="0" w:right="-48" w:rightChars="-20" w:firstLine="0"/>
              <w:jc w:val="center"/>
              <w:rPr>
                <w:rFonts w:hint="eastAsia" w:cs="宋体"/>
                <w:b/>
                <w:szCs w:val="24"/>
              </w:rPr>
            </w:pPr>
          </w:p>
        </w:tc>
        <w:tc>
          <w:tcPr>
            <w:tcW w:w="1151" w:type="dxa"/>
            <w:tcBorders>
              <w:top w:val="single" w:color="auto" w:sz="2" w:space="0"/>
              <w:left w:val="single" w:color="auto" w:sz="2" w:space="0"/>
              <w:bottom w:val="single" w:color="auto" w:sz="2" w:space="0"/>
              <w:right w:val="single" w:color="auto" w:sz="2" w:space="0"/>
            </w:tcBorders>
            <w:vAlign w:val="center"/>
          </w:tcPr>
          <w:p>
            <w:pPr>
              <w:wordWrap w:val="0"/>
              <w:spacing w:line="360" w:lineRule="auto"/>
              <w:ind w:left="-24" w:leftChars="-10" w:right="-24" w:rightChars="-10"/>
              <w:jc w:val="center"/>
              <w:rPr>
                <w:rFonts w:hint="eastAsia" w:cs="宋体"/>
                <w:szCs w:val="24"/>
              </w:rPr>
            </w:pPr>
            <w:r>
              <w:rPr>
                <w:rFonts w:hint="eastAsia" w:cs="宋体"/>
                <w:szCs w:val="24"/>
              </w:rPr>
              <w:t>类似项目业绩</w:t>
            </w:r>
          </w:p>
        </w:tc>
        <w:tc>
          <w:tcPr>
            <w:tcW w:w="755" w:type="dxa"/>
            <w:tcBorders>
              <w:top w:val="single" w:color="auto" w:sz="2" w:space="0"/>
              <w:left w:val="single" w:color="auto" w:sz="2" w:space="0"/>
              <w:bottom w:val="single" w:color="auto" w:sz="2" w:space="0"/>
              <w:right w:val="single" w:color="auto" w:sz="2" w:space="0"/>
            </w:tcBorders>
            <w:vAlign w:val="center"/>
          </w:tcPr>
          <w:p>
            <w:pPr>
              <w:wordWrap w:val="0"/>
              <w:spacing w:line="360" w:lineRule="auto"/>
              <w:ind w:left="-55" w:leftChars="-23" w:right="-41" w:rightChars="-17"/>
              <w:jc w:val="center"/>
              <w:rPr>
                <w:rFonts w:hint="eastAsia" w:cs="宋体"/>
                <w:szCs w:val="24"/>
              </w:rPr>
            </w:pPr>
            <w:r>
              <w:rPr>
                <w:rFonts w:cs="宋体"/>
                <w:szCs w:val="24"/>
              </w:rPr>
              <w:t>6</w:t>
            </w:r>
          </w:p>
        </w:tc>
        <w:tc>
          <w:tcPr>
            <w:tcW w:w="7085" w:type="dxa"/>
            <w:tcBorders>
              <w:top w:val="single" w:color="auto" w:sz="2" w:space="0"/>
              <w:left w:val="single" w:color="auto" w:sz="2" w:space="0"/>
              <w:bottom w:val="single" w:color="auto" w:sz="2" w:space="0"/>
              <w:right w:val="single" w:color="auto" w:sz="12" w:space="0"/>
            </w:tcBorders>
            <w:vAlign w:val="center"/>
          </w:tcPr>
          <w:p>
            <w:pPr>
              <w:wordWrap w:val="0"/>
              <w:spacing w:line="360" w:lineRule="auto"/>
              <w:ind w:right="-89" w:rightChars="-37"/>
              <w:rPr>
                <w:rFonts w:hint="eastAsia" w:cs="宋体"/>
                <w:iCs/>
                <w:szCs w:val="24"/>
              </w:rPr>
            </w:pPr>
            <w:r>
              <w:rPr>
                <w:rFonts w:hint="eastAsia" w:cs="宋体"/>
                <w:szCs w:val="24"/>
                <w:lang w:val="zh-CN"/>
              </w:rPr>
              <w:t>投标人近年（202</w:t>
            </w:r>
            <w:r>
              <w:rPr>
                <w:rFonts w:cs="宋体"/>
                <w:szCs w:val="24"/>
                <w:lang w:val="zh-CN"/>
              </w:rPr>
              <w:t>0</w:t>
            </w:r>
            <w:r>
              <w:rPr>
                <w:rFonts w:hint="eastAsia" w:cs="宋体"/>
                <w:szCs w:val="24"/>
                <w:lang w:val="zh-CN"/>
              </w:rPr>
              <w:t>年1月至今，以签订合同时间为准）独立完成过类似项目业绩的，每个得</w:t>
            </w:r>
            <w:r>
              <w:rPr>
                <w:rFonts w:cs="宋体"/>
                <w:szCs w:val="24"/>
              </w:rPr>
              <w:t>2</w:t>
            </w:r>
            <w:r>
              <w:rPr>
                <w:rFonts w:hint="eastAsia" w:cs="宋体"/>
                <w:szCs w:val="24"/>
                <w:lang w:val="zh-CN"/>
              </w:rPr>
              <w:t>分，本项最多得</w:t>
            </w:r>
            <w:r>
              <w:rPr>
                <w:rFonts w:cs="宋体"/>
                <w:szCs w:val="24"/>
              </w:rPr>
              <w:t>6</w:t>
            </w:r>
            <w:r>
              <w:rPr>
                <w:rFonts w:hint="eastAsia" w:cs="宋体"/>
                <w:szCs w:val="24"/>
                <w:lang w:val="zh-CN"/>
              </w:rPr>
              <w:t>分。注：提供合同关键页（包括首页、合同内容描述页、合同盖章页）等材料，材料内容需体现合同名称、签订双方名称、签订时间、主要服务内容，否则不得分。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jc w:val="center"/>
        </w:trPr>
        <w:tc>
          <w:tcPr>
            <w:tcW w:w="785" w:type="dxa"/>
            <w:tcBorders>
              <w:top w:val="single" w:color="auto" w:sz="2" w:space="0"/>
              <w:left w:val="single" w:color="auto" w:sz="12" w:space="0"/>
              <w:bottom w:val="single" w:color="auto" w:sz="2" w:space="0"/>
              <w:right w:val="single" w:color="auto" w:sz="2" w:space="0"/>
            </w:tcBorders>
            <w:vAlign w:val="center"/>
          </w:tcPr>
          <w:p>
            <w:pPr>
              <w:numPr>
                <w:ilvl w:val="0"/>
                <w:numId w:val="63"/>
              </w:numPr>
              <w:tabs>
                <w:tab w:val="left" w:pos="447"/>
              </w:tabs>
              <w:wordWrap w:val="0"/>
              <w:spacing w:line="360" w:lineRule="auto"/>
              <w:ind w:left="0" w:right="-48" w:rightChars="-20" w:firstLine="0"/>
              <w:jc w:val="center"/>
              <w:rPr>
                <w:rFonts w:hint="eastAsia" w:cs="宋体"/>
                <w:b/>
                <w:color w:val="FF0000"/>
                <w:szCs w:val="24"/>
              </w:rPr>
            </w:pPr>
          </w:p>
        </w:tc>
        <w:tc>
          <w:tcPr>
            <w:tcW w:w="1151" w:type="dxa"/>
            <w:tcBorders>
              <w:top w:val="single" w:color="auto" w:sz="2" w:space="0"/>
              <w:left w:val="single" w:color="auto" w:sz="2" w:space="0"/>
              <w:bottom w:val="single" w:color="auto" w:sz="2" w:space="0"/>
              <w:right w:val="single" w:color="auto" w:sz="2" w:space="0"/>
            </w:tcBorders>
            <w:vAlign w:val="center"/>
          </w:tcPr>
          <w:p>
            <w:pPr>
              <w:spacing w:line="360" w:lineRule="auto"/>
              <w:ind w:left="-24" w:leftChars="-10" w:right="-24" w:rightChars="-10"/>
              <w:jc w:val="center"/>
              <w:rPr>
                <w:rFonts w:cs="宋体"/>
                <w:szCs w:val="24"/>
              </w:rPr>
            </w:pPr>
            <w:r>
              <w:rPr>
                <w:rFonts w:hint="eastAsia" w:cs="宋体"/>
                <w:szCs w:val="24"/>
              </w:rPr>
              <w:t>医共体</w:t>
            </w:r>
          </w:p>
          <w:p>
            <w:pPr>
              <w:wordWrap w:val="0"/>
              <w:spacing w:line="360" w:lineRule="auto"/>
              <w:ind w:left="-24" w:leftChars="-10" w:right="-24" w:rightChars="-10"/>
              <w:jc w:val="center"/>
              <w:rPr>
                <w:rFonts w:hint="eastAsia" w:cs="宋体"/>
                <w:szCs w:val="24"/>
              </w:rPr>
            </w:pPr>
            <w:r>
              <w:rPr>
                <w:rFonts w:hint="eastAsia" w:cs="宋体"/>
                <w:szCs w:val="24"/>
              </w:rPr>
              <w:t>对接能力</w:t>
            </w:r>
          </w:p>
        </w:tc>
        <w:tc>
          <w:tcPr>
            <w:tcW w:w="755" w:type="dxa"/>
            <w:tcBorders>
              <w:top w:val="single" w:color="auto" w:sz="2" w:space="0"/>
              <w:left w:val="single" w:color="auto" w:sz="2" w:space="0"/>
              <w:bottom w:val="single" w:color="auto" w:sz="2" w:space="0"/>
              <w:right w:val="single" w:color="auto" w:sz="2" w:space="0"/>
            </w:tcBorders>
            <w:vAlign w:val="center"/>
          </w:tcPr>
          <w:p>
            <w:pPr>
              <w:wordWrap w:val="0"/>
              <w:spacing w:line="360" w:lineRule="auto"/>
              <w:ind w:left="-55" w:leftChars="-23" w:right="-41" w:rightChars="-17"/>
              <w:jc w:val="center"/>
              <w:rPr>
                <w:rFonts w:hint="eastAsia" w:cs="宋体"/>
                <w:szCs w:val="24"/>
              </w:rPr>
            </w:pPr>
            <w:r>
              <w:rPr>
                <w:rFonts w:hint="eastAsia" w:cs="宋体"/>
                <w:szCs w:val="24"/>
              </w:rPr>
              <w:t>6</w:t>
            </w:r>
          </w:p>
        </w:tc>
        <w:tc>
          <w:tcPr>
            <w:tcW w:w="7085" w:type="dxa"/>
            <w:tcBorders>
              <w:top w:val="single" w:color="auto" w:sz="2" w:space="0"/>
              <w:left w:val="single" w:color="auto" w:sz="2" w:space="0"/>
              <w:bottom w:val="single" w:color="auto" w:sz="2" w:space="0"/>
              <w:right w:val="single" w:color="auto" w:sz="12" w:space="0"/>
            </w:tcBorders>
            <w:vAlign w:val="center"/>
          </w:tcPr>
          <w:p>
            <w:pPr>
              <w:wordWrap w:val="0"/>
              <w:spacing w:line="360" w:lineRule="auto"/>
              <w:ind w:left="-74" w:leftChars="-31" w:right="-41" w:rightChars="-17"/>
              <w:rPr>
                <w:rFonts w:hint="eastAsia" w:cs="宋体"/>
                <w:szCs w:val="24"/>
              </w:rPr>
            </w:pPr>
            <w:r>
              <w:rPr>
                <w:rFonts w:hint="eastAsia" w:cs="宋体"/>
                <w:szCs w:val="24"/>
              </w:rPr>
              <w:t>为实现黄冈市医疗集团信息数据的对接、共享，投标人应具有</w:t>
            </w:r>
            <w:r>
              <w:rPr>
                <w:rFonts w:hint="eastAsia" w:cs="宋体"/>
                <w:szCs w:val="24"/>
                <w:lang w:eastAsia="zh-CN"/>
              </w:rPr>
              <w:t>较强的软件平台自主研发能力，具备与本项目建设内容相关区域医疗信息交换、报告共享、异构信息采集、中医大数据决策分析平台、中医疗效评价分析平台、中医优势病种分析系统（或类似功能系统平台）软件著作权的，每提供一类得1分，最高得6分,不提供不得分。注：提供软件著作权证书清晰扫描件，同一类型不重复得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jc w:val="center"/>
        </w:trPr>
        <w:tc>
          <w:tcPr>
            <w:tcW w:w="785" w:type="dxa"/>
            <w:tcBorders>
              <w:top w:val="single" w:color="auto" w:sz="2" w:space="0"/>
              <w:left w:val="single" w:color="auto" w:sz="12" w:space="0"/>
              <w:bottom w:val="single" w:color="auto" w:sz="2" w:space="0"/>
              <w:right w:val="single" w:color="auto" w:sz="2" w:space="0"/>
            </w:tcBorders>
            <w:vAlign w:val="center"/>
          </w:tcPr>
          <w:p>
            <w:pPr>
              <w:numPr>
                <w:ilvl w:val="0"/>
                <w:numId w:val="63"/>
              </w:numPr>
              <w:tabs>
                <w:tab w:val="left" w:pos="447"/>
              </w:tabs>
              <w:wordWrap w:val="0"/>
              <w:spacing w:line="360" w:lineRule="auto"/>
              <w:ind w:left="0" w:right="-48" w:rightChars="-20" w:firstLine="0"/>
              <w:jc w:val="center"/>
              <w:rPr>
                <w:rFonts w:hint="eastAsia" w:cs="宋体"/>
                <w:b/>
                <w:color w:val="FF0000"/>
                <w:szCs w:val="24"/>
              </w:rPr>
            </w:pPr>
          </w:p>
        </w:tc>
        <w:tc>
          <w:tcPr>
            <w:tcW w:w="1151" w:type="dxa"/>
            <w:tcBorders>
              <w:top w:val="single" w:color="auto" w:sz="2" w:space="0"/>
              <w:left w:val="single" w:color="auto" w:sz="2" w:space="0"/>
              <w:bottom w:val="single" w:color="auto" w:sz="2" w:space="0"/>
              <w:right w:val="single" w:color="auto" w:sz="2" w:space="0"/>
            </w:tcBorders>
            <w:vAlign w:val="center"/>
          </w:tcPr>
          <w:p>
            <w:pPr>
              <w:wordWrap w:val="0"/>
              <w:spacing w:line="360" w:lineRule="auto"/>
              <w:ind w:left="-24" w:leftChars="-10" w:right="-24" w:rightChars="-10"/>
              <w:jc w:val="center"/>
              <w:rPr>
                <w:rFonts w:hint="eastAsia" w:cs="宋体"/>
                <w:szCs w:val="24"/>
              </w:rPr>
            </w:pPr>
            <w:r>
              <w:rPr>
                <w:rFonts w:hint="eastAsia" w:cs="宋体"/>
                <w:szCs w:val="24"/>
              </w:rPr>
              <w:t>人员</w:t>
            </w:r>
            <w:r>
              <w:rPr>
                <w:rFonts w:cs="宋体"/>
                <w:szCs w:val="24"/>
              </w:rPr>
              <w:t>培训</w:t>
            </w:r>
          </w:p>
        </w:tc>
        <w:tc>
          <w:tcPr>
            <w:tcW w:w="755" w:type="dxa"/>
            <w:tcBorders>
              <w:top w:val="single" w:color="auto" w:sz="2" w:space="0"/>
              <w:left w:val="single" w:color="auto" w:sz="2" w:space="0"/>
              <w:bottom w:val="single" w:color="auto" w:sz="2" w:space="0"/>
              <w:right w:val="single" w:color="auto" w:sz="2" w:space="0"/>
            </w:tcBorders>
            <w:vAlign w:val="center"/>
          </w:tcPr>
          <w:p>
            <w:pPr>
              <w:wordWrap w:val="0"/>
              <w:spacing w:line="360" w:lineRule="auto"/>
              <w:ind w:left="-55" w:leftChars="-23" w:right="-41" w:rightChars="-17"/>
              <w:jc w:val="center"/>
              <w:rPr>
                <w:rFonts w:hint="eastAsia" w:cs="宋体"/>
                <w:szCs w:val="24"/>
              </w:rPr>
            </w:pPr>
            <w:r>
              <w:rPr>
                <w:rFonts w:hint="eastAsia" w:cs="宋体"/>
                <w:szCs w:val="24"/>
              </w:rPr>
              <w:t>3</w:t>
            </w:r>
          </w:p>
        </w:tc>
        <w:tc>
          <w:tcPr>
            <w:tcW w:w="7085" w:type="dxa"/>
            <w:tcBorders>
              <w:top w:val="single" w:color="auto" w:sz="2" w:space="0"/>
              <w:left w:val="single" w:color="auto" w:sz="2" w:space="0"/>
              <w:bottom w:val="single" w:color="auto" w:sz="2" w:space="0"/>
              <w:right w:val="single" w:color="auto" w:sz="12" w:space="0"/>
            </w:tcBorders>
            <w:vAlign w:val="center"/>
          </w:tcPr>
          <w:p>
            <w:pPr>
              <w:wordWrap w:val="0"/>
              <w:spacing w:line="360" w:lineRule="auto"/>
              <w:ind w:left="-74" w:leftChars="-31" w:right="-41" w:rightChars="-17"/>
              <w:rPr>
                <w:rFonts w:hint="eastAsia" w:cs="宋体"/>
                <w:color w:val="FF0000"/>
                <w:szCs w:val="24"/>
              </w:rPr>
            </w:pPr>
            <w:r>
              <w:rPr>
                <w:rFonts w:hint="eastAsia" w:ascii="宋体" w:hAnsi="宋体" w:eastAsia="宋体" w:cs="宋体"/>
                <w:sz w:val="24"/>
                <w:szCs w:val="24"/>
              </w:rPr>
              <w:t>投标人根据项目建设实际需要，制定</w:t>
            </w:r>
            <w:r>
              <w:rPr>
                <w:rFonts w:hint="eastAsia" w:ascii="宋体" w:hAnsi="宋体" w:eastAsia="宋体" w:cs="宋体"/>
                <w:sz w:val="24"/>
                <w:szCs w:val="24"/>
                <w:lang w:eastAsia="zh-CN"/>
              </w:rPr>
              <w:t>系统</w:t>
            </w:r>
            <w:r>
              <w:rPr>
                <w:rFonts w:hint="eastAsia" w:cs="宋体"/>
                <w:szCs w:val="24"/>
              </w:rPr>
              <w:t>实操培训方案，至少包括：①系统操作</w:t>
            </w:r>
            <w:r>
              <w:rPr>
                <w:rFonts w:hint="eastAsia" w:cs="宋体"/>
                <w:szCs w:val="24"/>
                <w:lang w:eastAsia="zh-CN"/>
              </w:rPr>
              <w:t>培训要点及培训计划；</w:t>
            </w:r>
            <w:r>
              <w:rPr>
                <w:rFonts w:hint="eastAsia" w:cs="宋体"/>
                <w:szCs w:val="24"/>
              </w:rPr>
              <w:t>②故障排除</w:t>
            </w:r>
            <w:r>
              <w:rPr>
                <w:rFonts w:hint="eastAsia" w:cs="宋体"/>
                <w:szCs w:val="24"/>
                <w:lang w:eastAsia="zh-CN"/>
              </w:rPr>
              <w:t>培训要点及培训计划；</w:t>
            </w:r>
            <w:r>
              <w:rPr>
                <w:rFonts w:hint="eastAsia" w:cs="宋体"/>
                <w:szCs w:val="24"/>
              </w:rPr>
              <w:t>③运行原理培训</w:t>
            </w:r>
            <w:r>
              <w:rPr>
                <w:rFonts w:hint="eastAsia" w:cs="宋体"/>
                <w:szCs w:val="24"/>
                <w:lang w:eastAsia="zh-CN"/>
              </w:rPr>
              <w:t>要点及培训计划</w:t>
            </w:r>
            <w:r>
              <w:rPr>
                <w:rFonts w:hint="eastAsia" w:cs="宋体"/>
                <w:szCs w:val="24"/>
              </w:rPr>
              <w:t>。以上</w:t>
            </w:r>
            <w:r>
              <w:rPr>
                <w:rFonts w:hint="eastAsia" w:cs="宋体"/>
                <w:szCs w:val="24"/>
                <w:lang w:val="en-US" w:eastAsia="zh-CN"/>
              </w:rPr>
              <w:t>3</w:t>
            </w:r>
            <w:r>
              <w:rPr>
                <w:rFonts w:hint="eastAsia" w:cs="宋体"/>
                <w:szCs w:val="24"/>
              </w:rPr>
              <w:t>项，经评审，贴切项目实际、设计合理、描述全面、逻辑清晰且有利于实现项目建设目标的，每项得</w:t>
            </w:r>
            <w:r>
              <w:rPr>
                <w:rFonts w:hint="eastAsia" w:cs="宋体"/>
                <w:szCs w:val="24"/>
                <w:lang w:val="en-US" w:eastAsia="zh-CN"/>
              </w:rPr>
              <w:t>1</w:t>
            </w:r>
            <w:r>
              <w:rPr>
                <w:rFonts w:hint="eastAsia" w:cs="宋体"/>
                <w:szCs w:val="24"/>
              </w:rPr>
              <w:t>分，否则不得分。此项最多得</w:t>
            </w:r>
            <w:r>
              <w:rPr>
                <w:rFonts w:hint="eastAsia" w:cs="宋体"/>
                <w:szCs w:val="24"/>
                <w:lang w:val="en-US" w:eastAsia="zh-CN"/>
              </w:rPr>
              <w:t>3</w:t>
            </w:r>
            <w:r>
              <w:rPr>
                <w:rFonts w:hint="eastAsia" w:cs="宋体"/>
                <w:szCs w:val="24"/>
              </w:rPr>
              <w:t>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jc w:val="center"/>
        </w:trPr>
        <w:tc>
          <w:tcPr>
            <w:tcW w:w="785" w:type="dxa"/>
            <w:tcBorders>
              <w:top w:val="single" w:color="auto" w:sz="2" w:space="0"/>
              <w:left w:val="single" w:color="auto" w:sz="12" w:space="0"/>
              <w:bottom w:val="single" w:color="auto" w:sz="12" w:space="0"/>
              <w:right w:val="single" w:color="auto" w:sz="2" w:space="0"/>
            </w:tcBorders>
            <w:vAlign w:val="center"/>
          </w:tcPr>
          <w:p>
            <w:pPr>
              <w:numPr>
                <w:ilvl w:val="0"/>
                <w:numId w:val="63"/>
              </w:numPr>
              <w:tabs>
                <w:tab w:val="left" w:pos="447"/>
              </w:tabs>
              <w:wordWrap w:val="0"/>
              <w:spacing w:line="360" w:lineRule="auto"/>
              <w:ind w:left="0" w:right="-48" w:rightChars="-20" w:firstLine="0"/>
              <w:jc w:val="center"/>
              <w:rPr>
                <w:rFonts w:hint="eastAsia" w:cs="宋体"/>
                <w:b/>
                <w:szCs w:val="24"/>
              </w:rPr>
            </w:pPr>
          </w:p>
        </w:tc>
        <w:tc>
          <w:tcPr>
            <w:tcW w:w="1151" w:type="dxa"/>
            <w:tcBorders>
              <w:top w:val="single" w:color="auto" w:sz="2" w:space="0"/>
              <w:left w:val="single" w:color="auto" w:sz="2" w:space="0"/>
              <w:bottom w:val="single" w:color="auto" w:sz="12" w:space="0"/>
              <w:right w:val="single" w:color="auto" w:sz="2" w:space="0"/>
            </w:tcBorders>
            <w:vAlign w:val="center"/>
          </w:tcPr>
          <w:p>
            <w:pPr>
              <w:wordWrap w:val="0"/>
              <w:spacing w:line="360" w:lineRule="auto"/>
              <w:ind w:left="-24" w:leftChars="-10" w:right="-24" w:rightChars="-10"/>
              <w:jc w:val="center"/>
              <w:rPr>
                <w:rFonts w:hint="eastAsia" w:cs="宋体"/>
                <w:szCs w:val="24"/>
              </w:rPr>
            </w:pPr>
            <w:r>
              <w:rPr>
                <w:rFonts w:hint="eastAsia" w:cs="宋体"/>
                <w:szCs w:val="24"/>
              </w:rPr>
              <w:t>售后服务保障</w:t>
            </w:r>
          </w:p>
        </w:tc>
        <w:tc>
          <w:tcPr>
            <w:tcW w:w="755" w:type="dxa"/>
            <w:tcBorders>
              <w:top w:val="single" w:color="auto" w:sz="2" w:space="0"/>
              <w:left w:val="single" w:color="auto" w:sz="2" w:space="0"/>
              <w:bottom w:val="single" w:color="auto" w:sz="12" w:space="0"/>
              <w:right w:val="single" w:color="auto" w:sz="2" w:space="0"/>
            </w:tcBorders>
            <w:vAlign w:val="center"/>
          </w:tcPr>
          <w:p>
            <w:pPr>
              <w:wordWrap w:val="0"/>
              <w:spacing w:line="360" w:lineRule="auto"/>
              <w:ind w:left="-55" w:leftChars="-23" w:right="-41" w:rightChars="-17"/>
              <w:jc w:val="center"/>
              <w:rPr>
                <w:rFonts w:hint="eastAsia" w:cs="宋体"/>
                <w:szCs w:val="24"/>
              </w:rPr>
            </w:pPr>
            <w:r>
              <w:rPr>
                <w:rFonts w:cs="宋体"/>
                <w:szCs w:val="24"/>
              </w:rPr>
              <w:t>3</w:t>
            </w:r>
          </w:p>
        </w:tc>
        <w:tc>
          <w:tcPr>
            <w:tcW w:w="7085" w:type="dxa"/>
            <w:tcBorders>
              <w:top w:val="single" w:color="auto" w:sz="2" w:space="0"/>
              <w:left w:val="single" w:color="auto" w:sz="2" w:space="0"/>
              <w:bottom w:val="single" w:color="auto" w:sz="12" w:space="0"/>
              <w:right w:val="single" w:color="auto" w:sz="12" w:space="0"/>
            </w:tcBorders>
            <w:vAlign w:val="center"/>
          </w:tcPr>
          <w:p>
            <w:pPr>
              <w:wordWrap w:val="0"/>
              <w:spacing w:line="360" w:lineRule="auto"/>
              <w:ind w:left="-74" w:leftChars="-31" w:right="-41" w:rightChars="-17"/>
              <w:rPr>
                <w:rFonts w:hint="eastAsia" w:cs="宋体"/>
                <w:szCs w:val="24"/>
              </w:rPr>
            </w:pPr>
            <w:r>
              <w:rPr>
                <w:rFonts w:hint="eastAsia" w:cs="宋体"/>
                <w:szCs w:val="24"/>
              </w:rPr>
              <w:t>投标人根据项目建设实际需要，制定售后服务保障方案，至少包括：①售后服务组织架构及人员配置；②售后服务人员职责分工及服务计划；③服务响应方案</w:t>
            </w:r>
            <w:r>
              <w:rPr>
                <w:rFonts w:hint="eastAsia" w:cs="宋体"/>
                <w:szCs w:val="24"/>
                <w:lang w:eastAsia="zh-CN"/>
              </w:rPr>
              <w:t>及响应时间保障措施</w:t>
            </w:r>
            <w:r>
              <w:rPr>
                <w:rFonts w:hint="eastAsia" w:cs="宋体"/>
                <w:szCs w:val="24"/>
              </w:rPr>
              <w:t>；④运维质量保障措施。以上4项，经评审，贴切项目实际、设计合理、描述全面、逻辑清晰且有利于实现项目建设目标的，每项得0.</w:t>
            </w:r>
            <w:r>
              <w:rPr>
                <w:rFonts w:hint="eastAsia" w:cs="宋体"/>
                <w:szCs w:val="24"/>
                <w:lang w:val="en-US" w:eastAsia="zh-CN"/>
              </w:rPr>
              <w:t>7</w:t>
            </w:r>
            <w:r>
              <w:rPr>
                <w:rFonts w:hint="eastAsia" w:cs="宋体"/>
                <w:szCs w:val="24"/>
              </w:rPr>
              <w:t>5分，否则不得分。此项最多得</w:t>
            </w:r>
            <w:r>
              <w:rPr>
                <w:rFonts w:hint="eastAsia" w:cs="宋体"/>
                <w:szCs w:val="24"/>
                <w:lang w:val="en-US" w:eastAsia="zh-CN"/>
              </w:rPr>
              <w:t>3</w:t>
            </w:r>
            <w:r>
              <w:rPr>
                <w:rFonts w:hint="eastAsia" w:cs="宋体"/>
                <w:szCs w:val="24"/>
              </w:rPr>
              <w:t>分。</w:t>
            </w:r>
          </w:p>
        </w:tc>
      </w:tr>
    </w:tbl>
    <w:p>
      <w:pPr>
        <w:spacing w:line="360" w:lineRule="auto"/>
        <w:rPr>
          <w:rFonts w:hint="eastAsia"/>
          <w:b/>
          <w:szCs w:val="24"/>
          <w:lang w:val="zh-CN"/>
        </w:rPr>
      </w:pPr>
      <w:r>
        <w:rPr>
          <w:rFonts w:hint="eastAsia"/>
          <w:b/>
          <w:szCs w:val="24"/>
          <w:lang w:val="zh-CN"/>
        </w:rPr>
        <w:t>3.技术评分（</w:t>
      </w:r>
      <w:r>
        <w:rPr>
          <w:rFonts w:hint="eastAsia"/>
          <w:b/>
          <w:szCs w:val="24"/>
        </w:rPr>
        <w:t>64</w:t>
      </w:r>
      <w:r>
        <w:rPr>
          <w:rFonts w:hint="eastAsia"/>
          <w:b/>
          <w:szCs w:val="24"/>
          <w:lang w:val="zh-CN"/>
        </w:rPr>
        <w:t>分）</w:t>
      </w:r>
    </w:p>
    <w:tbl>
      <w:tblPr>
        <w:tblStyle w:val="29"/>
        <w:tblW w:w="978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87"/>
        <w:gridCol w:w="1136"/>
        <w:gridCol w:w="773"/>
        <w:gridCol w:w="7084"/>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87" w:type="dxa"/>
            <w:tcBorders>
              <w:tl2br w:val="nil"/>
              <w:tr2bl w:val="nil"/>
            </w:tcBorders>
            <w:shd w:val="pct10" w:color="C3BD96" w:fill="DDD9C4"/>
            <w:vAlign w:val="center"/>
          </w:tcPr>
          <w:p>
            <w:pPr>
              <w:wordWrap w:val="0"/>
              <w:spacing w:line="360" w:lineRule="auto"/>
              <w:ind w:left="-89" w:leftChars="-37" w:right="-98" w:rightChars="-41"/>
              <w:jc w:val="center"/>
              <w:rPr>
                <w:rFonts w:hint="eastAsia" w:cs="宋体"/>
                <w:b/>
                <w:szCs w:val="24"/>
              </w:rPr>
            </w:pPr>
            <w:r>
              <w:rPr>
                <w:rFonts w:hint="eastAsia" w:cs="宋体"/>
                <w:b/>
                <w:szCs w:val="24"/>
              </w:rPr>
              <w:t>序号</w:t>
            </w:r>
          </w:p>
        </w:tc>
        <w:tc>
          <w:tcPr>
            <w:tcW w:w="1136" w:type="dxa"/>
            <w:tcBorders>
              <w:tl2br w:val="nil"/>
              <w:tr2bl w:val="nil"/>
            </w:tcBorders>
            <w:shd w:val="pct10" w:color="C3BD96" w:fill="DDD9C4"/>
            <w:vAlign w:val="center"/>
          </w:tcPr>
          <w:p>
            <w:pPr>
              <w:wordWrap w:val="0"/>
              <w:spacing w:line="360" w:lineRule="auto"/>
              <w:ind w:left="-89" w:leftChars="-37" w:right="-98" w:rightChars="-41"/>
              <w:jc w:val="center"/>
              <w:rPr>
                <w:rFonts w:hint="eastAsia" w:cs="宋体"/>
                <w:b/>
                <w:szCs w:val="24"/>
              </w:rPr>
            </w:pPr>
            <w:r>
              <w:rPr>
                <w:rFonts w:hint="eastAsia" w:cs="宋体"/>
                <w:b/>
                <w:szCs w:val="24"/>
              </w:rPr>
              <w:t>评审因素</w:t>
            </w:r>
          </w:p>
        </w:tc>
        <w:tc>
          <w:tcPr>
            <w:tcW w:w="773" w:type="dxa"/>
            <w:tcBorders>
              <w:tl2br w:val="nil"/>
              <w:tr2bl w:val="nil"/>
            </w:tcBorders>
            <w:shd w:val="pct10" w:color="C3BD96" w:fill="DDD9C4"/>
            <w:vAlign w:val="center"/>
          </w:tcPr>
          <w:p>
            <w:pPr>
              <w:wordWrap w:val="0"/>
              <w:spacing w:line="360" w:lineRule="auto"/>
              <w:ind w:left="-84" w:leftChars="-35" w:right="-91" w:rightChars="-38"/>
              <w:jc w:val="center"/>
              <w:rPr>
                <w:rFonts w:hint="eastAsia" w:cs="宋体"/>
                <w:b/>
                <w:szCs w:val="24"/>
              </w:rPr>
            </w:pPr>
            <w:r>
              <w:rPr>
                <w:rFonts w:hint="eastAsia" w:cs="宋体"/>
                <w:b/>
                <w:szCs w:val="24"/>
              </w:rPr>
              <w:t>分值</w:t>
            </w:r>
          </w:p>
        </w:tc>
        <w:tc>
          <w:tcPr>
            <w:tcW w:w="7084" w:type="dxa"/>
            <w:tcBorders>
              <w:tl2br w:val="nil"/>
              <w:tr2bl w:val="nil"/>
            </w:tcBorders>
            <w:shd w:val="pct10" w:color="C3BD96" w:fill="DDD9C4"/>
            <w:vAlign w:val="center"/>
          </w:tcPr>
          <w:p>
            <w:pPr>
              <w:wordWrap w:val="0"/>
              <w:spacing w:line="360" w:lineRule="auto"/>
              <w:jc w:val="center"/>
              <w:rPr>
                <w:rFonts w:hint="eastAsia" w:cs="宋体"/>
                <w:b/>
                <w:szCs w:val="24"/>
              </w:rPr>
            </w:pPr>
            <w:r>
              <w:rPr>
                <w:rFonts w:hint="eastAsia" w:cs="宋体"/>
                <w:b/>
                <w:szCs w:val="24"/>
              </w:rPr>
              <w:t>评分标准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87" w:type="dxa"/>
            <w:tcBorders>
              <w:tl2br w:val="nil"/>
              <w:tr2bl w:val="nil"/>
            </w:tcBorders>
            <w:vAlign w:val="center"/>
          </w:tcPr>
          <w:p>
            <w:pPr>
              <w:numPr>
                <w:ilvl w:val="0"/>
                <w:numId w:val="64"/>
              </w:numPr>
              <w:tabs>
                <w:tab w:val="left" w:pos="447"/>
              </w:tabs>
              <w:wordWrap w:val="0"/>
              <w:spacing w:line="360" w:lineRule="auto"/>
              <w:ind w:left="0" w:right="-48" w:rightChars="-20" w:firstLine="0"/>
              <w:jc w:val="center"/>
              <w:rPr>
                <w:rFonts w:hint="eastAsia" w:cs="宋体"/>
                <w:b/>
                <w:szCs w:val="24"/>
              </w:rPr>
            </w:pPr>
          </w:p>
        </w:tc>
        <w:tc>
          <w:tcPr>
            <w:tcW w:w="1136" w:type="dxa"/>
            <w:tcBorders>
              <w:tl2br w:val="nil"/>
              <w:tr2bl w:val="nil"/>
            </w:tcBorders>
            <w:vAlign w:val="center"/>
          </w:tcPr>
          <w:p>
            <w:pPr>
              <w:keepNext w:val="0"/>
              <w:keepLines w:val="0"/>
              <w:suppressLineNumbers w:val="0"/>
              <w:wordWrap w:val="0"/>
              <w:spacing w:before="0" w:beforeAutospacing="0" w:after="0" w:afterAutospacing="0" w:line="360" w:lineRule="auto"/>
              <w:ind w:left="-24" w:leftChars="-10" w:right="-24" w:rightChars="-10"/>
              <w:jc w:val="center"/>
              <w:rPr>
                <w:rFonts w:hint="eastAsia" w:ascii="宋体" w:hAnsi="宋体" w:eastAsia="宋体" w:cs="宋体"/>
                <w:sz w:val="24"/>
                <w:szCs w:val="24"/>
                <w:lang w:val="en-US" w:eastAsia="zh-CN" w:bidi="ar-SA"/>
              </w:rPr>
            </w:pPr>
            <w:r>
              <w:rPr>
                <w:rFonts w:hint="eastAsia" w:cs="宋体"/>
                <w:sz w:val="24"/>
                <w:szCs w:val="24"/>
                <w:lang w:val="en-US" w:eastAsia="zh-CN"/>
              </w:rPr>
              <w:t>项目实施方案</w:t>
            </w:r>
          </w:p>
        </w:tc>
        <w:tc>
          <w:tcPr>
            <w:tcW w:w="773" w:type="dxa"/>
            <w:tcBorders>
              <w:tl2br w:val="nil"/>
              <w:tr2bl w:val="nil"/>
            </w:tcBorders>
            <w:vAlign w:val="center"/>
          </w:tcPr>
          <w:p>
            <w:pPr>
              <w:keepNext w:val="0"/>
              <w:keepLines w:val="0"/>
              <w:suppressLineNumbers w:val="0"/>
              <w:wordWrap w:val="0"/>
              <w:spacing w:before="0" w:beforeAutospacing="0" w:after="0" w:afterAutospacing="0" w:line="360" w:lineRule="auto"/>
              <w:ind w:left="-24" w:leftChars="-10" w:right="-24" w:rightChars="-10"/>
              <w:jc w:val="center"/>
              <w:rPr>
                <w:rFonts w:hint="eastAsia" w:ascii="宋体" w:hAnsi="宋体" w:eastAsia="宋体" w:cs="宋体"/>
                <w:sz w:val="24"/>
                <w:szCs w:val="24"/>
                <w:lang w:val="en-US" w:eastAsia="zh-CN" w:bidi="ar-SA"/>
              </w:rPr>
            </w:pPr>
            <w:r>
              <w:rPr>
                <w:rFonts w:hint="eastAsia" w:cs="宋体"/>
                <w:sz w:val="24"/>
                <w:szCs w:val="24"/>
                <w:lang w:val="en-US" w:eastAsia="zh-CN"/>
              </w:rPr>
              <w:t>3</w:t>
            </w:r>
          </w:p>
        </w:tc>
        <w:tc>
          <w:tcPr>
            <w:tcW w:w="7084" w:type="dxa"/>
            <w:tcBorders>
              <w:tl2br w:val="nil"/>
              <w:tr2bl w:val="nil"/>
            </w:tcBorders>
            <w:vAlign w:val="center"/>
          </w:tcPr>
          <w:p>
            <w:pPr>
              <w:keepNext w:val="0"/>
              <w:keepLines w:val="0"/>
              <w:suppressLineNumbers w:val="0"/>
              <w:wordWrap w:val="0"/>
              <w:spacing w:before="0" w:beforeAutospacing="0" w:after="0" w:afterAutospacing="0" w:line="360" w:lineRule="auto"/>
              <w:ind w:left="0" w:leftChars="0" w:right="-24" w:rightChars="-10"/>
              <w:rPr>
                <w:rFonts w:hint="eastAsia" w:ascii="宋体" w:hAnsi="宋体" w:eastAsia="宋体" w:cs="宋体"/>
                <w:sz w:val="24"/>
                <w:szCs w:val="24"/>
                <w:lang w:val="en-US" w:eastAsia="zh-CN" w:bidi="ar-SA"/>
              </w:rPr>
            </w:pPr>
            <w:r>
              <w:rPr>
                <w:rFonts w:hint="eastAsia" w:ascii="宋体" w:hAnsi="宋体" w:eastAsia="宋体" w:cs="宋体"/>
                <w:sz w:val="24"/>
                <w:szCs w:val="24"/>
              </w:rPr>
              <w:t>投标人根据项目建设实际需要，制定</w:t>
            </w:r>
            <w:r>
              <w:rPr>
                <w:rFonts w:hint="eastAsia" w:ascii="宋体" w:hAnsi="宋体" w:eastAsia="宋体" w:cs="宋体"/>
                <w:sz w:val="24"/>
                <w:szCs w:val="24"/>
                <w:lang w:eastAsia="zh-CN"/>
              </w:rPr>
              <w:t>项目</w:t>
            </w:r>
            <w:r>
              <w:rPr>
                <w:rFonts w:hint="eastAsia" w:ascii="宋体" w:hAnsi="宋体" w:eastAsia="宋体" w:cs="宋体"/>
                <w:sz w:val="24"/>
                <w:szCs w:val="24"/>
              </w:rPr>
              <w:t>实施组织方案，至少包括：①组织管理架构；②进度计划安排；③文档管理措施</w:t>
            </w:r>
            <w:r>
              <w:rPr>
                <w:rFonts w:hint="eastAsia" w:cs="宋体"/>
                <w:sz w:val="24"/>
                <w:szCs w:val="24"/>
                <w:lang w:eastAsia="zh-CN"/>
              </w:rPr>
              <w:t>；</w:t>
            </w:r>
            <w:r>
              <w:rPr>
                <w:rFonts w:hint="eastAsia" w:ascii="宋体" w:hAnsi="宋体" w:eastAsia="宋体" w:cs="宋体"/>
                <w:sz w:val="24"/>
                <w:szCs w:val="24"/>
              </w:rPr>
              <w:t>④质量管理措施；⑤风险控制管理。以上</w:t>
            </w:r>
            <w:r>
              <w:rPr>
                <w:rFonts w:hint="eastAsia" w:cs="宋体"/>
                <w:sz w:val="24"/>
                <w:szCs w:val="24"/>
                <w:lang w:val="en-US" w:eastAsia="zh-CN"/>
              </w:rPr>
              <w:t>5</w:t>
            </w:r>
            <w:r>
              <w:rPr>
                <w:rFonts w:hint="eastAsia" w:ascii="宋体" w:hAnsi="宋体" w:eastAsia="宋体" w:cs="宋体"/>
                <w:sz w:val="24"/>
                <w:szCs w:val="24"/>
              </w:rPr>
              <w:t>项，经评审，贴切项目实际、描述全面、设计合理、逻辑清晰且有利于实现项目建设目标的，每项得0.</w:t>
            </w:r>
            <w:r>
              <w:rPr>
                <w:rFonts w:hint="eastAsia" w:cs="宋体"/>
                <w:sz w:val="24"/>
                <w:szCs w:val="24"/>
                <w:lang w:val="en-US" w:eastAsia="zh-CN"/>
              </w:rPr>
              <w:t>6</w:t>
            </w:r>
            <w:r>
              <w:rPr>
                <w:rFonts w:hint="eastAsia" w:ascii="宋体" w:hAnsi="宋体" w:eastAsia="宋体" w:cs="宋体"/>
                <w:sz w:val="24"/>
                <w:szCs w:val="24"/>
              </w:rPr>
              <w:t>分，否则不得分。此项最多得</w:t>
            </w:r>
            <w:r>
              <w:rPr>
                <w:rFonts w:hint="eastAsia" w:cs="宋体"/>
                <w:sz w:val="24"/>
                <w:szCs w:val="24"/>
                <w:lang w:val="en-US" w:eastAsia="zh-CN"/>
              </w:rPr>
              <w:t>3</w:t>
            </w:r>
            <w:r>
              <w:rPr>
                <w:rFonts w:hint="eastAsia" w:ascii="宋体" w:hAnsi="宋体" w:eastAsia="宋体" w:cs="宋体"/>
                <w:sz w:val="24"/>
                <w:szCs w:val="24"/>
              </w:rPr>
              <w:t>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87" w:type="dxa"/>
            <w:tcBorders>
              <w:tl2br w:val="nil"/>
              <w:tr2bl w:val="nil"/>
            </w:tcBorders>
            <w:vAlign w:val="center"/>
          </w:tcPr>
          <w:p>
            <w:pPr>
              <w:numPr>
                <w:ilvl w:val="0"/>
                <w:numId w:val="64"/>
              </w:numPr>
              <w:tabs>
                <w:tab w:val="left" w:pos="447"/>
              </w:tabs>
              <w:wordWrap w:val="0"/>
              <w:spacing w:line="360" w:lineRule="auto"/>
              <w:ind w:left="0" w:right="-48" w:rightChars="-20" w:firstLine="0"/>
              <w:jc w:val="center"/>
              <w:rPr>
                <w:rFonts w:hint="eastAsia" w:cs="宋体"/>
                <w:b/>
                <w:szCs w:val="24"/>
              </w:rPr>
            </w:pPr>
          </w:p>
        </w:tc>
        <w:tc>
          <w:tcPr>
            <w:tcW w:w="1136" w:type="dxa"/>
            <w:tcBorders>
              <w:tl2br w:val="nil"/>
              <w:tr2bl w:val="nil"/>
            </w:tcBorders>
            <w:vAlign w:val="center"/>
          </w:tcPr>
          <w:p>
            <w:pPr>
              <w:wordWrap w:val="0"/>
              <w:spacing w:line="360" w:lineRule="auto"/>
              <w:ind w:left="-24" w:leftChars="-10" w:right="-24" w:rightChars="-10"/>
              <w:jc w:val="center"/>
              <w:rPr>
                <w:rFonts w:hint="eastAsia" w:cs="宋体"/>
                <w:szCs w:val="24"/>
              </w:rPr>
            </w:pPr>
            <w:r>
              <w:rPr>
                <w:rFonts w:hint="eastAsia" w:cs="宋体"/>
                <w:szCs w:val="24"/>
              </w:rPr>
              <w:t>技术参数响应</w:t>
            </w:r>
          </w:p>
        </w:tc>
        <w:tc>
          <w:tcPr>
            <w:tcW w:w="773" w:type="dxa"/>
            <w:tcBorders>
              <w:tl2br w:val="nil"/>
              <w:tr2bl w:val="nil"/>
            </w:tcBorders>
            <w:vAlign w:val="center"/>
          </w:tcPr>
          <w:p>
            <w:pPr>
              <w:wordWrap w:val="0"/>
              <w:spacing w:line="360" w:lineRule="auto"/>
              <w:ind w:left="-24" w:leftChars="-10" w:right="-24" w:rightChars="-10"/>
              <w:jc w:val="center"/>
              <w:rPr>
                <w:rFonts w:hint="eastAsia" w:cs="宋体"/>
                <w:szCs w:val="24"/>
              </w:rPr>
            </w:pPr>
            <w:r>
              <w:rPr>
                <w:rFonts w:cs="宋体"/>
                <w:szCs w:val="24"/>
              </w:rPr>
              <w:t>20</w:t>
            </w:r>
          </w:p>
        </w:tc>
        <w:tc>
          <w:tcPr>
            <w:tcW w:w="7084" w:type="dxa"/>
            <w:tcBorders>
              <w:tl2br w:val="nil"/>
              <w:tr2bl w:val="nil"/>
            </w:tcBorders>
            <w:vAlign w:val="center"/>
          </w:tcPr>
          <w:p>
            <w:pPr>
              <w:wordWrap w:val="0"/>
              <w:spacing w:line="360" w:lineRule="auto"/>
              <w:ind w:left="-24" w:leftChars="-10" w:right="-24" w:rightChars="-10"/>
              <w:rPr>
                <w:rFonts w:hint="eastAsia" w:cs="宋体"/>
                <w:szCs w:val="24"/>
              </w:rPr>
            </w:pPr>
            <w:r>
              <w:rPr>
                <w:rFonts w:hint="eastAsia" w:cs="宋体"/>
                <w:szCs w:val="24"/>
              </w:rPr>
              <w:t>根据所投产品技术响应满足采购文件第三章技术参数要求情况进行评分，带“▲”项参数指标（共</w:t>
            </w:r>
            <w:r>
              <w:rPr>
                <w:rFonts w:cs="宋体"/>
                <w:szCs w:val="24"/>
              </w:rPr>
              <w:t>20</w:t>
            </w:r>
            <w:r>
              <w:rPr>
                <w:rFonts w:hint="eastAsia" w:cs="宋体"/>
                <w:szCs w:val="24"/>
              </w:rPr>
              <w:t>项）每满足一个得</w:t>
            </w:r>
            <w:r>
              <w:rPr>
                <w:rFonts w:cs="宋体"/>
                <w:szCs w:val="24"/>
              </w:rPr>
              <w:t>1</w:t>
            </w:r>
            <w:r>
              <w:rPr>
                <w:rFonts w:hint="eastAsia" w:cs="宋体"/>
                <w:szCs w:val="24"/>
              </w:rPr>
              <w:t>分，本项最多得</w:t>
            </w:r>
            <w:r>
              <w:rPr>
                <w:rFonts w:cs="宋体"/>
                <w:szCs w:val="24"/>
              </w:rPr>
              <w:t>20</w:t>
            </w:r>
            <w:r>
              <w:rPr>
                <w:rFonts w:hint="eastAsia" w:cs="宋体"/>
                <w:szCs w:val="24"/>
              </w:rPr>
              <w:t>分。</w:t>
            </w:r>
            <w:r>
              <w:rPr>
                <w:rFonts w:hint="eastAsia" w:cs="宋体"/>
                <w:szCs w:val="24"/>
                <w:lang w:eastAsia="zh-CN"/>
              </w:rPr>
              <w:t>注：每项参数指标需提供设计方案（至少包括：①建设思路与原则；②系统模块功能说明；③模块功能结构图；④业务流程图），经评审满足要求的得分，不满足要求的不得分。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87" w:type="dxa"/>
            <w:vMerge w:val="restart"/>
            <w:tcBorders>
              <w:tl2br w:val="nil"/>
              <w:tr2bl w:val="nil"/>
            </w:tcBorders>
            <w:vAlign w:val="center"/>
          </w:tcPr>
          <w:p>
            <w:pPr>
              <w:numPr>
                <w:ilvl w:val="0"/>
                <w:numId w:val="64"/>
              </w:numPr>
              <w:tabs>
                <w:tab w:val="left" w:pos="447"/>
              </w:tabs>
              <w:wordWrap w:val="0"/>
              <w:spacing w:line="360" w:lineRule="auto"/>
              <w:ind w:left="0" w:right="-48" w:rightChars="-20" w:firstLine="0"/>
              <w:jc w:val="center"/>
              <w:rPr>
                <w:rFonts w:hint="eastAsia" w:cs="宋体"/>
                <w:b/>
                <w:szCs w:val="24"/>
              </w:rPr>
            </w:pPr>
          </w:p>
        </w:tc>
        <w:tc>
          <w:tcPr>
            <w:tcW w:w="1136" w:type="dxa"/>
            <w:vMerge w:val="restart"/>
            <w:tcBorders>
              <w:tl2br w:val="nil"/>
              <w:tr2bl w:val="nil"/>
            </w:tcBorders>
            <w:vAlign w:val="center"/>
          </w:tcPr>
          <w:p>
            <w:pPr>
              <w:wordWrap w:val="0"/>
              <w:spacing w:line="360" w:lineRule="auto"/>
              <w:ind w:left="-24" w:leftChars="-10" w:right="-24" w:rightChars="-10"/>
              <w:jc w:val="center"/>
              <w:rPr>
                <w:rFonts w:hint="eastAsia" w:eastAsia="宋体" w:cs="宋体"/>
                <w:szCs w:val="24"/>
                <w:lang w:eastAsia="zh-CN"/>
              </w:rPr>
            </w:pPr>
            <w:r>
              <w:rPr>
                <w:rFonts w:hint="eastAsia" w:cs="宋体"/>
                <w:szCs w:val="24"/>
                <w:lang w:eastAsia="zh-CN"/>
              </w:rPr>
              <w:t>功能演示</w:t>
            </w:r>
          </w:p>
        </w:tc>
        <w:tc>
          <w:tcPr>
            <w:tcW w:w="773" w:type="dxa"/>
            <w:tcBorders>
              <w:tl2br w:val="nil"/>
              <w:tr2bl w:val="nil"/>
            </w:tcBorders>
            <w:vAlign w:val="center"/>
          </w:tcPr>
          <w:p>
            <w:pPr>
              <w:wordWrap w:val="0"/>
              <w:spacing w:line="360" w:lineRule="auto"/>
              <w:ind w:left="-24" w:leftChars="-10" w:right="-24" w:rightChars="-10"/>
              <w:jc w:val="center"/>
              <w:rPr>
                <w:rFonts w:hint="eastAsia" w:eastAsia="宋体" w:cs="宋体"/>
                <w:szCs w:val="24"/>
                <w:lang w:val="en-US" w:eastAsia="zh-CN"/>
              </w:rPr>
            </w:pPr>
            <w:r>
              <w:rPr>
                <w:rFonts w:hint="eastAsia" w:cs="宋体"/>
                <w:szCs w:val="24"/>
                <w:lang w:val="en-US" w:eastAsia="zh-CN"/>
              </w:rPr>
              <w:t>5</w:t>
            </w:r>
          </w:p>
        </w:tc>
        <w:tc>
          <w:tcPr>
            <w:tcW w:w="7084" w:type="dxa"/>
            <w:tcBorders>
              <w:tl2br w:val="nil"/>
              <w:tr2bl w:val="nil"/>
            </w:tcBorders>
            <w:vAlign w:val="center"/>
          </w:tcPr>
          <w:p>
            <w:pPr>
              <w:wordWrap w:val="0"/>
              <w:spacing w:line="360" w:lineRule="auto"/>
              <w:ind w:left="-24" w:leftChars="-10" w:right="-24" w:rightChars="-10"/>
              <w:rPr>
                <w:rFonts w:hint="eastAsia" w:eastAsia="宋体" w:cs="宋体"/>
                <w:szCs w:val="24"/>
                <w:lang w:eastAsia="zh-CN"/>
              </w:rPr>
            </w:pPr>
            <w:r>
              <w:rPr>
                <w:rFonts w:cs="宋体"/>
                <w:szCs w:val="24"/>
              </w:rPr>
              <w:t>1</w:t>
            </w:r>
            <w:r>
              <w:rPr>
                <w:rFonts w:hint="eastAsia" w:cs="宋体"/>
                <w:szCs w:val="24"/>
                <w:lang w:val="en-US" w:eastAsia="zh-CN"/>
              </w:rPr>
              <w:t>.</w:t>
            </w:r>
            <w:r>
              <w:rPr>
                <w:rFonts w:hint="eastAsia" w:cs="宋体"/>
                <w:szCs w:val="24"/>
              </w:rPr>
              <w:t>系统在非</w:t>
            </w:r>
            <w:r>
              <w:rPr>
                <w:rFonts w:cs="宋体"/>
                <w:szCs w:val="24"/>
              </w:rPr>
              <w:t>WINDOWS操作系统</w:t>
            </w:r>
            <w:r>
              <w:rPr>
                <w:rFonts w:hint="eastAsia" w:cs="宋体"/>
                <w:szCs w:val="24"/>
                <w:lang w:eastAsia="zh-CN"/>
              </w:rPr>
              <w:t>（</w:t>
            </w:r>
            <w:r>
              <w:rPr>
                <w:rFonts w:cs="宋体"/>
                <w:szCs w:val="24"/>
              </w:rPr>
              <w:t>同一登录界面</w:t>
            </w:r>
            <w:r>
              <w:rPr>
                <w:rFonts w:hint="eastAsia" w:cs="宋体"/>
                <w:szCs w:val="24"/>
                <w:lang w:eastAsia="zh-CN"/>
              </w:rPr>
              <w:t>）</w:t>
            </w:r>
            <w:r>
              <w:rPr>
                <w:rFonts w:cs="宋体"/>
                <w:szCs w:val="24"/>
              </w:rPr>
              <w:t>可运行</w:t>
            </w:r>
            <w:r>
              <w:rPr>
                <w:rFonts w:hint="eastAsia" w:cs="宋体"/>
                <w:szCs w:val="24"/>
                <w:lang w:eastAsia="zh-CN"/>
              </w:rPr>
              <w:t>：</w:t>
            </w:r>
            <w:r>
              <w:rPr>
                <w:rFonts w:hint="eastAsia" w:ascii="宋体" w:hAnsi="宋体" w:eastAsia="宋体" w:cs="宋体"/>
                <w:szCs w:val="24"/>
                <w:lang w:eastAsia="zh-CN"/>
              </w:rPr>
              <w:t>①</w:t>
            </w:r>
            <w:r>
              <w:rPr>
                <w:rFonts w:cs="宋体"/>
                <w:szCs w:val="24"/>
              </w:rPr>
              <w:t>门诊收费</w:t>
            </w:r>
            <w:r>
              <w:rPr>
                <w:rFonts w:hint="eastAsia" w:cs="宋体"/>
                <w:szCs w:val="24"/>
                <w:lang w:eastAsia="zh-CN"/>
              </w:rPr>
              <w:t>；</w:t>
            </w:r>
            <w:r>
              <w:rPr>
                <w:rFonts w:hint="eastAsia" w:ascii="宋体" w:hAnsi="宋体" w:eastAsia="宋体" w:cs="宋体"/>
                <w:szCs w:val="24"/>
                <w:lang w:eastAsia="zh-CN"/>
              </w:rPr>
              <w:t>②</w:t>
            </w:r>
            <w:r>
              <w:rPr>
                <w:rFonts w:cs="宋体"/>
                <w:szCs w:val="24"/>
              </w:rPr>
              <w:t>住院结算</w:t>
            </w:r>
            <w:r>
              <w:rPr>
                <w:rFonts w:hint="eastAsia" w:cs="宋体"/>
                <w:szCs w:val="24"/>
                <w:lang w:eastAsia="zh-CN"/>
              </w:rPr>
              <w:t>；</w:t>
            </w:r>
            <w:r>
              <w:rPr>
                <w:rFonts w:hint="eastAsia" w:ascii="宋体" w:hAnsi="宋体" w:eastAsia="宋体" w:cs="宋体"/>
                <w:szCs w:val="24"/>
                <w:lang w:eastAsia="zh-CN"/>
              </w:rPr>
              <w:t>③</w:t>
            </w:r>
            <w:r>
              <w:rPr>
                <w:rFonts w:cs="宋体"/>
                <w:szCs w:val="24"/>
              </w:rPr>
              <w:t>医师系统</w:t>
            </w:r>
            <w:r>
              <w:rPr>
                <w:rFonts w:hint="eastAsia" w:cs="宋体"/>
                <w:szCs w:val="24"/>
                <w:lang w:eastAsia="zh-CN"/>
              </w:rPr>
              <w:t>；</w:t>
            </w:r>
            <w:r>
              <w:rPr>
                <w:rFonts w:hint="eastAsia" w:ascii="宋体" w:hAnsi="宋体" w:eastAsia="宋体" w:cs="宋体"/>
                <w:szCs w:val="24"/>
                <w:lang w:eastAsia="zh-CN"/>
              </w:rPr>
              <w:t>④</w:t>
            </w:r>
            <w:r>
              <w:rPr>
                <w:rFonts w:cs="宋体"/>
                <w:szCs w:val="24"/>
              </w:rPr>
              <w:t>护理系统</w:t>
            </w:r>
            <w:r>
              <w:rPr>
                <w:rFonts w:hint="eastAsia" w:cs="宋体"/>
                <w:szCs w:val="24"/>
                <w:lang w:eastAsia="zh-CN"/>
              </w:rPr>
              <w:t>；</w:t>
            </w:r>
            <w:r>
              <w:rPr>
                <w:rFonts w:hint="eastAsia" w:ascii="宋体" w:hAnsi="宋体" w:eastAsia="宋体" w:cs="宋体"/>
                <w:szCs w:val="24"/>
                <w:lang w:eastAsia="zh-CN"/>
              </w:rPr>
              <w:t>⑤</w:t>
            </w:r>
            <w:r>
              <w:rPr>
                <w:rFonts w:cs="宋体"/>
                <w:szCs w:val="24"/>
              </w:rPr>
              <w:t>PACS</w:t>
            </w:r>
            <w:r>
              <w:rPr>
                <w:rFonts w:hint="eastAsia" w:cs="宋体"/>
                <w:szCs w:val="24"/>
                <w:lang w:eastAsia="zh-CN"/>
              </w:rPr>
              <w:t>；</w:t>
            </w:r>
            <w:r>
              <w:rPr>
                <w:rFonts w:hint="eastAsia" w:ascii="宋体" w:hAnsi="宋体" w:eastAsia="宋体" w:cs="宋体"/>
                <w:szCs w:val="24"/>
                <w:lang w:eastAsia="zh-CN"/>
              </w:rPr>
              <w:t>⑥</w:t>
            </w:r>
            <w:r>
              <w:rPr>
                <w:rFonts w:cs="宋体"/>
                <w:szCs w:val="24"/>
              </w:rPr>
              <w:t>LIS</w:t>
            </w:r>
            <w:r>
              <w:rPr>
                <w:rFonts w:hint="eastAsia" w:cs="宋体"/>
                <w:szCs w:val="24"/>
                <w:lang w:eastAsia="zh-CN"/>
              </w:rPr>
              <w:t>；</w:t>
            </w:r>
            <w:r>
              <w:rPr>
                <w:rFonts w:hint="eastAsia" w:ascii="宋体" w:hAnsi="宋体" w:eastAsia="宋体" w:cs="宋体"/>
                <w:szCs w:val="24"/>
              </w:rPr>
              <w:t>⑦</w:t>
            </w:r>
            <w:r>
              <w:rPr>
                <w:rFonts w:cs="宋体"/>
                <w:szCs w:val="24"/>
              </w:rPr>
              <w:t>电子病历系统</w:t>
            </w:r>
            <w:r>
              <w:rPr>
                <w:rFonts w:hint="eastAsia" w:cs="宋体"/>
                <w:szCs w:val="24"/>
                <w:lang w:eastAsia="zh-CN"/>
              </w:rPr>
              <w:t>；</w:t>
            </w:r>
            <w:r>
              <w:rPr>
                <w:rFonts w:hint="eastAsia" w:ascii="宋体" w:hAnsi="宋体" w:eastAsia="宋体" w:cs="宋体"/>
                <w:szCs w:val="24"/>
              </w:rPr>
              <w:t>⑧</w:t>
            </w:r>
            <w:r>
              <w:rPr>
                <w:rFonts w:cs="宋体"/>
                <w:szCs w:val="24"/>
              </w:rPr>
              <w:t>心电系统。</w:t>
            </w:r>
            <w:r>
              <w:rPr>
                <w:rFonts w:hint="eastAsia" w:cs="宋体"/>
                <w:szCs w:val="24"/>
              </w:rPr>
              <w:t>经</w:t>
            </w:r>
            <w:r>
              <w:rPr>
                <w:rFonts w:cs="宋体"/>
                <w:szCs w:val="24"/>
              </w:rPr>
              <w:t>评审，</w:t>
            </w:r>
            <w:r>
              <w:rPr>
                <w:rFonts w:hint="eastAsia" w:cs="宋体"/>
                <w:szCs w:val="24"/>
              </w:rPr>
              <w:t>以</w:t>
            </w:r>
            <w:r>
              <w:rPr>
                <w:rFonts w:cs="宋体"/>
                <w:szCs w:val="24"/>
              </w:rPr>
              <w:t>上功能</w:t>
            </w:r>
            <w:r>
              <w:rPr>
                <w:rFonts w:hint="eastAsia" w:cs="宋体"/>
                <w:szCs w:val="24"/>
                <w:lang w:eastAsia="zh-CN"/>
              </w:rPr>
              <w:t>任意</w:t>
            </w:r>
            <w:r>
              <w:rPr>
                <w:rFonts w:hint="eastAsia" w:cs="宋体"/>
                <w:szCs w:val="24"/>
              </w:rPr>
              <w:t>满足一项得</w:t>
            </w:r>
            <w:r>
              <w:rPr>
                <w:rFonts w:cs="宋体"/>
                <w:szCs w:val="24"/>
              </w:rPr>
              <w:t>1</w:t>
            </w:r>
            <w:r>
              <w:rPr>
                <w:rFonts w:hint="eastAsia" w:cs="宋体"/>
                <w:szCs w:val="24"/>
              </w:rPr>
              <w:t>分，否则</w:t>
            </w:r>
            <w:r>
              <w:rPr>
                <w:rFonts w:cs="宋体"/>
                <w:szCs w:val="24"/>
              </w:rPr>
              <w:t>不得分</w:t>
            </w:r>
            <w:r>
              <w:rPr>
                <w:rFonts w:hint="eastAsia" w:cs="宋体"/>
                <w:szCs w:val="24"/>
              </w:rPr>
              <w:t>，本项最多得</w:t>
            </w:r>
            <w:r>
              <w:rPr>
                <w:rFonts w:cs="宋体"/>
                <w:szCs w:val="24"/>
              </w:rPr>
              <w:t>5</w:t>
            </w:r>
            <w:r>
              <w:rPr>
                <w:rFonts w:hint="eastAsia" w:cs="宋体"/>
                <w:szCs w:val="24"/>
              </w:rPr>
              <w:t>分。</w:t>
            </w:r>
            <w:r>
              <w:rPr>
                <w:rFonts w:hint="eastAsia" w:cs="宋体"/>
                <w:szCs w:val="24"/>
                <w:lang w:eastAsia="zh-CN"/>
              </w:rPr>
              <w:t>注：进行线上远程演示，</w:t>
            </w:r>
            <w:r>
              <w:rPr>
                <w:rFonts w:hint="eastAsia" w:ascii="宋体" w:hAnsi="宋体" w:eastAsia="宋体" w:cs="宋体"/>
                <w:sz w:val="24"/>
                <w:szCs w:val="24"/>
                <w:lang w:val="en-US" w:eastAsia="zh-CN" w:bidi="ar-SA"/>
              </w:rPr>
              <w:t>投标人在拟投平台（系统）部署的计算机上进行操作演示、或录制操作视频播放的方式进行远程演示。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87" w:type="dxa"/>
            <w:vMerge w:val="continue"/>
            <w:tcBorders>
              <w:tl2br w:val="nil"/>
              <w:tr2bl w:val="nil"/>
            </w:tcBorders>
            <w:vAlign w:val="center"/>
          </w:tcPr>
          <w:p>
            <w:pPr>
              <w:numPr>
                <w:ilvl w:val="0"/>
                <w:numId w:val="64"/>
              </w:numPr>
              <w:tabs>
                <w:tab w:val="left" w:pos="447"/>
              </w:tabs>
              <w:wordWrap w:val="0"/>
              <w:spacing w:line="360" w:lineRule="auto"/>
              <w:ind w:left="0" w:right="-48" w:rightChars="-20" w:firstLine="0"/>
              <w:jc w:val="center"/>
              <w:rPr>
                <w:rFonts w:hint="eastAsia" w:cs="宋体"/>
                <w:b/>
                <w:szCs w:val="24"/>
              </w:rPr>
            </w:pPr>
          </w:p>
        </w:tc>
        <w:tc>
          <w:tcPr>
            <w:tcW w:w="1136" w:type="dxa"/>
            <w:vMerge w:val="continue"/>
            <w:tcBorders>
              <w:tl2br w:val="nil"/>
              <w:tr2bl w:val="nil"/>
            </w:tcBorders>
            <w:vAlign w:val="center"/>
          </w:tcPr>
          <w:p>
            <w:pPr>
              <w:wordWrap w:val="0"/>
              <w:spacing w:line="360" w:lineRule="auto"/>
              <w:ind w:left="-24" w:leftChars="-10" w:right="-24" w:rightChars="-10"/>
              <w:jc w:val="center"/>
              <w:rPr>
                <w:rFonts w:hint="eastAsia" w:cs="宋体"/>
                <w:szCs w:val="24"/>
              </w:rPr>
            </w:pPr>
          </w:p>
        </w:tc>
        <w:tc>
          <w:tcPr>
            <w:tcW w:w="773" w:type="dxa"/>
            <w:tcBorders>
              <w:tl2br w:val="nil"/>
              <w:tr2bl w:val="nil"/>
            </w:tcBorders>
            <w:vAlign w:val="center"/>
          </w:tcPr>
          <w:p>
            <w:pPr>
              <w:wordWrap w:val="0"/>
              <w:spacing w:line="360" w:lineRule="auto"/>
              <w:ind w:left="-24" w:leftChars="-10" w:right="-24" w:rightChars="-10"/>
              <w:jc w:val="center"/>
              <w:rPr>
                <w:rFonts w:hint="eastAsia" w:cs="宋体"/>
                <w:szCs w:val="24"/>
              </w:rPr>
            </w:pPr>
            <w:r>
              <w:rPr>
                <w:rFonts w:hint="eastAsia" w:cs="宋体"/>
                <w:szCs w:val="24"/>
              </w:rPr>
              <w:t>6</w:t>
            </w:r>
          </w:p>
        </w:tc>
        <w:tc>
          <w:tcPr>
            <w:tcW w:w="7084" w:type="dxa"/>
            <w:tcBorders>
              <w:tl2br w:val="nil"/>
              <w:tr2bl w:val="nil"/>
            </w:tcBorders>
            <w:vAlign w:val="center"/>
          </w:tcPr>
          <w:p>
            <w:pPr>
              <w:wordWrap w:val="0"/>
              <w:spacing w:line="360" w:lineRule="auto"/>
              <w:ind w:left="-24" w:leftChars="-10" w:right="-24" w:rightChars="-10"/>
              <w:rPr>
                <w:rFonts w:cs="宋体"/>
                <w:szCs w:val="24"/>
              </w:rPr>
            </w:pPr>
            <w:r>
              <w:rPr>
                <w:rFonts w:cs="宋体"/>
                <w:szCs w:val="24"/>
              </w:rPr>
              <w:t>2</w:t>
            </w:r>
            <w:r>
              <w:rPr>
                <w:rFonts w:hint="eastAsia" w:cs="宋体"/>
                <w:szCs w:val="24"/>
                <w:lang w:val="en-US" w:eastAsia="zh-CN"/>
              </w:rPr>
              <w:t>.</w:t>
            </w:r>
            <w:r>
              <w:rPr>
                <w:rFonts w:cs="宋体"/>
                <w:szCs w:val="24"/>
              </w:rPr>
              <w:t>集团业务</w:t>
            </w:r>
            <w:r>
              <w:rPr>
                <w:rFonts w:hint="eastAsia" w:cs="宋体"/>
                <w:szCs w:val="24"/>
                <w:lang w:eastAsia="zh-CN"/>
              </w:rPr>
              <w:t>：</w:t>
            </w:r>
            <w:r>
              <w:rPr>
                <w:rFonts w:hint="default" w:cs="宋体"/>
                <w:szCs w:val="24"/>
              </w:rPr>
              <w:t>①</w:t>
            </w:r>
            <w:r>
              <w:rPr>
                <w:rFonts w:cs="宋体"/>
                <w:szCs w:val="24"/>
              </w:rPr>
              <w:t>分层组织架构体系：三级医院、二级医院、一级医院、村卫生室（或社区服务站）组织结构登记；</w:t>
            </w:r>
            <w:r>
              <w:rPr>
                <w:rFonts w:hint="default" w:cs="宋体"/>
                <w:szCs w:val="24"/>
              </w:rPr>
              <w:t>②</w:t>
            </w:r>
            <w:r>
              <w:rPr>
                <w:rFonts w:cs="宋体"/>
                <w:szCs w:val="24"/>
              </w:rPr>
              <w:t>分层体格模板体系：各级医疗卫生机构不同的价格体系及目录、模板自定义；</w:t>
            </w:r>
            <w:r>
              <w:rPr>
                <w:rFonts w:hint="default" w:cs="宋体"/>
                <w:szCs w:val="24"/>
              </w:rPr>
              <w:t>③</w:t>
            </w:r>
            <w:r>
              <w:rPr>
                <w:rFonts w:cs="宋体"/>
                <w:szCs w:val="24"/>
              </w:rPr>
              <w:t>多中心PACS：集团内各医院可互相申请PACS阅片诊断服务（多中心）</w:t>
            </w:r>
            <w:r>
              <w:rPr>
                <w:rFonts w:hint="eastAsia" w:cs="宋体"/>
                <w:szCs w:val="24"/>
                <w:lang w:eastAsia="zh-CN"/>
              </w:rPr>
              <w:t>；</w:t>
            </w:r>
            <w:r>
              <w:rPr>
                <w:rFonts w:hint="eastAsia" w:cs="宋体"/>
                <w:szCs w:val="24"/>
              </w:rPr>
              <w:t>④</w:t>
            </w:r>
            <w:r>
              <w:rPr>
                <w:rFonts w:cs="宋体"/>
                <w:szCs w:val="24"/>
              </w:rPr>
              <w:t>多中心心电图：集团内各医院可互相申请心电图诊断服务（多中心）；</w:t>
            </w:r>
            <w:r>
              <w:rPr>
                <w:rFonts w:hint="eastAsia" w:ascii="宋体" w:hAnsi="宋体" w:eastAsia="宋体" w:cs="宋体"/>
                <w:szCs w:val="24"/>
              </w:rPr>
              <w:t>⑤</w:t>
            </w:r>
            <w:r>
              <w:rPr>
                <w:rFonts w:cs="宋体"/>
                <w:szCs w:val="24"/>
              </w:rPr>
              <w:t>多中心药品材料供应：集团各成员间可互相调拨药品材料；</w:t>
            </w:r>
            <w:r>
              <w:rPr>
                <w:rFonts w:hint="eastAsia" w:ascii="宋体" w:hAnsi="宋体" w:eastAsia="宋体" w:cs="宋体"/>
                <w:szCs w:val="24"/>
              </w:rPr>
              <w:t>⑥</w:t>
            </w:r>
            <w:r>
              <w:rPr>
                <w:rFonts w:cs="宋体"/>
                <w:szCs w:val="24"/>
              </w:rPr>
              <w:t>集团内可共享门诊及住院药房。</w:t>
            </w:r>
            <w:r>
              <w:rPr>
                <w:rFonts w:hint="eastAsia" w:cs="宋体"/>
                <w:szCs w:val="24"/>
              </w:rPr>
              <w:t>经</w:t>
            </w:r>
            <w:r>
              <w:rPr>
                <w:rFonts w:cs="宋体"/>
                <w:szCs w:val="24"/>
              </w:rPr>
              <w:t>评审，</w:t>
            </w:r>
            <w:r>
              <w:rPr>
                <w:rFonts w:hint="eastAsia" w:cs="宋体"/>
                <w:szCs w:val="24"/>
              </w:rPr>
              <w:t>以</w:t>
            </w:r>
            <w:r>
              <w:rPr>
                <w:rFonts w:cs="宋体"/>
                <w:szCs w:val="24"/>
              </w:rPr>
              <w:t>上功能</w:t>
            </w:r>
            <w:r>
              <w:rPr>
                <w:rFonts w:hint="eastAsia" w:cs="宋体"/>
                <w:szCs w:val="24"/>
              </w:rPr>
              <w:t>每满足一项得</w:t>
            </w:r>
            <w:r>
              <w:rPr>
                <w:rFonts w:cs="宋体"/>
                <w:szCs w:val="24"/>
              </w:rPr>
              <w:t>1</w:t>
            </w:r>
            <w:r>
              <w:rPr>
                <w:rFonts w:hint="eastAsia" w:cs="宋体"/>
                <w:szCs w:val="24"/>
              </w:rPr>
              <w:t>分，否则</w:t>
            </w:r>
            <w:r>
              <w:rPr>
                <w:rFonts w:cs="宋体"/>
                <w:szCs w:val="24"/>
              </w:rPr>
              <w:t>不得分</w:t>
            </w:r>
            <w:r>
              <w:rPr>
                <w:rFonts w:hint="eastAsia" w:cs="宋体"/>
                <w:szCs w:val="24"/>
              </w:rPr>
              <w:t>，本项最多得</w:t>
            </w:r>
            <w:r>
              <w:rPr>
                <w:rFonts w:cs="宋体"/>
                <w:szCs w:val="24"/>
              </w:rPr>
              <w:t>6</w:t>
            </w:r>
            <w:r>
              <w:rPr>
                <w:rFonts w:hint="eastAsia" w:cs="宋体"/>
                <w:szCs w:val="24"/>
              </w:rPr>
              <w:t>分。</w:t>
            </w:r>
            <w:r>
              <w:rPr>
                <w:rFonts w:hint="eastAsia" w:cs="宋体"/>
                <w:szCs w:val="24"/>
                <w:lang w:eastAsia="zh-CN"/>
              </w:rPr>
              <w:t>注：进行线上远程演示，</w:t>
            </w:r>
            <w:r>
              <w:rPr>
                <w:rFonts w:hint="eastAsia" w:ascii="宋体" w:hAnsi="宋体" w:eastAsia="宋体" w:cs="宋体"/>
                <w:sz w:val="24"/>
                <w:szCs w:val="24"/>
                <w:lang w:val="en-US" w:eastAsia="zh-CN" w:bidi="ar-SA"/>
              </w:rPr>
              <w:t>投标人在拟投平台（系统）部署的计算机上进行操作演示、或录制操作视频播放的方式进行远程演示。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87" w:type="dxa"/>
            <w:vMerge w:val="continue"/>
            <w:tcBorders>
              <w:tl2br w:val="nil"/>
              <w:tr2bl w:val="nil"/>
            </w:tcBorders>
            <w:vAlign w:val="center"/>
          </w:tcPr>
          <w:p>
            <w:pPr>
              <w:numPr>
                <w:ilvl w:val="0"/>
                <w:numId w:val="64"/>
              </w:numPr>
              <w:tabs>
                <w:tab w:val="left" w:pos="447"/>
              </w:tabs>
              <w:wordWrap w:val="0"/>
              <w:spacing w:line="360" w:lineRule="auto"/>
              <w:ind w:left="0" w:right="-48" w:rightChars="-20" w:firstLine="0"/>
              <w:jc w:val="center"/>
              <w:rPr>
                <w:rFonts w:hint="eastAsia" w:cs="宋体"/>
                <w:b/>
                <w:szCs w:val="24"/>
              </w:rPr>
            </w:pPr>
          </w:p>
        </w:tc>
        <w:tc>
          <w:tcPr>
            <w:tcW w:w="1136" w:type="dxa"/>
            <w:vMerge w:val="continue"/>
            <w:tcBorders>
              <w:tl2br w:val="nil"/>
              <w:tr2bl w:val="nil"/>
            </w:tcBorders>
            <w:vAlign w:val="center"/>
          </w:tcPr>
          <w:p>
            <w:pPr>
              <w:wordWrap w:val="0"/>
              <w:spacing w:line="360" w:lineRule="auto"/>
              <w:ind w:left="-24" w:leftChars="-10" w:right="-24" w:rightChars="-10"/>
              <w:jc w:val="center"/>
              <w:rPr>
                <w:rFonts w:hint="eastAsia" w:cs="宋体"/>
                <w:szCs w:val="24"/>
              </w:rPr>
            </w:pPr>
          </w:p>
        </w:tc>
        <w:tc>
          <w:tcPr>
            <w:tcW w:w="773" w:type="dxa"/>
            <w:tcBorders>
              <w:tl2br w:val="nil"/>
              <w:tr2bl w:val="nil"/>
            </w:tcBorders>
            <w:vAlign w:val="center"/>
          </w:tcPr>
          <w:p>
            <w:pPr>
              <w:wordWrap w:val="0"/>
              <w:spacing w:line="360" w:lineRule="auto"/>
              <w:ind w:left="-24" w:leftChars="-10" w:right="-24" w:rightChars="-10"/>
              <w:jc w:val="center"/>
              <w:rPr>
                <w:rFonts w:hint="eastAsia" w:cs="宋体"/>
                <w:szCs w:val="24"/>
              </w:rPr>
            </w:pPr>
            <w:r>
              <w:rPr>
                <w:rFonts w:hint="eastAsia" w:cs="宋体"/>
                <w:szCs w:val="24"/>
              </w:rPr>
              <w:t>4</w:t>
            </w:r>
          </w:p>
        </w:tc>
        <w:tc>
          <w:tcPr>
            <w:tcW w:w="7084" w:type="dxa"/>
            <w:tcBorders>
              <w:tl2br w:val="nil"/>
              <w:tr2bl w:val="nil"/>
            </w:tcBorders>
            <w:vAlign w:val="center"/>
          </w:tcPr>
          <w:p>
            <w:pPr>
              <w:wordWrap w:val="0"/>
              <w:spacing w:line="360" w:lineRule="auto"/>
              <w:ind w:left="-24" w:leftChars="-10" w:right="-24" w:rightChars="-10"/>
              <w:rPr>
                <w:rFonts w:hint="eastAsia" w:cs="宋体"/>
                <w:szCs w:val="24"/>
              </w:rPr>
            </w:pPr>
            <w:r>
              <w:rPr>
                <w:rFonts w:cs="宋体"/>
                <w:szCs w:val="24"/>
              </w:rPr>
              <w:t>3</w:t>
            </w:r>
            <w:r>
              <w:rPr>
                <w:rFonts w:hint="eastAsia" w:cs="宋体"/>
                <w:szCs w:val="24"/>
                <w:lang w:val="en-US" w:eastAsia="zh-CN"/>
              </w:rPr>
              <w:t>.</w:t>
            </w:r>
            <w:r>
              <w:rPr>
                <w:rFonts w:cs="宋体"/>
                <w:szCs w:val="24"/>
              </w:rPr>
              <w:t>统计数据集</w:t>
            </w:r>
            <w:r>
              <w:rPr>
                <w:rFonts w:hint="eastAsia" w:cs="宋体"/>
                <w:szCs w:val="24"/>
                <w:lang w:eastAsia="zh-CN"/>
              </w:rPr>
              <w:t>：</w:t>
            </w:r>
            <w:r>
              <w:rPr>
                <w:rFonts w:hint="eastAsia" w:cs="宋体"/>
                <w:szCs w:val="24"/>
              </w:rPr>
              <w:t>具有多种类型的数据中间件，提供不少于</w:t>
            </w:r>
            <w:r>
              <w:rPr>
                <w:rFonts w:cs="宋体"/>
                <w:szCs w:val="24"/>
              </w:rPr>
              <w:t>50种统计数据集，并根据统计数据集产生各类报表。</w:t>
            </w:r>
            <w:r>
              <w:rPr>
                <w:rFonts w:hint="eastAsia" w:cs="宋体"/>
                <w:szCs w:val="24"/>
              </w:rPr>
              <w:t>经</w:t>
            </w:r>
            <w:r>
              <w:rPr>
                <w:rFonts w:cs="宋体"/>
                <w:szCs w:val="24"/>
              </w:rPr>
              <w:t>评审，</w:t>
            </w:r>
            <w:r>
              <w:rPr>
                <w:rFonts w:hint="eastAsia" w:cs="宋体"/>
                <w:szCs w:val="24"/>
              </w:rPr>
              <w:t>以</w:t>
            </w:r>
            <w:r>
              <w:rPr>
                <w:rFonts w:cs="宋体"/>
                <w:szCs w:val="24"/>
              </w:rPr>
              <w:t>上功能</w:t>
            </w:r>
            <w:r>
              <w:rPr>
                <w:rFonts w:hint="eastAsia" w:cs="宋体"/>
                <w:szCs w:val="24"/>
                <w:lang w:eastAsia="zh-CN"/>
              </w:rPr>
              <w:t>全部满足</w:t>
            </w:r>
            <w:r>
              <w:rPr>
                <w:rFonts w:hint="eastAsia" w:cs="宋体"/>
                <w:szCs w:val="24"/>
              </w:rPr>
              <w:t>得</w:t>
            </w:r>
            <w:r>
              <w:rPr>
                <w:rFonts w:hint="eastAsia" w:cs="宋体"/>
                <w:szCs w:val="24"/>
                <w:lang w:val="en-US" w:eastAsia="zh-CN"/>
              </w:rPr>
              <w:t>4</w:t>
            </w:r>
            <w:r>
              <w:rPr>
                <w:rFonts w:hint="eastAsia" w:cs="宋体"/>
                <w:szCs w:val="24"/>
              </w:rPr>
              <w:t>分，否则</w:t>
            </w:r>
            <w:r>
              <w:rPr>
                <w:rFonts w:cs="宋体"/>
                <w:szCs w:val="24"/>
              </w:rPr>
              <w:t>不得分</w:t>
            </w:r>
            <w:r>
              <w:rPr>
                <w:rFonts w:hint="eastAsia" w:cs="宋体"/>
                <w:szCs w:val="24"/>
              </w:rPr>
              <w:t>。</w:t>
            </w:r>
            <w:r>
              <w:rPr>
                <w:rFonts w:hint="eastAsia" w:cs="宋体"/>
                <w:szCs w:val="24"/>
                <w:lang w:eastAsia="zh-CN"/>
              </w:rPr>
              <w:t>注：进行线上远程演示，</w:t>
            </w:r>
            <w:r>
              <w:rPr>
                <w:rFonts w:hint="eastAsia" w:ascii="宋体" w:hAnsi="宋体" w:eastAsia="宋体" w:cs="宋体"/>
                <w:sz w:val="24"/>
                <w:szCs w:val="24"/>
                <w:lang w:val="en-US" w:eastAsia="zh-CN" w:bidi="ar-SA"/>
              </w:rPr>
              <w:t>投标人在拟投平台（系统）部署的计算机上进行操作演示、或录制操作视频播放的方式进行远程演示。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87" w:type="dxa"/>
            <w:vMerge w:val="continue"/>
            <w:tcBorders>
              <w:tl2br w:val="nil"/>
              <w:tr2bl w:val="nil"/>
            </w:tcBorders>
            <w:vAlign w:val="center"/>
          </w:tcPr>
          <w:p>
            <w:pPr>
              <w:numPr>
                <w:ilvl w:val="0"/>
                <w:numId w:val="64"/>
              </w:numPr>
              <w:tabs>
                <w:tab w:val="left" w:pos="447"/>
              </w:tabs>
              <w:wordWrap w:val="0"/>
              <w:spacing w:line="360" w:lineRule="auto"/>
              <w:ind w:left="0" w:right="-48" w:rightChars="-20" w:firstLine="0"/>
              <w:jc w:val="center"/>
              <w:rPr>
                <w:rFonts w:hint="eastAsia" w:cs="宋体"/>
                <w:b/>
                <w:szCs w:val="24"/>
              </w:rPr>
            </w:pPr>
          </w:p>
        </w:tc>
        <w:tc>
          <w:tcPr>
            <w:tcW w:w="1136" w:type="dxa"/>
            <w:vMerge w:val="continue"/>
            <w:tcBorders>
              <w:tl2br w:val="nil"/>
              <w:tr2bl w:val="nil"/>
            </w:tcBorders>
            <w:vAlign w:val="center"/>
          </w:tcPr>
          <w:p>
            <w:pPr>
              <w:wordWrap w:val="0"/>
              <w:spacing w:line="360" w:lineRule="auto"/>
              <w:ind w:left="-24" w:leftChars="-10" w:right="-24" w:rightChars="-10"/>
              <w:jc w:val="center"/>
              <w:rPr>
                <w:rFonts w:hint="eastAsia" w:cs="宋体"/>
                <w:szCs w:val="24"/>
              </w:rPr>
            </w:pPr>
          </w:p>
        </w:tc>
        <w:tc>
          <w:tcPr>
            <w:tcW w:w="773" w:type="dxa"/>
            <w:tcBorders>
              <w:tl2br w:val="nil"/>
              <w:tr2bl w:val="nil"/>
            </w:tcBorders>
            <w:vAlign w:val="center"/>
          </w:tcPr>
          <w:p>
            <w:pPr>
              <w:wordWrap w:val="0"/>
              <w:spacing w:line="360" w:lineRule="auto"/>
              <w:ind w:left="-24" w:leftChars="-10" w:right="-24" w:rightChars="-10"/>
              <w:jc w:val="center"/>
              <w:rPr>
                <w:rFonts w:hint="eastAsia" w:cs="宋体"/>
                <w:szCs w:val="24"/>
              </w:rPr>
            </w:pPr>
            <w:r>
              <w:rPr>
                <w:rFonts w:cs="宋体"/>
                <w:szCs w:val="24"/>
              </w:rPr>
              <w:t>3</w:t>
            </w:r>
          </w:p>
        </w:tc>
        <w:tc>
          <w:tcPr>
            <w:tcW w:w="7084" w:type="dxa"/>
            <w:tcBorders>
              <w:tl2br w:val="nil"/>
              <w:tr2bl w:val="nil"/>
            </w:tcBorders>
            <w:vAlign w:val="center"/>
          </w:tcPr>
          <w:p>
            <w:pPr>
              <w:wordWrap w:val="0"/>
              <w:spacing w:line="360" w:lineRule="auto"/>
              <w:ind w:left="-24" w:leftChars="-10" w:right="-24" w:rightChars="-10"/>
              <w:rPr>
                <w:rFonts w:cs="宋体"/>
                <w:szCs w:val="24"/>
              </w:rPr>
            </w:pPr>
            <w:r>
              <w:rPr>
                <w:rFonts w:cs="宋体"/>
                <w:szCs w:val="24"/>
              </w:rPr>
              <w:t>4</w:t>
            </w:r>
            <w:r>
              <w:rPr>
                <w:rFonts w:hint="eastAsia" w:cs="宋体"/>
                <w:szCs w:val="24"/>
                <w:lang w:val="en-US" w:eastAsia="zh-CN"/>
              </w:rPr>
              <w:t>.</w:t>
            </w:r>
            <w:r>
              <w:rPr>
                <w:rFonts w:cs="宋体"/>
                <w:szCs w:val="24"/>
              </w:rPr>
              <w:t>可在门诊病历中开医嘱并自动形成病历内容，可将检查结果自动插入到门诊病历中。</w:t>
            </w:r>
            <w:r>
              <w:rPr>
                <w:rFonts w:hint="eastAsia" w:cs="宋体"/>
                <w:szCs w:val="24"/>
              </w:rPr>
              <w:t>经</w:t>
            </w:r>
            <w:r>
              <w:rPr>
                <w:rFonts w:cs="宋体"/>
                <w:szCs w:val="24"/>
              </w:rPr>
              <w:t>评审，</w:t>
            </w:r>
            <w:r>
              <w:rPr>
                <w:rFonts w:hint="eastAsia" w:cs="宋体"/>
                <w:szCs w:val="24"/>
                <w:lang w:eastAsia="zh-CN"/>
              </w:rPr>
              <w:t>以上全部</w:t>
            </w:r>
            <w:r>
              <w:rPr>
                <w:rFonts w:cs="宋体"/>
                <w:szCs w:val="24"/>
              </w:rPr>
              <w:t>满足得3分</w:t>
            </w:r>
            <w:r>
              <w:rPr>
                <w:rFonts w:hint="eastAsia" w:cs="宋体"/>
                <w:szCs w:val="24"/>
              </w:rPr>
              <w:t>，否则</w:t>
            </w:r>
            <w:r>
              <w:rPr>
                <w:rFonts w:cs="宋体"/>
                <w:szCs w:val="24"/>
              </w:rPr>
              <w:t>不得分</w:t>
            </w:r>
            <w:r>
              <w:rPr>
                <w:rFonts w:hint="eastAsia" w:cs="宋体"/>
                <w:szCs w:val="24"/>
              </w:rPr>
              <w:t>。</w:t>
            </w:r>
            <w:r>
              <w:rPr>
                <w:rFonts w:hint="eastAsia" w:cs="宋体"/>
                <w:szCs w:val="24"/>
                <w:lang w:eastAsia="zh-CN"/>
              </w:rPr>
              <w:t>注：进行线上远程演示，</w:t>
            </w:r>
            <w:r>
              <w:rPr>
                <w:rFonts w:hint="eastAsia" w:ascii="宋体" w:hAnsi="宋体" w:eastAsia="宋体" w:cs="宋体"/>
                <w:sz w:val="24"/>
                <w:szCs w:val="24"/>
                <w:lang w:val="en-US" w:eastAsia="zh-CN" w:bidi="ar-SA"/>
              </w:rPr>
              <w:t>投标人在拟投平台（系统）部署的计算机上进行操作演示、或录制操作视频播放的方式进行远程演示。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87" w:type="dxa"/>
            <w:vMerge w:val="continue"/>
            <w:tcBorders>
              <w:tl2br w:val="nil"/>
              <w:tr2bl w:val="nil"/>
            </w:tcBorders>
            <w:vAlign w:val="center"/>
          </w:tcPr>
          <w:p>
            <w:pPr>
              <w:numPr>
                <w:ilvl w:val="0"/>
                <w:numId w:val="64"/>
              </w:numPr>
              <w:tabs>
                <w:tab w:val="left" w:pos="447"/>
              </w:tabs>
              <w:wordWrap w:val="0"/>
              <w:spacing w:line="360" w:lineRule="auto"/>
              <w:ind w:left="0" w:right="-48" w:rightChars="-20" w:firstLine="0"/>
              <w:jc w:val="center"/>
              <w:rPr>
                <w:rFonts w:hint="eastAsia" w:cs="宋体"/>
                <w:b/>
                <w:szCs w:val="24"/>
              </w:rPr>
            </w:pPr>
          </w:p>
        </w:tc>
        <w:tc>
          <w:tcPr>
            <w:tcW w:w="1136" w:type="dxa"/>
            <w:vMerge w:val="continue"/>
            <w:tcBorders>
              <w:tl2br w:val="nil"/>
              <w:tr2bl w:val="nil"/>
            </w:tcBorders>
            <w:vAlign w:val="center"/>
          </w:tcPr>
          <w:p>
            <w:pPr>
              <w:wordWrap w:val="0"/>
              <w:spacing w:line="360" w:lineRule="auto"/>
              <w:ind w:left="-24" w:leftChars="-10" w:right="-24" w:rightChars="-10"/>
              <w:jc w:val="center"/>
              <w:rPr>
                <w:rFonts w:hint="eastAsia" w:cs="宋体"/>
                <w:szCs w:val="24"/>
              </w:rPr>
            </w:pPr>
          </w:p>
        </w:tc>
        <w:tc>
          <w:tcPr>
            <w:tcW w:w="773" w:type="dxa"/>
            <w:tcBorders>
              <w:tl2br w:val="nil"/>
              <w:tr2bl w:val="nil"/>
            </w:tcBorders>
            <w:vAlign w:val="center"/>
          </w:tcPr>
          <w:p>
            <w:pPr>
              <w:wordWrap w:val="0"/>
              <w:spacing w:line="360" w:lineRule="auto"/>
              <w:ind w:left="-24" w:leftChars="-10" w:right="-24" w:rightChars="-10"/>
              <w:jc w:val="center"/>
              <w:rPr>
                <w:rFonts w:hint="eastAsia" w:cs="宋体"/>
                <w:szCs w:val="24"/>
              </w:rPr>
            </w:pPr>
            <w:r>
              <w:rPr>
                <w:rFonts w:hint="eastAsia" w:cs="宋体"/>
                <w:szCs w:val="24"/>
              </w:rPr>
              <w:t>4</w:t>
            </w:r>
          </w:p>
        </w:tc>
        <w:tc>
          <w:tcPr>
            <w:tcW w:w="7084" w:type="dxa"/>
            <w:tcBorders>
              <w:tl2br w:val="nil"/>
              <w:tr2bl w:val="nil"/>
            </w:tcBorders>
            <w:vAlign w:val="center"/>
          </w:tcPr>
          <w:p>
            <w:pPr>
              <w:wordWrap w:val="0"/>
              <w:spacing w:line="360" w:lineRule="auto"/>
              <w:ind w:left="-24" w:leftChars="-10" w:right="-24" w:rightChars="-10"/>
              <w:rPr>
                <w:rFonts w:hint="eastAsia"/>
              </w:rPr>
            </w:pPr>
            <w:r>
              <w:rPr>
                <w:rFonts w:cs="宋体"/>
                <w:szCs w:val="24"/>
              </w:rPr>
              <w:t>5</w:t>
            </w:r>
            <w:r>
              <w:rPr>
                <w:rFonts w:hint="eastAsia" w:cs="宋体"/>
                <w:szCs w:val="24"/>
                <w:lang w:val="en-US" w:eastAsia="zh-CN"/>
              </w:rPr>
              <w:t>.</w:t>
            </w:r>
            <w:r>
              <w:rPr>
                <w:rFonts w:cs="宋体"/>
                <w:szCs w:val="24"/>
              </w:rPr>
              <w:t>人员管理</w:t>
            </w:r>
            <w:r>
              <w:rPr>
                <w:rFonts w:hint="eastAsia" w:cs="宋体"/>
                <w:szCs w:val="24"/>
                <w:lang w:eastAsia="zh-CN"/>
              </w:rPr>
              <w:t>：</w:t>
            </w:r>
            <w:r>
              <w:rPr>
                <w:rFonts w:hint="eastAsia" w:ascii="宋体" w:hAnsi="宋体" w:eastAsia="宋体" w:cs="宋体"/>
                <w:szCs w:val="24"/>
                <w:lang w:eastAsia="zh-CN"/>
              </w:rPr>
              <w:t>①</w:t>
            </w:r>
            <w:r>
              <w:rPr>
                <w:rFonts w:cs="宋体"/>
                <w:szCs w:val="24"/>
              </w:rPr>
              <w:t>有同一人力资源管理系统中，具有科室级人事管理，包括护理人事管理、医务人事管理、检验人事管理、放射人事管理等</w:t>
            </w:r>
            <w:r>
              <w:rPr>
                <w:rFonts w:hint="eastAsia" w:cs="宋体"/>
                <w:szCs w:val="24"/>
                <w:lang w:eastAsia="zh-CN"/>
              </w:rPr>
              <w:t>；</w:t>
            </w:r>
            <w:r>
              <w:rPr>
                <w:rFonts w:hint="eastAsia" w:ascii="宋体" w:hAnsi="宋体" w:eastAsia="宋体" w:cs="宋体"/>
                <w:szCs w:val="24"/>
                <w:lang w:eastAsia="zh-CN"/>
              </w:rPr>
              <w:t>②</w:t>
            </w:r>
            <w:r>
              <w:rPr>
                <w:rFonts w:cs="宋体"/>
                <w:szCs w:val="24"/>
              </w:rPr>
              <w:t>可自定义区域内协会类人员管理，包括学术团体人事管理、工会人事管理等功能</w:t>
            </w:r>
            <w:r>
              <w:rPr>
                <w:rFonts w:hint="eastAsia" w:cs="宋体"/>
                <w:szCs w:val="24"/>
                <w:lang w:eastAsia="zh-CN"/>
              </w:rPr>
              <w:t>；</w:t>
            </w:r>
            <w:r>
              <w:rPr>
                <w:rFonts w:hint="eastAsia" w:ascii="宋体" w:hAnsi="宋体" w:eastAsia="宋体" w:cs="宋体"/>
                <w:szCs w:val="24"/>
                <w:lang w:eastAsia="zh-CN"/>
              </w:rPr>
              <w:t>③</w:t>
            </w:r>
            <w:r>
              <w:rPr>
                <w:rFonts w:cs="宋体"/>
                <w:szCs w:val="24"/>
              </w:rPr>
              <w:t>可对进修人员、实习人员、返骋人员、临时工等进行自定义项人事管理。以上功能缺项不得分</w:t>
            </w:r>
            <w:r>
              <w:rPr>
                <w:rFonts w:hint="eastAsia" w:cs="宋体"/>
                <w:szCs w:val="24"/>
                <w:lang w:eastAsia="zh-CN"/>
              </w:rPr>
              <w:t>；</w:t>
            </w:r>
            <w:r>
              <w:rPr>
                <w:rFonts w:hint="eastAsia" w:ascii="宋体" w:hAnsi="宋体" w:eastAsia="宋体" w:cs="宋体"/>
                <w:szCs w:val="24"/>
                <w:lang w:eastAsia="zh-CN"/>
              </w:rPr>
              <w:t>④</w:t>
            </w:r>
            <w:r>
              <w:rPr>
                <w:rFonts w:cs="宋体"/>
                <w:szCs w:val="24"/>
              </w:rPr>
              <w:t>具有集团医院分级人事管理架构（总院、各分院分级化管理）。</w:t>
            </w:r>
            <w:r>
              <w:rPr>
                <w:rFonts w:hint="eastAsia" w:cs="宋体"/>
                <w:szCs w:val="24"/>
              </w:rPr>
              <w:t>经</w:t>
            </w:r>
            <w:r>
              <w:rPr>
                <w:rFonts w:cs="宋体"/>
                <w:szCs w:val="24"/>
              </w:rPr>
              <w:t>评审，</w:t>
            </w:r>
            <w:r>
              <w:rPr>
                <w:rFonts w:hint="eastAsia" w:cs="宋体"/>
                <w:szCs w:val="24"/>
              </w:rPr>
              <w:t>以</w:t>
            </w:r>
            <w:r>
              <w:rPr>
                <w:rFonts w:cs="宋体"/>
                <w:szCs w:val="24"/>
              </w:rPr>
              <w:t>上功能</w:t>
            </w:r>
            <w:r>
              <w:rPr>
                <w:rFonts w:hint="eastAsia" w:cs="宋体"/>
                <w:szCs w:val="24"/>
              </w:rPr>
              <w:t>每满足一项得</w:t>
            </w:r>
            <w:r>
              <w:rPr>
                <w:rFonts w:cs="宋体"/>
                <w:szCs w:val="24"/>
              </w:rPr>
              <w:t>1</w:t>
            </w:r>
            <w:r>
              <w:rPr>
                <w:rFonts w:hint="eastAsia" w:cs="宋体"/>
                <w:szCs w:val="24"/>
              </w:rPr>
              <w:t>分，否则</w:t>
            </w:r>
            <w:r>
              <w:rPr>
                <w:rFonts w:cs="宋体"/>
                <w:szCs w:val="24"/>
              </w:rPr>
              <w:t>不得分</w:t>
            </w:r>
            <w:r>
              <w:rPr>
                <w:rFonts w:hint="eastAsia" w:cs="宋体"/>
                <w:szCs w:val="24"/>
              </w:rPr>
              <w:t>，本项最多得</w:t>
            </w:r>
            <w:r>
              <w:rPr>
                <w:rFonts w:cs="宋体"/>
                <w:szCs w:val="24"/>
              </w:rPr>
              <w:t>4</w:t>
            </w:r>
            <w:r>
              <w:rPr>
                <w:rFonts w:hint="eastAsia" w:cs="宋体"/>
                <w:szCs w:val="24"/>
              </w:rPr>
              <w:t>分。</w:t>
            </w:r>
            <w:r>
              <w:rPr>
                <w:rFonts w:hint="eastAsia" w:cs="宋体"/>
                <w:szCs w:val="24"/>
                <w:lang w:eastAsia="zh-CN"/>
              </w:rPr>
              <w:t>注：进行线上远程演示，</w:t>
            </w:r>
            <w:r>
              <w:rPr>
                <w:rFonts w:hint="eastAsia" w:ascii="宋体" w:hAnsi="宋体" w:eastAsia="宋体" w:cs="宋体"/>
                <w:sz w:val="24"/>
                <w:szCs w:val="24"/>
                <w:lang w:val="en-US" w:eastAsia="zh-CN" w:bidi="ar-SA"/>
              </w:rPr>
              <w:t>投标人在拟投平台（系统）部署的计算机上进行操作演示、或录制操作视频播放的方式进行远程演示。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87" w:type="dxa"/>
            <w:vMerge w:val="continue"/>
            <w:tcBorders>
              <w:tl2br w:val="nil"/>
              <w:tr2bl w:val="nil"/>
            </w:tcBorders>
            <w:vAlign w:val="center"/>
          </w:tcPr>
          <w:p>
            <w:pPr>
              <w:numPr>
                <w:ilvl w:val="0"/>
                <w:numId w:val="64"/>
              </w:numPr>
              <w:tabs>
                <w:tab w:val="left" w:pos="447"/>
              </w:tabs>
              <w:wordWrap w:val="0"/>
              <w:spacing w:line="360" w:lineRule="auto"/>
              <w:ind w:left="0" w:right="-48" w:rightChars="-20" w:firstLine="0"/>
              <w:jc w:val="center"/>
              <w:rPr>
                <w:rFonts w:hint="eastAsia" w:cs="宋体"/>
                <w:b/>
                <w:szCs w:val="24"/>
              </w:rPr>
            </w:pPr>
          </w:p>
        </w:tc>
        <w:tc>
          <w:tcPr>
            <w:tcW w:w="1136" w:type="dxa"/>
            <w:vMerge w:val="continue"/>
            <w:tcBorders>
              <w:tl2br w:val="nil"/>
              <w:tr2bl w:val="nil"/>
            </w:tcBorders>
            <w:vAlign w:val="center"/>
          </w:tcPr>
          <w:p>
            <w:pPr>
              <w:wordWrap w:val="0"/>
              <w:spacing w:line="360" w:lineRule="auto"/>
              <w:ind w:left="-24" w:leftChars="-10" w:right="-24" w:rightChars="-10"/>
              <w:jc w:val="center"/>
              <w:rPr>
                <w:rFonts w:hint="eastAsia" w:cs="宋体"/>
                <w:szCs w:val="24"/>
              </w:rPr>
            </w:pPr>
          </w:p>
        </w:tc>
        <w:tc>
          <w:tcPr>
            <w:tcW w:w="773" w:type="dxa"/>
            <w:tcBorders>
              <w:tl2br w:val="nil"/>
              <w:tr2bl w:val="nil"/>
            </w:tcBorders>
            <w:vAlign w:val="center"/>
          </w:tcPr>
          <w:p>
            <w:pPr>
              <w:wordWrap w:val="0"/>
              <w:spacing w:line="360" w:lineRule="auto"/>
              <w:ind w:left="-24" w:leftChars="-10" w:right="-24" w:rightChars="-10"/>
              <w:jc w:val="center"/>
              <w:rPr>
                <w:rFonts w:hint="eastAsia" w:cs="宋体"/>
                <w:szCs w:val="24"/>
              </w:rPr>
            </w:pPr>
            <w:r>
              <w:rPr>
                <w:rFonts w:cs="宋体"/>
                <w:szCs w:val="24"/>
              </w:rPr>
              <w:t>6</w:t>
            </w:r>
          </w:p>
        </w:tc>
        <w:tc>
          <w:tcPr>
            <w:tcW w:w="7084" w:type="dxa"/>
            <w:tcBorders>
              <w:tl2br w:val="nil"/>
              <w:tr2bl w:val="nil"/>
            </w:tcBorders>
            <w:vAlign w:val="center"/>
          </w:tcPr>
          <w:p>
            <w:pPr>
              <w:wordWrap w:val="0"/>
              <w:spacing w:line="360" w:lineRule="auto"/>
              <w:ind w:left="-24" w:leftChars="-10" w:right="-24" w:rightChars="-10"/>
              <w:rPr>
                <w:rFonts w:cs="宋体"/>
                <w:szCs w:val="24"/>
              </w:rPr>
            </w:pPr>
            <w:r>
              <w:rPr>
                <w:rFonts w:cs="宋体"/>
                <w:szCs w:val="24"/>
              </w:rPr>
              <w:t>6</w:t>
            </w:r>
            <w:r>
              <w:rPr>
                <w:rFonts w:hint="eastAsia" w:cs="宋体"/>
                <w:szCs w:val="24"/>
                <w:lang w:val="en-US" w:eastAsia="zh-CN"/>
              </w:rPr>
              <w:t>.</w:t>
            </w:r>
            <w:r>
              <w:rPr>
                <w:rFonts w:cs="宋体"/>
                <w:szCs w:val="24"/>
              </w:rPr>
              <w:t>移动互联网服务</w:t>
            </w:r>
            <w:r>
              <w:rPr>
                <w:rFonts w:hint="eastAsia" w:cs="宋体"/>
                <w:szCs w:val="24"/>
                <w:lang w:eastAsia="zh-CN"/>
              </w:rPr>
              <w:t>：</w:t>
            </w:r>
            <w:r>
              <w:rPr>
                <w:rFonts w:hint="eastAsia" w:ascii="宋体" w:hAnsi="宋体" w:eastAsia="宋体" w:cs="宋体"/>
                <w:szCs w:val="24"/>
                <w:lang w:eastAsia="zh-CN"/>
              </w:rPr>
              <w:t>①</w:t>
            </w:r>
            <w:r>
              <w:rPr>
                <w:rFonts w:hint="eastAsia" w:cs="宋体"/>
                <w:szCs w:val="24"/>
              </w:rPr>
              <w:t>通过微信公众号进行预约挂号</w:t>
            </w:r>
            <w:r>
              <w:rPr>
                <w:rFonts w:hint="eastAsia" w:cs="宋体"/>
                <w:szCs w:val="24"/>
                <w:lang w:eastAsia="zh-CN"/>
              </w:rPr>
              <w:t>；</w:t>
            </w:r>
            <w:r>
              <w:rPr>
                <w:rFonts w:hint="eastAsia" w:ascii="宋体" w:hAnsi="宋体" w:eastAsia="宋体" w:cs="宋体"/>
                <w:szCs w:val="24"/>
                <w:lang w:eastAsia="zh-CN"/>
              </w:rPr>
              <w:t>②</w:t>
            </w:r>
            <w:r>
              <w:rPr>
                <w:rFonts w:hint="eastAsia" w:cs="宋体"/>
                <w:szCs w:val="24"/>
              </w:rPr>
              <w:t>缴费</w:t>
            </w:r>
            <w:r>
              <w:rPr>
                <w:rFonts w:hint="eastAsia" w:cs="宋体"/>
                <w:szCs w:val="24"/>
                <w:lang w:eastAsia="zh-CN"/>
              </w:rPr>
              <w:t>；</w:t>
            </w:r>
            <w:r>
              <w:rPr>
                <w:rFonts w:hint="eastAsia" w:ascii="宋体" w:hAnsi="宋体" w:eastAsia="宋体" w:cs="宋体"/>
                <w:szCs w:val="24"/>
                <w:lang w:eastAsia="zh-CN"/>
              </w:rPr>
              <w:t>③</w:t>
            </w:r>
            <w:r>
              <w:rPr>
                <w:rFonts w:hint="eastAsia" w:cs="宋体"/>
                <w:szCs w:val="24"/>
              </w:rPr>
              <w:t>手机查房</w:t>
            </w:r>
            <w:r>
              <w:rPr>
                <w:rFonts w:hint="eastAsia" w:cs="宋体"/>
                <w:szCs w:val="24"/>
                <w:lang w:eastAsia="zh-CN"/>
              </w:rPr>
              <w:t>；</w:t>
            </w:r>
            <w:r>
              <w:rPr>
                <w:rFonts w:hint="eastAsia" w:ascii="宋体" w:hAnsi="宋体" w:eastAsia="宋体" w:cs="宋体"/>
                <w:szCs w:val="24"/>
                <w:lang w:eastAsia="zh-CN"/>
              </w:rPr>
              <w:t>④</w:t>
            </w:r>
            <w:r>
              <w:rPr>
                <w:rFonts w:hint="eastAsia" w:cs="宋体"/>
                <w:szCs w:val="24"/>
              </w:rPr>
              <w:t>领导查询</w:t>
            </w:r>
            <w:r>
              <w:rPr>
                <w:rFonts w:hint="eastAsia" w:cs="宋体"/>
                <w:szCs w:val="24"/>
                <w:lang w:eastAsia="zh-CN"/>
              </w:rPr>
              <w:t>；</w:t>
            </w:r>
            <w:r>
              <w:rPr>
                <w:rFonts w:hint="eastAsia" w:ascii="宋体" w:hAnsi="宋体" w:eastAsia="宋体" w:cs="宋体"/>
                <w:szCs w:val="24"/>
                <w:lang w:eastAsia="zh-CN"/>
              </w:rPr>
              <w:t>⑤</w:t>
            </w:r>
            <w:r>
              <w:rPr>
                <w:rFonts w:cs="宋体"/>
                <w:szCs w:val="24"/>
              </w:rPr>
              <w:t>PACS数字胶片</w:t>
            </w:r>
            <w:r>
              <w:rPr>
                <w:rFonts w:hint="eastAsia" w:cs="宋体"/>
                <w:szCs w:val="24"/>
                <w:lang w:eastAsia="zh-CN"/>
              </w:rPr>
              <w:t>；</w:t>
            </w:r>
            <w:r>
              <w:rPr>
                <w:rFonts w:hint="eastAsia" w:ascii="宋体" w:hAnsi="宋体" w:eastAsia="宋体" w:cs="宋体"/>
                <w:szCs w:val="24"/>
                <w:lang w:eastAsia="zh-CN"/>
              </w:rPr>
              <w:t>⑥</w:t>
            </w:r>
            <w:r>
              <w:rPr>
                <w:rFonts w:hint="eastAsia" w:cs="宋体"/>
                <w:szCs w:val="24"/>
                <w:lang w:eastAsia="zh-CN"/>
              </w:rPr>
              <w:t>电子病历</w:t>
            </w:r>
            <w:r>
              <w:rPr>
                <w:rFonts w:cs="宋体"/>
                <w:szCs w:val="24"/>
              </w:rPr>
              <w:t>。</w:t>
            </w:r>
            <w:r>
              <w:rPr>
                <w:rFonts w:hint="eastAsia" w:cs="宋体"/>
                <w:szCs w:val="24"/>
              </w:rPr>
              <w:t>经</w:t>
            </w:r>
            <w:r>
              <w:rPr>
                <w:rFonts w:cs="宋体"/>
                <w:szCs w:val="24"/>
              </w:rPr>
              <w:t>评审，</w:t>
            </w:r>
            <w:r>
              <w:rPr>
                <w:rFonts w:hint="eastAsia" w:cs="宋体"/>
                <w:szCs w:val="24"/>
              </w:rPr>
              <w:t>以</w:t>
            </w:r>
            <w:r>
              <w:rPr>
                <w:rFonts w:cs="宋体"/>
                <w:szCs w:val="24"/>
              </w:rPr>
              <w:t>上功能</w:t>
            </w:r>
            <w:r>
              <w:rPr>
                <w:rFonts w:hint="eastAsia" w:cs="宋体"/>
                <w:szCs w:val="24"/>
              </w:rPr>
              <w:t>每满足一项得</w:t>
            </w:r>
            <w:r>
              <w:rPr>
                <w:rFonts w:cs="宋体"/>
                <w:szCs w:val="24"/>
              </w:rPr>
              <w:t>1</w:t>
            </w:r>
            <w:r>
              <w:rPr>
                <w:rFonts w:hint="eastAsia" w:cs="宋体"/>
                <w:szCs w:val="24"/>
              </w:rPr>
              <w:t>分，否则</w:t>
            </w:r>
            <w:r>
              <w:rPr>
                <w:rFonts w:cs="宋体"/>
                <w:szCs w:val="24"/>
              </w:rPr>
              <w:t>不得分</w:t>
            </w:r>
            <w:r>
              <w:rPr>
                <w:rFonts w:hint="eastAsia" w:cs="宋体"/>
                <w:szCs w:val="24"/>
              </w:rPr>
              <w:t>，本项最多得</w:t>
            </w:r>
            <w:r>
              <w:rPr>
                <w:rFonts w:cs="宋体"/>
                <w:szCs w:val="24"/>
              </w:rPr>
              <w:t>6</w:t>
            </w:r>
            <w:r>
              <w:rPr>
                <w:rFonts w:hint="eastAsia" w:cs="宋体"/>
                <w:szCs w:val="24"/>
              </w:rPr>
              <w:t>分。</w:t>
            </w:r>
            <w:r>
              <w:rPr>
                <w:rFonts w:hint="eastAsia" w:cs="宋体"/>
                <w:szCs w:val="24"/>
                <w:lang w:eastAsia="zh-CN"/>
              </w:rPr>
              <w:t>注：进行线上远程演示，</w:t>
            </w:r>
            <w:r>
              <w:rPr>
                <w:rFonts w:hint="eastAsia" w:ascii="宋体" w:hAnsi="宋体" w:eastAsia="宋体" w:cs="宋体"/>
                <w:sz w:val="24"/>
                <w:szCs w:val="24"/>
                <w:lang w:val="en-US" w:eastAsia="zh-CN" w:bidi="ar-SA"/>
              </w:rPr>
              <w:t>投标人在拟投平台（系统）部署的计算机上进行操作演示、或录制操作视频播放的方式进行远程演示。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87" w:type="dxa"/>
            <w:vMerge w:val="continue"/>
            <w:tcBorders>
              <w:tl2br w:val="nil"/>
              <w:tr2bl w:val="nil"/>
            </w:tcBorders>
            <w:vAlign w:val="center"/>
          </w:tcPr>
          <w:p>
            <w:pPr>
              <w:numPr>
                <w:ilvl w:val="0"/>
                <w:numId w:val="64"/>
              </w:numPr>
              <w:tabs>
                <w:tab w:val="left" w:pos="447"/>
              </w:tabs>
              <w:wordWrap w:val="0"/>
              <w:spacing w:line="360" w:lineRule="auto"/>
              <w:ind w:left="0" w:right="-48" w:rightChars="-20" w:firstLine="0"/>
              <w:jc w:val="center"/>
              <w:rPr>
                <w:rFonts w:hint="eastAsia" w:cs="宋体"/>
                <w:b/>
                <w:szCs w:val="24"/>
              </w:rPr>
            </w:pPr>
          </w:p>
        </w:tc>
        <w:tc>
          <w:tcPr>
            <w:tcW w:w="1136" w:type="dxa"/>
            <w:vMerge w:val="continue"/>
            <w:tcBorders>
              <w:tl2br w:val="nil"/>
              <w:tr2bl w:val="nil"/>
            </w:tcBorders>
            <w:vAlign w:val="center"/>
          </w:tcPr>
          <w:p>
            <w:pPr>
              <w:wordWrap w:val="0"/>
              <w:spacing w:line="360" w:lineRule="auto"/>
              <w:ind w:left="-24" w:leftChars="-10" w:right="-24" w:rightChars="-10"/>
              <w:jc w:val="center"/>
              <w:rPr>
                <w:rFonts w:hint="eastAsia" w:cs="宋体"/>
                <w:szCs w:val="24"/>
              </w:rPr>
            </w:pPr>
          </w:p>
        </w:tc>
        <w:tc>
          <w:tcPr>
            <w:tcW w:w="773" w:type="dxa"/>
            <w:tcBorders>
              <w:tl2br w:val="nil"/>
              <w:tr2bl w:val="nil"/>
            </w:tcBorders>
            <w:vAlign w:val="center"/>
          </w:tcPr>
          <w:p>
            <w:pPr>
              <w:wordWrap w:val="0"/>
              <w:spacing w:line="360" w:lineRule="auto"/>
              <w:ind w:left="-24" w:leftChars="-10" w:right="-24" w:rightChars="-10"/>
              <w:jc w:val="center"/>
              <w:rPr>
                <w:rFonts w:hint="eastAsia" w:cs="宋体"/>
                <w:szCs w:val="24"/>
              </w:rPr>
            </w:pPr>
            <w:r>
              <w:rPr>
                <w:rFonts w:hint="eastAsia" w:cs="宋体"/>
                <w:szCs w:val="24"/>
              </w:rPr>
              <w:t>3</w:t>
            </w:r>
          </w:p>
        </w:tc>
        <w:tc>
          <w:tcPr>
            <w:tcW w:w="7084" w:type="dxa"/>
            <w:tcBorders>
              <w:tl2br w:val="nil"/>
              <w:tr2bl w:val="nil"/>
            </w:tcBorders>
            <w:vAlign w:val="center"/>
          </w:tcPr>
          <w:p>
            <w:pPr>
              <w:wordWrap w:val="0"/>
              <w:spacing w:line="360" w:lineRule="auto"/>
              <w:ind w:left="-24" w:leftChars="-10" w:right="-24" w:rightChars="-10"/>
              <w:rPr>
                <w:rFonts w:cs="宋体"/>
                <w:szCs w:val="24"/>
              </w:rPr>
            </w:pPr>
            <w:r>
              <w:rPr>
                <w:rFonts w:cs="宋体"/>
                <w:bCs/>
                <w:szCs w:val="21"/>
              </w:rPr>
              <w:t>7</w:t>
            </w:r>
            <w:r>
              <w:rPr>
                <w:rFonts w:hint="eastAsia" w:cs="宋体"/>
                <w:bCs/>
                <w:szCs w:val="21"/>
                <w:lang w:val="en-US" w:eastAsia="zh-CN"/>
              </w:rPr>
              <w:t>.</w:t>
            </w:r>
            <w:r>
              <w:rPr>
                <w:rFonts w:cs="宋体"/>
                <w:bCs/>
                <w:szCs w:val="21"/>
              </w:rPr>
              <w:t>护理白板系统可分科自定义样式及内容。</w:t>
            </w:r>
            <w:r>
              <w:rPr>
                <w:rFonts w:hint="eastAsia" w:cs="宋体"/>
                <w:szCs w:val="24"/>
              </w:rPr>
              <w:t>经</w:t>
            </w:r>
            <w:r>
              <w:rPr>
                <w:rFonts w:cs="宋体"/>
                <w:szCs w:val="24"/>
              </w:rPr>
              <w:t>评审，满足得3分</w:t>
            </w:r>
            <w:r>
              <w:rPr>
                <w:rFonts w:hint="eastAsia" w:cs="宋体"/>
                <w:szCs w:val="24"/>
              </w:rPr>
              <w:t>，否则</w:t>
            </w:r>
            <w:r>
              <w:rPr>
                <w:rFonts w:cs="宋体"/>
                <w:szCs w:val="24"/>
              </w:rPr>
              <w:t>不得分</w:t>
            </w:r>
            <w:r>
              <w:rPr>
                <w:rFonts w:hint="eastAsia" w:cs="宋体"/>
                <w:szCs w:val="24"/>
              </w:rPr>
              <w:t>。</w:t>
            </w:r>
            <w:r>
              <w:rPr>
                <w:rFonts w:hint="eastAsia" w:cs="宋体"/>
                <w:szCs w:val="24"/>
                <w:lang w:eastAsia="zh-CN"/>
              </w:rPr>
              <w:t>注：进行线上远程演示，</w:t>
            </w:r>
            <w:r>
              <w:rPr>
                <w:rFonts w:hint="eastAsia" w:ascii="宋体" w:hAnsi="宋体" w:eastAsia="宋体" w:cs="宋体"/>
                <w:sz w:val="24"/>
                <w:szCs w:val="24"/>
                <w:lang w:val="en-US" w:eastAsia="zh-CN" w:bidi="ar-SA"/>
              </w:rPr>
              <w:t>投标人在拟投平台（系统）部署的计算机上进行操作演示、或录制操作视频播放的方式进行远程演示。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87" w:type="dxa"/>
            <w:vMerge w:val="continue"/>
            <w:tcBorders>
              <w:tl2br w:val="nil"/>
              <w:tr2bl w:val="nil"/>
            </w:tcBorders>
            <w:vAlign w:val="center"/>
          </w:tcPr>
          <w:p>
            <w:pPr>
              <w:numPr>
                <w:ilvl w:val="0"/>
                <w:numId w:val="64"/>
              </w:numPr>
              <w:tabs>
                <w:tab w:val="left" w:pos="447"/>
              </w:tabs>
              <w:wordWrap w:val="0"/>
              <w:spacing w:line="360" w:lineRule="auto"/>
              <w:ind w:left="0" w:right="-48" w:rightChars="-20" w:firstLine="0"/>
              <w:jc w:val="center"/>
              <w:rPr>
                <w:rFonts w:hint="eastAsia" w:cs="宋体"/>
                <w:b/>
                <w:szCs w:val="24"/>
              </w:rPr>
            </w:pPr>
          </w:p>
        </w:tc>
        <w:tc>
          <w:tcPr>
            <w:tcW w:w="1136" w:type="dxa"/>
            <w:vMerge w:val="continue"/>
            <w:tcBorders>
              <w:tl2br w:val="nil"/>
              <w:tr2bl w:val="nil"/>
            </w:tcBorders>
            <w:vAlign w:val="center"/>
          </w:tcPr>
          <w:p>
            <w:pPr>
              <w:wordWrap w:val="0"/>
              <w:spacing w:line="360" w:lineRule="auto"/>
              <w:ind w:left="-24" w:leftChars="-10" w:right="-24" w:rightChars="-10"/>
              <w:jc w:val="center"/>
              <w:rPr>
                <w:rFonts w:hint="eastAsia" w:cs="宋体"/>
                <w:szCs w:val="24"/>
              </w:rPr>
            </w:pPr>
          </w:p>
        </w:tc>
        <w:tc>
          <w:tcPr>
            <w:tcW w:w="773" w:type="dxa"/>
            <w:tcBorders>
              <w:tl2br w:val="nil"/>
              <w:tr2bl w:val="nil"/>
            </w:tcBorders>
            <w:vAlign w:val="center"/>
          </w:tcPr>
          <w:p>
            <w:pPr>
              <w:wordWrap w:val="0"/>
              <w:spacing w:line="360" w:lineRule="auto"/>
              <w:ind w:left="-24" w:leftChars="-10" w:right="-24" w:rightChars="-10"/>
              <w:jc w:val="center"/>
              <w:rPr>
                <w:rFonts w:hint="eastAsia" w:cs="宋体"/>
                <w:szCs w:val="24"/>
              </w:rPr>
            </w:pPr>
            <w:r>
              <w:rPr>
                <w:rFonts w:hint="eastAsia" w:cs="宋体"/>
                <w:szCs w:val="24"/>
              </w:rPr>
              <w:t>4</w:t>
            </w:r>
          </w:p>
        </w:tc>
        <w:tc>
          <w:tcPr>
            <w:tcW w:w="7084" w:type="dxa"/>
            <w:tcBorders>
              <w:tl2br w:val="nil"/>
              <w:tr2bl w:val="nil"/>
            </w:tcBorders>
            <w:vAlign w:val="center"/>
          </w:tcPr>
          <w:p>
            <w:pPr>
              <w:wordWrap w:val="0"/>
              <w:spacing w:line="360" w:lineRule="auto"/>
              <w:ind w:left="-24" w:leftChars="-10" w:right="-24" w:rightChars="-10"/>
              <w:rPr>
                <w:rFonts w:cs="宋体"/>
                <w:bCs/>
                <w:szCs w:val="21"/>
              </w:rPr>
            </w:pPr>
            <w:r>
              <w:rPr>
                <w:rFonts w:cs="宋体"/>
                <w:bCs/>
                <w:szCs w:val="21"/>
              </w:rPr>
              <w:t>8</w:t>
            </w:r>
            <w:r>
              <w:rPr>
                <w:rFonts w:hint="eastAsia" w:cs="宋体"/>
                <w:bCs/>
                <w:szCs w:val="21"/>
                <w:lang w:val="en-US" w:eastAsia="zh-CN"/>
              </w:rPr>
              <w:t>.</w:t>
            </w:r>
            <w:r>
              <w:rPr>
                <w:rFonts w:cs="宋体"/>
                <w:bCs/>
                <w:szCs w:val="21"/>
              </w:rPr>
              <w:t>集团架构</w:t>
            </w:r>
            <w:r>
              <w:rPr>
                <w:rFonts w:hint="eastAsia" w:cs="宋体"/>
                <w:bCs/>
                <w:szCs w:val="21"/>
                <w:lang w:eastAsia="zh-CN"/>
              </w:rPr>
              <w:t>：</w:t>
            </w:r>
            <w:r>
              <w:rPr>
                <w:rFonts w:hint="eastAsia" w:ascii="宋体" w:hAnsi="宋体" w:eastAsia="宋体" w:cs="宋体"/>
                <w:szCs w:val="24"/>
                <w:lang w:eastAsia="zh-CN"/>
              </w:rPr>
              <w:t>①</w:t>
            </w:r>
            <w:r>
              <w:rPr>
                <w:rFonts w:cs="宋体"/>
                <w:bCs/>
                <w:szCs w:val="21"/>
              </w:rPr>
              <w:t>区域内共享主数据；</w:t>
            </w:r>
            <w:r>
              <w:rPr>
                <w:rFonts w:hint="eastAsia" w:ascii="宋体" w:hAnsi="宋体" w:eastAsia="宋体" w:cs="宋体"/>
                <w:szCs w:val="24"/>
                <w:lang w:eastAsia="zh-CN"/>
              </w:rPr>
              <w:t>②</w:t>
            </w:r>
            <w:r>
              <w:rPr>
                <w:rFonts w:cs="宋体"/>
                <w:bCs/>
                <w:szCs w:val="21"/>
              </w:rPr>
              <w:t>经授权医共体内可在医师界面对另一医疗患者下达医嘱或审核医嘱；</w:t>
            </w:r>
            <w:r>
              <w:rPr>
                <w:rFonts w:hint="eastAsia" w:ascii="宋体" w:hAnsi="宋体" w:eastAsia="宋体" w:cs="宋体"/>
                <w:szCs w:val="24"/>
                <w:lang w:eastAsia="zh-CN"/>
              </w:rPr>
              <w:t>③</w:t>
            </w:r>
            <w:r>
              <w:rPr>
                <w:rFonts w:cs="宋体"/>
                <w:bCs/>
                <w:szCs w:val="21"/>
              </w:rPr>
              <w:t>区域内各类病历资料可连续列示查阅；</w:t>
            </w:r>
            <w:r>
              <w:rPr>
                <w:rFonts w:hint="eastAsia" w:ascii="宋体" w:hAnsi="宋体" w:eastAsia="宋体" w:cs="宋体"/>
                <w:szCs w:val="24"/>
                <w:lang w:eastAsia="zh-CN"/>
              </w:rPr>
              <w:t>④</w:t>
            </w:r>
            <w:r>
              <w:rPr>
                <w:rFonts w:cs="宋体"/>
                <w:bCs/>
                <w:szCs w:val="21"/>
              </w:rPr>
              <w:t>各类报表（举列不少于20种）可在本单位及多单位列示两方式之间切换。</w:t>
            </w:r>
            <w:r>
              <w:rPr>
                <w:rFonts w:hint="eastAsia" w:cs="宋体"/>
                <w:szCs w:val="24"/>
              </w:rPr>
              <w:t>经</w:t>
            </w:r>
            <w:r>
              <w:rPr>
                <w:rFonts w:cs="宋体"/>
                <w:szCs w:val="24"/>
              </w:rPr>
              <w:t>评审，</w:t>
            </w:r>
            <w:r>
              <w:rPr>
                <w:rFonts w:hint="eastAsia" w:cs="宋体"/>
                <w:szCs w:val="24"/>
              </w:rPr>
              <w:t>以</w:t>
            </w:r>
            <w:r>
              <w:rPr>
                <w:rFonts w:cs="宋体"/>
                <w:szCs w:val="24"/>
              </w:rPr>
              <w:t>上功能</w:t>
            </w:r>
            <w:r>
              <w:rPr>
                <w:rFonts w:hint="eastAsia" w:cs="宋体"/>
                <w:szCs w:val="24"/>
              </w:rPr>
              <w:t>每满足一项得</w:t>
            </w:r>
            <w:r>
              <w:rPr>
                <w:rFonts w:cs="宋体"/>
                <w:szCs w:val="24"/>
              </w:rPr>
              <w:t>1</w:t>
            </w:r>
            <w:r>
              <w:rPr>
                <w:rFonts w:hint="eastAsia" w:cs="宋体"/>
                <w:szCs w:val="24"/>
              </w:rPr>
              <w:t>分，否则</w:t>
            </w:r>
            <w:r>
              <w:rPr>
                <w:rFonts w:cs="宋体"/>
                <w:szCs w:val="24"/>
              </w:rPr>
              <w:t>不得分</w:t>
            </w:r>
            <w:r>
              <w:rPr>
                <w:rFonts w:hint="eastAsia" w:cs="宋体"/>
                <w:szCs w:val="24"/>
              </w:rPr>
              <w:t>，本项最多得</w:t>
            </w:r>
            <w:r>
              <w:rPr>
                <w:rFonts w:cs="宋体"/>
                <w:szCs w:val="24"/>
              </w:rPr>
              <w:t>4</w:t>
            </w:r>
            <w:r>
              <w:rPr>
                <w:rFonts w:hint="eastAsia" w:cs="宋体"/>
                <w:szCs w:val="24"/>
              </w:rPr>
              <w:t>分。</w:t>
            </w:r>
            <w:r>
              <w:rPr>
                <w:rFonts w:hint="eastAsia" w:cs="宋体"/>
                <w:szCs w:val="24"/>
                <w:lang w:eastAsia="zh-CN"/>
              </w:rPr>
              <w:t>注：进行线上远程演示，</w:t>
            </w:r>
            <w:r>
              <w:rPr>
                <w:rFonts w:hint="eastAsia" w:ascii="宋体" w:hAnsi="宋体" w:eastAsia="宋体" w:cs="宋体"/>
                <w:sz w:val="24"/>
                <w:szCs w:val="24"/>
                <w:lang w:val="en-US" w:eastAsia="zh-CN" w:bidi="ar-SA"/>
              </w:rPr>
              <w:t>投标人在拟投平台（系统）部署的计算机上进行操作演示、或录制操作视频播放的方式进行远程演示。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0" w:hRule="atLeast"/>
          <w:jc w:val="center"/>
        </w:trPr>
        <w:tc>
          <w:tcPr>
            <w:tcW w:w="787" w:type="dxa"/>
            <w:vMerge w:val="continue"/>
            <w:tcBorders>
              <w:tl2br w:val="nil"/>
              <w:tr2bl w:val="nil"/>
            </w:tcBorders>
            <w:vAlign w:val="center"/>
          </w:tcPr>
          <w:p>
            <w:pPr>
              <w:numPr>
                <w:ilvl w:val="0"/>
                <w:numId w:val="64"/>
              </w:numPr>
              <w:tabs>
                <w:tab w:val="left" w:pos="447"/>
              </w:tabs>
              <w:wordWrap w:val="0"/>
              <w:spacing w:line="360" w:lineRule="auto"/>
              <w:ind w:left="0" w:right="-48" w:rightChars="-20" w:firstLine="0"/>
              <w:jc w:val="center"/>
              <w:rPr>
                <w:rFonts w:hint="eastAsia" w:cs="宋体"/>
                <w:b/>
                <w:szCs w:val="24"/>
              </w:rPr>
            </w:pPr>
          </w:p>
        </w:tc>
        <w:tc>
          <w:tcPr>
            <w:tcW w:w="1136" w:type="dxa"/>
            <w:vMerge w:val="continue"/>
            <w:tcBorders>
              <w:tl2br w:val="nil"/>
              <w:tr2bl w:val="nil"/>
            </w:tcBorders>
            <w:vAlign w:val="center"/>
          </w:tcPr>
          <w:p>
            <w:pPr>
              <w:wordWrap w:val="0"/>
              <w:spacing w:line="360" w:lineRule="auto"/>
              <w:ind w:left="-24" w:leftChars="-10" w:right="-24" w:rightChars="-10"/>
              <w:jc w:val="center"/>
              <w:rPr>
                <w:rFonts w:hint="eastAsia" w:cs="宋体"/>
                <w:szCs w:val="24"/>
              </w:rPr>
            </w:pPr>
          </w:p>
        </w:tc>
        <w:tc>
          <w:tcPr>
            <w:tcW w:w="773" w:type="dxa"/>
            <w:tcBorders>
              <w:tl2br w:val="nil"/>
              <w:tr2bl w:val="nil"/>
            </w:tcBorders>
            <w:vAlign w:val="center"/>
          </w:tcPr>
          <w:p>
            <w:pPr>
              <w:wordWrap w:val="0"/>
              <w:spacing w:line="360" w:lineRule="auto"/>
              <w:ind w:left="-24" w:leftChars="-10" w:right="-24" w:rightChars="-10"/>
              <w:jc w:val="center"/>
              <w:rPr>
                <w:rFonts w:hint="eastAsia" w:cs="宋体"/>
                <w:szCs w:val="24"/>
              </w:rPr>
            </w:pPr>
            <w:r>
              <w:rPr>
                <w:rFonts w:hint="eastAsia" w:cs="宋体"/>
                <w:szCs w:val="24"/>
              </w:rPr>
              <w:t>6</w:t>
            </w:r>
          </w:p>
        </w:tc>
        <w:tc>
          <w:tcPr>
            <w:tcW w:w="7084" w:type="dxa"/>
            <w:tcBorders>
              <w:tl2br w:val="nil"/>
              <w:tr2bl w:val="nil"/>
            </w:tcBorders>
            <w:vAlign w:val="center"/>
          </w:tcPr>
          <w:p>
            <w:pPr>
              <w:wordWrap w:val="0"/>
              <w:spacing w:line="360" w:lineRule="auto"/>
              <w:ind w:left="-24" w:leftChars="-10" w:right="-24" w:rightChars="-10"/>
              <w:rPr>
                <w:rFonts w:cs="宋体"/>
                <w:bCs/>
                <w:szCs w:val="21"/>
              </w:rPr>
            </w:pPr>
            <w:r>
              <w:rPr>
                <w:rFonts w:cs="宋体"/>
                <w:bCs/>
                <w:szCs w:val="21"/>
              </w:rPr>
              <w:t>9</w:t>
            </w:r>
            <w:r>
              <w:rPr>
                <w:rFonts w:hint="eastAsia" w:cs="宋体"/>
                <w:bCs/>
                <w:szCs w:val="21"/>
                <w:lang w:val="en-US" w:eastAsia="zh-CN"/>
              </w:rPr>
              <w:t>.</w:t>
            </w:r>
            <w:r>
              <w:rPr>
                <w:rFonts w:cs="宋体"/>
                <w:bCs/>
                <w:szCs w:val="21"/>
              </w:rPr>
              <w:t>软件发布系统</w:t>
            </w:r>
            <w:r>
              <w:rPr>
                <w:rFonts w:hint="eastAsia" w:cs="宋体"/>
                <w:bCs/>
                <w:szCs w:val="21"/>
                <w:lang w:eastAsia="zh-CN"/>
              </w:rPr>
              <w:t>：</w:t>
            </w:r>
            <w:r>
              <w:rPr>
                <w:rFonts w:hint="eastAsia" w:ascii="宋体" w:hAnsi="宋体" w:eastAsia="宋体" w:cs="宋体"/>
                <w:szCs w:val="24"/>
                <w:lang w:eastAsia="zh-CN"/>
              </w:rPr>
              <w:t>①</w:t>
            </w:r>
            <w:r>
              <w:rPr>
                <w:rFonts w:cs="宋体"/>
                <w:bCs/>
                <w:szCs w:val="21"/>
              </w:rPr>
              <w:t>支持浏览和查询模块的任务发布记录；</w:t>
            </w:r>
            <w:r>
              <w:rPr>
                <w:rFonts w:hint="eastAsia" w:ascii="宋体" w:hAnsi="宋体" w:eastAsia="宋体" w:cs="宋体"/>
                <w:szCs w:val="24"/>
                <w:lang w:eastAsia="zh-CN"/>
              </w:rPr>
              <w:t>②</w:t>
            </w:r>
            <w:r>
              <w:rPr>
                <w:rFonts w:cs="宋体"/>
                <w:bCs/>
                <w:szCs w:val="21"/>
              </w:rPr>
              <w:t>支持下载不同版本的模块包；</w:t>
            </w:r>
            <w:r>
              <w:rPr>
                <w:rFonts w:hint="eastAsia" w:ascii="宋体" w:hAnsi="宋体" w:eastAsia="宋体" w:cs="宋体"/>
                <w:szCs w:val="24"/>
                <w:lang w:eastAsia="zh-CN"/>
              </w:rPr>
              <w:t>③</w:t>
            </w:r>
            <w:r>
              <w:rPr>
                <w:rFonts w:cs="宋体"/>
                <w:bCs/>
                <w:szCs w:val="21"/>
              </w:rPr>
              <w:t>支持对模块包进行归档和作废；</w:t>
            </w:r>
            <w:r>
              <w:rPr>
                <w:rFonts w:hint="eastAsia" w:ascii="宋体" w:hAnsi="宋体" w:eastAsia="宋体" w:cs="宋体"/>
                <w:szCs w:val="24"/>
                <w:lang w:eastAsia="zh-CN"/>
              </w:rPr>
              <w:t>④</w:t>
            </w:r>
            <w:r>
              <w:rPr>
                <w:rFonts w:cs="宋体"/>
                <w:bCs/>
                <w:szCs w:val="21"/>
              </w:rPr>
              <w:t>支持对日常开发人员的上传模块进行质量分析；</w:t>
            </w:r>
            <w:r>
              <w:rPr>
                <w:rFonts w:hint="eastAsia" w:ascii="宋体" w:hAnsi="宋体" w:eastAsia="宋体" w:cs="宋体"/>
                <w:szCs w:val="24"/>
                <w:lang w:eastAsia="zh-CN"/>
              </w:rPr>
              <w:t>⑤</w:t>
            </w:r>
            <w:r>
              <w:rPr>
                <w:rFonts w:cs="宋体"/>
                <w:bCs/>
                <w:szCs w:val="21"/>
              </w:rPr>
              <w:t>支持客户环境系统更新情况查询分析；</w:t>
            </w:r>
            <w:r>
              <w:rPr>
                <w:rFonts w:hint="eastAsia" w:ascii="宋体" w:hAnsi="宋体" w:eastAsia="宋体" w:cs="宋体"/>
                <w:szCs w:val="24"/>
                <w:lang w:eastAsia="zh-CN"/>
              </w:rPr>
              <w:t>⑥</w:t>
            </w:r>
            <w:r>
              <w:rPr>
                <w:rFonts w:cs="宋体"/>
                <w:bCs/>
                <w:szCs w:val="21"/>
              </w:rPr>
              <w:t>支持将中心端的包文件、基础数据、核心数据同步到医院端。</w:t>
            </w:r>
            <w:r>
              <w:rPr>
                <w:rFonts w:hint="eastAsia" w:cs="宋体"/>
                <w:szCs w:val="24"/>
              </w:rPr>
              <w:t>经</w:t>
            </w:r>
            <w:r>
              <w:rPr>
                <w:rFonts w:cs="宋体"/>
                <w:szCs w:val="24"/>
              </w:rPr>
              <w:t>评审，</w:t>
            </w:r>
            <w:r>
              <w:rPr>
                <w:rFonts w:hint="eastAsia" w:cs="宋体"/>
                <w:szCs w:val="24"/>
              </w:rPr>
              <w:t>以</w:t>
            </w:r>
            <w:r>
              <w:rPr>
                <w:rFonts w:cs="宋体"/>
                <w:szCs w:val="24"/>
              </w:rPr>
              <w:t>上功能</w:t>
            </w:r>
            <w:r>
              <w:rPr>
                <w:rFonts w:hint="eastAsia" w:cs="宋体"/>
                <w:szCs w:val="24"/>
              </w:rPr>
              <w:t>每满足一项得</w:t>
            </w:r>
            <w:r>
              <w:rPr>
                <w:rFonts w:cs="宋体"/>
                <w:szCs w:val="24"/>
              </w:rPr>
              <w:t>1</w:t>
            </w:r>
            <w:r>
              <w:rPr>
                <w:rFonts w:hint="eastAsia" w:cs="宋体"/>
                <w:szCs w:val="24"/>
              </w:rPr>
              <w:t>分，否则</w:t>
            </w:r>
            <w:r>
              <w:rPr>
                <w:rFonts w:cs="宋体"/>
                <w:szCs w:val="24"/>
              </w:rPr>
              <w:t>不得分</w:t>
            </w:r>
            <w:r>
              <w:rPr>
                <w:rFonts w:hint="eastAsia" w:cs="宋体"/>
                <w:szCs w:val="24"/>
              </w:rPr>
              <w:t>，本项最多得</w:t>
            </w:r>
            <w:r>
              <w:rPr>
                <w:rFonts w:cs="宋体"/>
                <w:szCs w:val="24"/>
              </w:rPr>
              <w:t>6</w:t>
            </w:r>
            <w:r>
              <w:rPr>
                <w:rFonts w:hint="eastAsia" w:cs="宋体"/>
                <w:szCs w:val="24"/>
              </w:rPr>
              <w:t>分。</w:t>
            </w:r>
            <w:r>
              <w:rPr>
                <w:rFonts w:hint="eastAsia" w:cs="宋体"/>
                <w:szCs w:val="24"/>
                <w:lang w:eastAsia="zh-CN"/>
              </w:rPr>
              <w:t>注：进行线上远程演示，</w:t>
            </w:r>
            <w:r>
              <w:rPr>
                <w:rFonts w:hint="eastAsia" w:ascii="宋体" w:hAnsi="宋体" w:eastAsia="宋体" w:cs="宋体"/>
                <w:sz w:val="24"/>
                <w:szCs w:val="24"/>
                <w:lang w:val="en-US" w:eastAsia="zh-CN" w:bidi="ar-SA"/>
              </w:rPr>
              <w:t>投标人在拟投平台（系统）部署的计算机上进行操作演示、或录制操作视频播放的方式进行远程演示。</w:t>
            </w:r>
          </w:p>
        </w:tc>
      </w:tr>
    </w:tbl>
    <w:p>
      <w:pPr>
        <w:spacing w:line="360" w:lineRule="auto"/>
        <w:rPr>
          <w:rFonts w:hint="eastAsia"/>
          <w:b/>
          <w:szCs w:val="24"/>
          <w:lang w:val="zh-CN"/>
        </w:rPr>
      </w:pPr>
      <w:r>
        <w:rPr>
          <w:rFonts w:hint="eastAsia"/>
          <w:b/>
          <w:szCs w:val="24"/>
          <w:lang w:val="zh-CN"/>
        </w:rPr>
        <w:t>4.报价评分（</w:t>
      </w:r>
      <w:r>
        <w:rPr>
          <w:rFonts w:hint="eastAsia"/>
          <w:b/>
          <w:szCs w:val="24"/>
        </w:rPr>
        <w:t>10</w:t>
      </w:r>
      <w:r>
        <w:rPr>
          <w:rFonts w:hint="eastAsia"/>
          <w:b/>
          <w:szCs w:val="24"/>
          <w:lang w:val="zh-CN"/>
        </w:rPr>
        <w:t>分）</w:t>
      </w:r>
    </w:p>
    <w:tbl>
      <w:tblPr>
        <w:tblStyle w:val="29"/>
        <w:tblW w:w="5000"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91"/>
        <w:gridCol w:w="1147"/>
        <w:gridCol w:w="813"/>
        <w:gridCol w:w="6989"/>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40" w:hRule="exact"/>
          <w:tblHeader/>
          <w:jc w:val="center"/>
        </w:trPr>
        <w:tc>
          <w:tcPr>
            <w:tcW w:w="791" w:type="dxa"/>
            <w:tcBorders>
              <w:top w:val="single" w:color="auto" w:sz="12" w:space="0"/>
              <w:left w:val="single" w:color="auto" w:sz="12" w:space="0"/>
              <w:bottom w:val="single" w:color="auto" w:sz="2" w:space="0"/>
              <w:right w:val="single" w:color="auto" w:sz="2" w:space="0"/>
            </w:tcBorders>
            <w:shd w:val="pct10" w:color="C4BC96" w:fill="DDD9C4" w:themeFill="background2" w:themeFillShade="E6"/>
            <w:vAlign w:val="center"/>
          </w:tcPr>
          <w:p>
            <w:pPr>
              <w:wordWrap w:val="0"/>
              <w:spacing w:line="360" w:lineRule="auto"/>
              <w:ind w:left="-89" w:leftChars="-37" w:right="-98" w:rightChars="-41"/>
              <w:jc w:val="center"/>
              <w:rPr>
                <w:rFonts w:hint="eastAsia" w:cs="Courier New"/>
                <w:b/>
                <w:bCs/>
                <w:szCs w:val="24"/>
              </w:rPr>
            </w:pPr>
            <w:r>
              <w:rPr>
                <w:rFonts w:hint="eastAsia"/>
                <w:b/>
                <w:szCs w:val="24"/>
              </w:rPr>
              <w:t>序号</w:t>
            </w:r>
          </w:p>
        </w:tc>
        <w:tc>
          <w:tcPr>
            <w:tcW w:w="1147" w:type="dxa"/>
            <w:tcBorders>
              <w:top w:val="single" w:color="auto" w:sz="12" w:space="0"/>
              <w:left w:val="single" w:color="auto" w:sz="2" w:space="0"/>
              <w:bottom w:val="single" w:color="auto" w:sz="2" w:space="0"/>
              <w:right w:val="single" w:color="auto" w:sz="2" w:space="0"/>
            </w:tcBorders>
            <w:shd w:val="pct10" w:color="C4BC96" w:fill="DDD9C4" w:themeFill="background2" w:themeFillShade="E6"/>
            <w:vAlign w:val="center"/>
          </w:tcPr>
          <w:p>
            <w:pPr>
              <w:wordWrap w:val="0"/>
              <w:spacing w:line="360" w:lineRule="auto"/>
              <w:ind w:left="-89" w:leftChars="-37" w:right="-98" w:rightChars="-41"/>
              <w:jc w:val="center"/>
              <w:rPr>
                <w:rFonts w:hint="eastAsia" w:cs="Courier New"/>
                <w:b/>
                <w:bCs/>
                <w:szCs w:val="24"/>
              </w:rPr>
            </w:pPr>
            <w:r>
              <w:rPr>
                <w:rFonts w:hint="eastAsia"/>
                <w:b/>
                <w:szCs w:val="24"/>
              </w:rPr>
              <w:t>评审因素</w:t>
            </w:r>
          </w:p>
        </w:tc>
        <w:tc>
          <w:tcPr>
            <w:tcW w:w="813" w:type="dxa"/>
            <w:tcBorders>
              <w:top w:val="single" w:color="auto" w:sz="12" w:space="0"/>
              <w:left w:val="single" w:color="auto" w:sz="2" w:space="0"/>
              <w:bottom w:val="single" w:color="auto" w:sz="2" w:space="0"/>
              <w:right w:val="single" w:color="auto" w:sz="2" w:space="0"/>
            </w:tcBorders>
            <w:shd w:val="pct10" w:color="C4BC96" w:fill="DDD9C4" w:themeFill="background2" w:themeFillShade="E6"/>
            <w:vAlign w:val="center"/>
          </w:tcPr>
          <w:p>
            <w:pPr>
              <w:wordWrap w:val="0"/>
              <w:spacing w:line="360" w:lineRule="auto"/>
              <w:ind w:left="-84" w:leftChars="-35" w:right="-91" w:rightChars="-38"/>
              <w:jc w:val="center"/>
              <w:rPr>
                <w:rFonts w:hint="eastAsia" w:cs="Courier New"/>
                <w:b/>
                <w:bCs/>
                <w:szCs w:val="24"/>
              </w:rPr>
            </w:pPr>
            <w:r>
              <w:rPr>
                <w:rFonts w:hint="eastAsia" w:cs="Courier New"/>
                <w:b/>
                <w:bCs/>
                <w:szCs w:val="24"/>
              </w:rPr>
              <w:t>分值</w:t>
            </w:r>
          </w:p>
        </w:tc>
        <w:tc>
          <w:tcPr>
            <w:tcW w:w="6989" w:type="dxa"/>
            <w:tcBorders>
              <w:top w:val="single" w:color="auto" w:sz="12" w:space="0"/>
              <w:left w:val="single" w:color="auto" w:sz="2" w:space="0"/>
              <w:bottom w:val="single" w:color="auto" w:sz="2" w:space="0"/>
              <w:right w:val="single" w:color="auto" w:sz="12" w:space="0"/>
            </w:tcBorders>
            <w:shd w:val="pct10" w:color="C4BC96" w:fill="DDD9C4" w:themeFill="background2" w:themeFillShade="E6"/>
            <w:vAlign w:val="center"/>
          </w:tcPr>
          <w:p>
            <w:pPr>
              <w:wordWrap w:val="0"/>
              <w:spacing w:line="360" w:lineRule="auto"/>
              <w:jc w:val="center"/>
              <w:rPr>
                <w:rFonts w:hint="eastAsia" w:cs="Courier New"/>
                <w:b/>
                <w:bCs/>
                <w:szCs w:val="24"/>
              </w:rPr>
            </w:pPr>
            <w:r>
              <w:rPr>
                <w:rFonts w:hint="eastAsia" w:cs="Courier New"/>
                <w:b/>
                <w:bCs/>
                <w:szCs w:val="24"/>
              </w:rPr>
              <w:t>评分标准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69" w:hRule="atLeast"/>
          <w:jc w:val="center"/>
        </w:trPr>
        <w:tc>
          <w:tcPr>
            <w:tcW w:w="791" w:type="dxa"/>
            <w:tcBorders>
              <w:top w:val="single" w:color="auto" w:sz="2" w:space="0"/>
              <w:left w:val="single" w:color="auto" w:sz="12" w:space="0"/>
              <w:bottom w:val="single" w:color="auto" w:sz="12" w:space="0"/>
              <w:right w:val="single" w:color="auto" w:sz="2" w:space="0"/>
            </w:tcBorders>
            <w:vAlign w:val="center"/>
          </w:tcPr>
          <w:p>
            <w:pPr>
              <w:numPr>
                <w:ilvl w:val="0"/>
                <w:numId w:val="65"/>
              </w:numPr>
              <w:tabs>
                <w:tab w:val="left" w:pos="447"/>
              </w:tabs>
              <w:wordWrap w:val="0"/>
              <w:spacing w:line="360" w:lineRule="auto"/>
              <w:ind w:left="0" w:right="-48" w:rightChars="-20" w:firstLine="0"/>
              <w:jc w:val="center"/>
              <w:rPr>
                <w:rFonts w:hint="eastAsia"/>
                <w:b/>
                <w:bCs/>
                <w:szCs w:val="24"/>
              </w:rPr>
            </w:pPr>
          </w:p>
        </w:tc>
        <w:tc>
          <w:tcPr>
            <w:tcW w:w="1147" w:type="dxa"/>
            <w:tcBorders>
              <w:top w:val="single" w:color="auto" w:sz="2" w:space="0"/>
              <w:left w:val="single" w:color="auto" w:sz="2" w:space="0"/>
              <w:bottom w:val="single" w:color="auto" w:sz="12" w:space="0"/>
              <w:right w:val="single" w:color="auto" w:sz="2" w:space="0"/>
            </w:tcBorders>
            <w:vAlign w:val="center"/>
          </w:tcPr>
          <w:p>
            <w:pPr>
              <w:wordWrap w:val="0"/>
              <w:spacing w:line="360" w:lineRule="auto"/>
              <w:ind w:left="-89" w:leftChars="-37" w:right="-98" w:rightChars="-41"/>
              <w:jc w:val="center"/>
              <w:rPr>
                <w:rFonts w:hint="eastAsia"/>
                <w:bCs/>
                <w:szCs w:val="24"/>
              </w:rPr>
            </w:pPr>
            <w:r>
              <w:rPr>
                <w:rFonts w:hint="eastAsia"/>
                <w:bCs/>
                <w:szCs w:val="24"/>
              </w:rPr>
              <w:t>价格评审</w:t>
            </w:r>
          </w:p>
        </w:tc>
        <w:tc>
          <w:tcPr>
            <w:tcW w:w="813" w:type="dxa"/>
            <w:tcBorders>
              <w:top w:val="single" w:color="auto" w:sz="2" w:space="0"/>
              <w:left w:val="single" w:color="auto" w:sz="2" w:space="0"/>
              <w:bottom w:val="single" w:color="auto" w:sz="12" w:space="0"/>
              <w:right w:val="single" w:color="auto" w:sz="2" w:space="0"/>
            </w:tcBorders>
            <w:vAlign w:val="center"/>
          </w:tcPr>
          <w:p>
            <w:pPr>
              <w:wordWrap w:val="0"/>
              <w:spacing w:line="360" w:lineRule="auto"/>
              <w:jc w:val="center"/>
              <w:rPr>
                <w:rFonts w:hint="eastAsia"/>
                <w:szCs w:val="24"/>
              </w:rPr>
            </w:pPr>
            <w:r>
              <w:rPr>
                <w:rFonts w:hint="eastAsia"/>
                <w:szCs w:val="24"/>
              </w:rPr>
              <w:t>10</w:t>
            </w:r>
          </w:p>
        </w:tc>
        <w:tc>
          <w:tcPr>
            <w:tcW w:w="6989" w:type="dxa"/>
            <w:tcBorders>
              <w:top w:val="single" w:color="auto" w:sz="2" w:space="0"/>
              <w:left w:val="single" w:color="auto" w:sz="2" w:space="0"/>
              <w:bottom w:val="single" w:color="auto" w:sz="12" w:space="0"/>
              <w:right w:val="single" w:color="auto" w:sz="12" w:space="0"/>
            </w:tcBorders>
            <w:vAlign w:val="center"/>
          </w:tcPr>
          <w:p>
            <w:pPr>
              <w:wordWrap w:val="0"/>
              <w:adjustRightInd w:val="0"/>
              <w:snapToGrid w:val="0"/>
              <w:spacing w:line="360" w:lineRule="auto"/>
              <w:rPr>
                <w:rFonts w:hint="eastAsia"/>
                <w:szCs w:val="24"/>
              </w:rPr>
            </w:pPr>
            <w:r>
              <w:rPr>
                <w:rFonts w:hint="eastAsia"/>
                <w:szCs w:val="24"/>
              </w:rPr>
              <w:t>报价分采用低价优先法计算，即满足招标文件要求且投标报价</w:t>
            </w:r>
            <w:r>
              <w:rPr>
                <w:rFonts w:hint="eastAsia"/>
                <w:b/>
                <w:szCs w:val="24"/>
              </w:rPr>
              <w:t>（因落实政府采购政策进行价格扣除的，以扣除后的价格计算）</w:t>
            </w:r>
            <w:r>
              <w:rPr>
                <w:rFonts w:hint="eastAsia"/>
                <w:szCs w:val="24"/>
              </w:rPr>
              <w:t>最低的报价为评标基准价，其报价得分为满分。其他投标人的报价分值按照下列公式计算：报价得分=（评标基准价／投标报价）×</w:t>
            </w:r>
            <w:r>
              <w:rPr>
                <w:rFonts w:hint="eastAsia"/>
                <w:b/>
                <w:szCs w:val="24"/>
              </w:rPr>
              <w:t>10分</w:t>
            </w:r>
          </w:p>
        </w:tc>
      </w:tr>
    </w:tbl>
    <w:p>
      <w:pPr>
        <w:pStyle w:val="11"/>
        <w:spacing w:line="360" w:lineRule="auto"/>
        <w:rPr>
          <w:sz w:val="36"/>
          <w:szCs w:val="36"/>
        </w:rPr>
      </w:pPr>
      <w:r>
        <w:rPr>
          <w:rFonts w:hint="eastAsia"/>
        </w:rPr>
        <w:t xml:space="preserve">  </w:t>
      </w:r>
      <w:r>
        <w:rPr>
          <w:rFonts w:hint="eastAsia"/>
          <w:sz w:val="36"/>
          <w:szCs w:val="36"/>
        </w:rPr>
        <w:br w:type="page"/>
      </w:r>
    </w:p>
    <w:p>
      <w:pPr>
        <w:pStyle w:val="11"/>
        <w:spacing w:line="360" w:lineRule="auto"/>
        <w:rPr>
          <w:rFonts w:hint="eastAsia"/>
          <w:b/>
          <w:bCs/>
          <w:kern w:val="44"/>
          <w:szCs w:val="24"/>
        </w:rPr>
      </w:pPr>
    </w:p>
    <w:bookmarkEnd w:id="579"/>
    <w:bookmarkEnd w:id="580"/>
    <w:bookmarkEnd w:id="581"/>
    <w:bookmarkEnd w:id="582"/>
    <w:bookmarkEnd w:id="583"/>
    <w:bookmarkEnd w:id="584"/>
    <w:p>
      <w:pPr>
        <w:pStyle w:val="2"/>
        <w:numPr>
          <w:ilvl w:val="0"/>
          <w:numId w:val="1"/>
        </w:numPr>
        <w:tabs>
          <w:tab w:val="left" w:pos="1276"/>
        </w:tabs>
        <w:wordWrap w:val="0"/>
        <w:spacing w:before="120" w:after="120" w:line="360" w:lineRule="auto"/>
        <w:ind w:left="723" w:hanging="723" w:hangingChars="200"/>
        <w:jc w:val="center"/>
        <w:rPr>
          <w:sz w:val="36"/>
          <w:szCs w:val="36"/>
        </w:rPr>
      </w:pPr>
      <w:bookmarkStart w:id="585" w:name="_Toc102114957"/>
      <w:bookmarkStart w:id="586" w:name="_Toc102116059"/>
      <w:bookmarkStart w:id="587" w:name="_Toc511894520"/>
      <w:bookmarkStart w:id="588" w:name="_Toc102119890"/>
      <w:bookmarkStart w:id="589" w:name="_Toc102116189"/>
      <w:bookmarkStart w:id="590" w:name="_Toc102057755"/>
      <w:bookmarkStart w:id="591" w:name="_Toc102056255"/>
      <w:bookmarkStart w:id="592" w:name="_Toc117244372"/>
      <w:bookmarkStart w:id="593" w:name="_Toc117244487"/>
      <w:bookmarkStart w:id="594" w:name="_Toc5743"/>
      <w:bookmarkStart w:id="595" w:name="_Toc8811"/>
      <w:r>
        <w:rPr>
          <w:rFonts w:hint="eastAsia"/>
          <w:sz w:val="36"/>
          <w:szCs w:val="36"/>
        </w:rPr>
        <w:t>合同文本格式（参考）</w:t>
      </w:r>
      <w:bookmarkEnd w:id="585"/>
      <w:bookmarkEnd w:id="586"/>
      <w:bookmarkEnd w:id="587"/>
      <w:bookmarkEnd w:id="588"/>
      <w:bookmarkEnd w:id="589"/>
      <w:bookmarkEnd w:id="590"/>
      <w:bookmarkEnd w:id="591"/>
      <w:bookmarkEnd w:id="592"/>
      <w:bookmarkEnd w:id="593"/>
      <w:bookmarkEnd w:id="594"/>
      <w:bookmarkEnd w:id="595"/>
    </w:p>
    <w:p>
      <w:pPr>
        <w:wordWrap w:val="0"/>
        <w:spacing w:line="360" w:lineRule="auto"/>
        <w:jc w:val="center"/>
        <w:rPr>
          <w:bCs/>
          <w:sz w:val="36"/>
          <w:szCs w:val="36"/>
        </w:rPr>
      </w:pPr>
      <w:r>
        <w:rPr>
          <w:rFonts w:hint="eastAsia"/>
        </w:rPr>
        <w:t>（</w:t>
      </w:r>
      <w:r>
        <w:rPr>
          <w:rFonts w:hint="eastAsia"/>
          <w:szCs w:val="24"/>
        </w:rPr>
        <w:t>此合同书仅作为签订正式合同时的参考，正式合同书应包括本参考格式的内容）</w:t>
      </w:r>
    </w:p>
    <w:p>
      <w:pPr>
        <w:wordWrap w:val="0"/>
        <w:spacing w:line="360" w:lineRule="auto"/>
        <w:jc w:val="left"/>
        <w:rPr>
          <w:bCs/>
          <w:sz w:val="28"/>
          <w:szCs w:val="28"/>
        </w:rPr>
      </w:pPr>
      <w:r>
        <w:rPr>
          <w:rFonts w:hint="eastAsia" w:cs="Helvetica"/>
          <w:bCs/>
          <w:szCs w:val="24"/>
          <w:lang w:val="zh-CN"/>
        </w:rPr>
        <w:t>合同编号：</w:t>
      </w:r>
      <w:r>
        <w:rPr>
          <w:rFonts w:hint="eastAsia" w:cs="Helvetica"/>
          <w:bCs/>
          <w:szCs w:val="24"/>
          <w:u w:val="single"/>
        </w:rPr>
        <w:t xml:space="preserve">              </w:t>
      </w:r>
    </w:p>
    <w:p>
      <w:pPr>
        <w:wordWrap w:val="0"/>
        <w:spacing w:line="360" w:lineRule="auto"/>
        <w:jc w:val="center"/>
        <w:rPr>
          <w:bCs/>
          <w:sz w:val="36"/>
          <w:szCs w:val="36"/>
        </w:rPr>
      </w:pPr>
    </w:p>
    <w:p>
      <w:pPr>
        <w:wordWrap w:val="0"/>
        <w:spacing w:line="360" w:lineRule="auto"/>
        <w:jc w:val="center"/>
        <w:rPr>
          <w:bCs/>
          <w:sz w:val="36"/>
          <w:szCs w:val="36"/>
        </w:rPr>
      </w:pPr>
    </w:p>
    <w:p>
      <w:pPr>
        <w:wordWrap w:val="0"/>
        <w:spacing w:line="360" w:lineRule="auto"/>
        <w:jc w:val="center"/>
        <w:rPr>
          <w:b/>
          <w:bCs/>
          <w:sz w:val="72"/>
          <w:szCs w:val="72"/>
        </w:rPr>
      </w:pPr>
      <w:r>
        <w:rPr>
          <w:rFonts w:hint="eastAsia"/>
          <w:b/>
          <w:bCs/>
          <w:sz w:val="72"/>
          <w:szCs w:val="72"/>
        </w:rPr>
        <w:t>合   同   书</w:t>
      </w:r>
    </w:p>
    <w:p>
      <w:pPr>
        <w:wordWrap w:val="0"/>
        <w:spacing w:line="360" w:lineRule="auto"/>
        <w:jc w:val="center"/>
        <w:rPr>
          <w:bCs/>
          <w:sz w:val="10"/>
          <w:szCs w:val="10"/>
        </w:rPr>
      </w:pPr>
    </w:p>
    <w:p>
      <w:pPr>
        <w:wordWrap w:val="0"/>
        <w:spacing w:line="360" w:lineRule="auto"/>
      </w:pPr>
    </w:p>
    <w:p>
      <w:pPr>
        <w:wordWrap w:val="0"/>
        <w:spacing w:line="360" w:lineRule="auto"/>
      </w:pPr>
    </w:p>
    <w:p>
      <w:pPr>
        <w:wordWrap w:val="0"/>
        <w:spacing w:line="360" w:lineRule="auto"/>
        <w:rPr>
          <w:sz w:val="28"/>
          <w:szCs w:val="28"/>
        </w:rPr>
      </w:pPr>
    </w:p>
    <w:p>
      <w:pPr>
        <w:wordWrap w:val="0"/>
        <w:spacing w:before="78" w:beforeLines="25" w:line="360" w:lineRule="auto"/>
        <w:ind w:firstLine="1124" w:firstLineChars="400"/>
        <w:rPr>
          <w:rFonts w:cs="Helvetica"/>
          <w:sz w:val="28"/>
          <w:szCs w:val="28"/>
          <w:u w:val="single"/>
          <w:lang w:val="zh-CN"/>
        </w:rPr>
      </w:pPr>
      <w:r>
        <w:rPr>
          <w:rFonts w:hint="eastAsia" w:cs="Helvetica"/>
          <w:b/>
          <w:sz w:val="28"/>
          <w:szCs w:val="28"/>
          <w:lang w:val="zh-CN"/>
        </w:rPr>
        <w:t>项目名称：</w:t>
      </w:r>
      <w:r>
        <w:rPr>
          <w:rFonts w:hint="eastAsia" w:cs="Helvetica"/>
          <w:sz w:val="28"/>
          <w:szCs w:val="28"/>
          <w:u w:val="single"/>
          <w:lang w:val="zh-CN"/>
        </w:rPr>
        <w:t xml:space="preserve">                                            </w:t>
      </w:r>
    </w:p>
    <w:p>
      <w:pPr>
        <w:wordWrap w:val="0"/>
        <w:spacing w:before="78" w:beforeLines="25" w:line="360" w:lineRule="auto"/>
        <w:rPr>
          <w:rFonts w:cs="Helvetica"/>
          <w:b/>
          <w:sz w:val="28"/>
          <w:szCs w:val="28"/>
          <w:lang w:val="zh-CN"/>
        </w:rPr>
      </w:pPr>
    </w:p>
    <w:p>
      <w:pPr>
        <w:wordWrap w:val="0"/>
        <w:spacing w:before="78" w:beforeLines="25" w:line="360" w:lineRule="auto"/>
        <w:rPr>
          <w:rFonts w:cs="Helvetica"/>
          <w:b/>
          <w:sz w:val="28"/>
          <w:szCs w:val="28"/>
          <w:lang w:val="zh-CN"/>
        </w:rPr>
      </w:pPr>
    </w:p>
    <w:p>
      <w:pPr>
        <w:wordWrap w:val="0"/>
        <w:spacing w:before="78" w:beforeLines="25" w:line="360" w:lineRule="auto"/>
        <w:ind w:firstLine="1124" w:firstLineChars="400"/>
        <w:rPr>
          <w:rFonts w:cs="Helvetica"/>
          <w:bCs/>
          <w:sz w:val="28"/>
          <w:szCs w:val="28"/>
          <w:u w:val="single"/>
          <w:lang w:val="zh-CN"/>
        </w:rPr>
      </w:pPr>
      <w:r>
        <w:rPr>
          <w:rFonts w:hint="eastAsia" w:cs="Helvetica"/>
          <w:b/>
          <w:sz w:val="28"/>
          <w:szCs w:val="28"/>
          <w:lang w:val="zh-CN"/>
        </w:rPr>
        <w:t>甲方（采购人）：</w:t>
      </w:r>
      <w:r>
        <w:rPr>
          <w:rFonts w:hint="eastAsia"/>
          <w:bCs/>
          <w:sz w:val="28"/>
          <w:szCs w:val="28"/>
          <w:u w:val="single"/>
        </w:rPr>
        <w:t xml:space="preserve">                                  </w:t>
      </w:r>
      <w:r>
        <w:rPr>
          <w:rFonts w:hint="eastAsia" w:cs="Helvetica"/>
          <w:bCs/>
          <w:sz w:val="28"/>
          <w:szCs w:val="28"/>
          <w:u w:val="single"/>
          <w:lang w:val="zh-CN"/>
        </w:rPr>
        <w:t xml:space="preserve">    </w:t>
      </w:r>
    </w:p>
    <w:p>
      <w:pPr>
        <w:wordWrap w:val="0"/>
        <w:spacing w:before="78" w:beforeLines="25" w:line="360" w:lineRule="auto"/>
        <w:rPr>
          <w:rFonts w:cs="Helvetica"/>
          <w:b/>
          <w:sz w:val="28"/>
          <w:szCs w:val="28"/>
          <w:lang w:val="zh-CN"/>
        </w:rPr>
      </w:pPr>
    </w:p>
    <w:p>
      <w:pPr>
        <w:wordWrap w:val="0"/>
        <w:spacing w:before="78" w:beforeLines="25" w:line="360" w:lineRule="auto"/>
        <w:ind w:firstLine="1124" w:firstLineChars="400"/>
        <w:rPr>
          <w:b/>
          <w:sz w:val="28"/>
          <w:szCs w:val="28"/>
          <w:u w:val="single"/>
        </w:rPr>
      </w:pPr>
      <w:r>
        <w:rPr>
          <w:rFonts w:hint="eastAsia" w:cs="Helvetica"/>
          <w:b/>
          <w:sz w:val="28"/>
          <w:szCs w:val="28"/>
          <w:lang w:val="zh-CN"/>
        </w:rPr>
        <w:t>乙方（中标人）：</w:t>
      </w:r>
      <w:r>
        <w:rPr>
          <w:rFonts w:hint="eastAsia"/>
          <w:b/>
          <w:sz w:val="28"/>
          <w:szCs w:val="28"/>
          <w:u w:val="single"/>
        </w:rPr>
        <w:t xml:space="preserve">                                      </w:t>
      </w:r>
    </w:p>
    <w:p>
      <w:pPr>
        <w:wordWrap w:val="0"/>
        <w:spacing w:before="78" w:beforeLines="25" w:line="360" w:lineRule="auto"/>
        <w:rPr>
          <w:b/>
          <w:sz w:val="28"/>
          <w:szCs w:val="28"/>
          <w:u w:val="single"/>
        </w:rPr>
      </w:pPr>
    </w:p>
    <w:p>
      <w:pPr>
        <w:wordWrap w:val="0"/>
        <w:spacing w:before="78" w:beforeLines="25" w:line="360" w:lineRule="auto"/>
        <w:ind w:firstLine="1124" w:firstLineChars="400"/>
        <w:rPr>
          <w:sz w:val="28"/>
          <w:szCs w:val="28"/>
          <w:u w:val="single"/>
        </w:rPr>
      </w:pPr>
      <w:r>
        <w:rPr>
          <w:rFonts w:hint="eastAsia" w:cs="Helvetica"/>
          <w:b/>
          <w:sz w:val="28"/>
          <w:szCs w:val="28"/>
          <w:lang w:val="zh-CN"/>
        </w:rPr>
        <w:t>签订地：</w:t>
      </w:r>
      <w:r>
        <w:rPr>
          <w:rFonts w:hint="eastAsia" w:cs="Helvetica"/>
          <w:sz w:val="28"/>
          <w:szCs w:val="28"/>
          <w:u w:val="single"/>
          <w:lang w:val="zh-CN"/>
        </w:rPr>
        <w:t xml:space="preserve">                                              </w:t>
      </w:r>
    </w:p>
    <w:p>
      <w:pPr>
        <w:wordWrap w:val="0"/>
        <w:spacing w:before="78" w:beforeLines="25" w:line="360" w:lineRule="auto"/>
        <w:rPr>
          <w:u w:val="single"/>
        </w:rPr>
      </w:pPr>
    </w:p>
    <w:p>
      <w:pPr>
        <w:pStyle w:val="11"/>
        <w:spacing w:line="360" w:lineRule="auto"/>
      </w:pPr>
    </w:p>
    <w:p>
      <w:pPr>
        <w:wordWrap w:val="0"/>
        <w:spacing w:before="78" w:beforeLines="25" w:line="360" w:lineRule="auto"/>
        <w:ind w:firstLine="1205" w:firstLineChars="500"/>
        <w:rPr>
          <w:b/>
          <w:szCs w:val="24"/>
        </w:rPr>
      </w:pPr>
      <w:r>
        <w:rPr>
          <w:rFonts w:hint="eastAsia" w:cs="Helvetica"/>
          <w:b/>
          <w:szCs w:val="24"/>
          <w:lang w:val="zh-CN"/>
        </w:rPr>
        <w:t>签订</w:t>
      </w:r>
      <w:r>
        <w:rPr>
          <w:rFonts w:hint="eastAsia"/>
          <w:b/>
          <w:szCs w:val="24"/>
        </w:rPr>
        <w:t>日期：</w:t>
      </w:r>
      <w:r>
        <w:rPr>
          <w:rFonts w:hint="eastAsia"/>
          <w:szCs w:val="24"/>
          <w:u w:val="single"/>
        </w:rPr>
        <w:t xml:space="preserve">                </w:t>
      </w:r>
      <w:r>
        <w:rPr>
          <w:rFonts w:hint="eastAsia"/>
          <w:szCs w:val="24"/>
        </w:rPr>
        <w:t>年</w:t>
      </w:r>
      <w:r>
        <w:rPr>
          <w:rFonts w:hint="eastAsia"/>
          <w:szCs w:val="24"/>
          <w:u w:val="single"/>
        </w:rPr>
        <w:t xml:space="preserve">           </w:t>
      </w:r>
      <w:r>
        <w:rPr>
          <w:rFonts w:hint="eastAsia"/>
          <w:szCs w:val="24"/>
        </w:rPr>
        <w:t>月</w:t>
      </w:r>
      <w:r>
        <w:rPr>
          <w:rFonts w:hint="eastAsia"/>
          <w:szCs w:val="24"/>
          <w:u w:val="single"/>
        </w:rPr>
        <w:t xml:space="preserve">            </w:t>
      </w:r>
      <w:r>
        <w:rPr>
          <w:rFonts w:hint="eastAsia"/>
          <w:szCs w:val="24"/>
        </w:rPr>
        <w:t>日</w:t>
      </w:r>
    </w:p>
    <w:p>
      <w:pPr>
        <w:wordWrap w:val="0"/>
        <w:spacing w:before="78" w:beforeLines="25" w:line="360" w:lineRule="auto"/>
        <w:rPr>
          <w:b/>
        </w:rPr>
      </w:pPr>
      <w:r>
        <w:rPr>
          <w:rFonts w:hint="eastAsia"/>
          <w:b/>
        </w:rPr>
        <w:t xml:space="preserve">                                                 </w:t>
      </w:r>
    </w:p>
    <w:p>
      <w:pPr>
        <w:widowControl/>
        <w:wordWrap w:val="0"/>
        <w:spacing w:line="360" w:lineRule="auto"/>
        <w:jc w:val="left"/>
        <w:rPr>
          <w:rFonts w:cs="宋体"/>
          <w:szCs w:val="24"/>
        </w:rPr>
      </w:pPr>
      <w:r>
        <w:rPr>
          <w:rFonts w:cs="宋体"/>
          <w:szCs w:val="24"/>
        </w:rPr>
        <w:br w:type="page"/>
      </w:r>
    </w:p>
    <w:p>
      <w:pPr>
        <w:wordWrap w:val="0"/>
        <w:spacing w:line="360" w:lineRule="auto"/>
        <w:ind w:firstLine="480" w:firstLineChars="200"/>
        <w:rPr>
          <w:szCs w:val="24"/>
        </w:rPr>
      </w:pPr>
      <w:r>
        <w:rPr>
          <w:rFonts w:hint="eastAsia" w:cs="宋体"/>
          <w:szCs w:val="24"/>
        </w:rPr>
        <w:t>本合同由甲乙双方根据《</w:t>
      </w:r>
      <w:r>
        <w:rPr>
          <w:rFonts w:hint="eastAsia" w:cs="宋体"/>
        </w:rPr>
        <w:t>中华人民共和国</w:t>
      </w:r>
      <w:r>
        <w:rPr>
          <w:rFonts w:hint="eastAsia" w:cs="宋体"/>
          <w:szCs w:val="24"/>
        </w:rPr>
        <w:t>政府采购法》《</w:t>
      </w:r>
      <w:r>
        <w:rPr>
          <w:rFonts w:hint="eastAsia" w:cs="宋体"/>
        </w:rPr>
        <w:t>中华人民共和国</w:t>
      </w:r>
      <w:r>
        <w:rPr>
          <w:rFonts w:hint="eastAsia" w:cs="宋体"/>
          <w:szCs w:val="24"/>
        </w:rPr>
        <w:t>政府采购法实施条例》《</w:t>
      </w:r>
      <w:r>
        <w:rPr>
          <w:rFonts w:cs="宋体"/>
          <w:szCs w:val="24"/>
        </w:rPr>
        <w:t>中华人民共和国民法典</w:t>
      </w:r>
      <w:r>
        <w:rPr>
          <w:rFonts w:hint="eastAsia" w:cs="宋体"/>
          <w:szCs w:val="24"/>
        </w:rPr>
        <w:t>》等相关法律法规规定，按</w:t>
      </w:r>
      <w:r>
        <w:rPr>
          <w:rFonts w:hint="eastAsia"/>
          <w:szCs w:val="24"/>
        </w:rPr>
        <w:t>平等、自愿、诚实信用的原则拟定，</w:t>
      </w:r>
      <w:r>
        <w:rPr>
          <w:rFonts w:hint="eastAsia" w:cs="宋体"/>
        </w:rPr>
        <w:t>甲、乙双方均应遵守法律规定和合同约定，并各自履行应负的全部责任和义务。</w:t>
      </w:r>
      <w:r>
        <w:rPr>
          <w:szCs w:val="24"/>
        </w:rPr>
        <w:t xml:space="preserve"> </w:t>
      </w:r>
    </w:p>
    <w:p>
      <w:pPr>
        <w:pStyle w:val="43"/>
        <w:numPr>
          <w:ilvl w:val="0"/>
          <w:numId w:val="66"/>
        </w:numPr>
        <w:wordWrap w:val="0"/>
        <w:spacing w:before="78" w:beforeLines="25" w:line="360" w:lineRule="auto"/>
        <w:ind w:left="993" w:hanging="513" w:firstLineChars="0"/>
        <w:rPr>
          <w:rFonts w:cs="Helvetica"/>
          <w:b/>
          <w:szCs w:val="24"/>
          <w:lang w:val="zh-CN"/>
        </w:rPr>
      </w:pPr>
      <w:r>
        <w:rPr>
          <w:rFonts w:hint="eastAsia" w:cs="Helvetica"/>
          <w:b/>
          <w:szCs w:val="24"/>
          <w:lang w:val="zh-CN"/>
        </w:rPr>
        <w:t>项目基本情况</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pPr>
      <w:r>
        <w:rPr>
          <w:rFonts w:hint="eastAsia"/>
        </w:rPr>
        <w:t>1.项目名称：</w:t>
      </w:r>
      <w:r>
        <w:rPr>
          <w:rFonts w:hint="eastAsia"/>
          <w:u w:val="single"/>
        </w:rPr>
        <w:t xml:space="preserve">         </w:t>
      </w:r>
      <w:r>
        <w:rPr>
          <w:rFonts w:hint="eastAsia" w:cs="Helvetica"/>
          <w:bCs/>
          <w:i/>
          <w:iCs/>
          <w:szCs w:val="24"/>
          <w:u w:val="single"/>
        </w:rPr>
        <w:t>（见招标文件）</w:t>
      </w:r>
      <w:r>
        <w:rPr>
          <w:rFonts w:hint="eastAsia"/>
          <w:u w:val="single"/>
        </w:rPr>
        <w:t xml:space="preserve">               </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pPr>
      <w:r>
        <w:rPr>
          <w:rFonts w:hint="eastAsia"/>
        </w:rPr>
        <w:t>2.项目编号：</w:t>
      </w:r>
      <w:r>
        <w:rPr>
          <w:rFonts w:hint="eastAsia"/>
          <w:u w:val="single"/>
        </w:rPr>
        <w:t xml:space="preserve">          </w:t>
      </w:r>
      <w:r>
        <w:rPr>
          <w:rFonts w:hint="eastAsia" w:cs="Helvetica"/>
          <w:bCs/>
          <w:i/>
          <w:iCs/>
          <w:szCs w:val="24"/>
          <w:u w:val="single"/>
        </w:rPr>
        <w:t>（见招标文件）</w:t>
      </w:r>
      <w:r>
        <w:rPr>
          <w:rFonts w:hint="eastAsia"/>
          <w:u w:val="single"/>
        </w:rPr>
        <w:t xml:space="preserve">              </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pPr>
      <w:r>
        <w:rPr>
          <w:rFonts w:hint="eastAsia"/>
        </w:rPr>
        <w:t>3.政府采购计划备案号：</w:t>
      </w:r>
      <w:r>
        <w:rPr>
          <w:rFonts w:hint="eastAsia"/>
          <w:u w:val="single"/>
        </w:rPr>
        <w:t xml:space="preserve">  </w:t>
      </w:r>
      <w:r>
        <w:rPr>
          <w:rFonts w:hint="eastAsia" w:cs="Helvetica"/>
          <w:bCs/>
          <w:i/>
          <w:iCs/>
          <w:szCs w:val="24"/>
          <w:u w:val="single"/>
        </w:rPr>
        <w:t>（见招标文件）</w:t>
      </w:r>
      <w:r>
        <w:rPr>
          <w:rFonts w:hint="eastAsia"/>
          <w:u w:val="single"/>
        </w:rPr>
        <w:t xml:space="preserve">            </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rPr>
          <w:rFonts w:cs="Helvetica"/>
          <w:szCs w:val="24"/>
          <w:lang w:val="zh-CN"/>
        </w:rPr>
      </w:pPr>
      <w:r>
        <w:rPr>
          <w:rFonts w:hint="eastAsia"/>
        </w:rPr>
        <w:t>4.项目概况：</w:t>
      </w:r>
      <w:r>
        <w:rPr>
          <w:rFonts w:hint="eastAsia" w:cs="Helvetica"/>
          <w:szCs w:val="24"/>
          <w:u w:val="single"/>
          <w:lang w:val="zh-CN"/>
        </w:rPr>
        <w:t xml:space="preserve">              </w:t>
      </w:r>
      <w:r>
        <w:rPr>
          <w:rFonts w:hint="eastAsia" w:cs="Helvetica"/>
          <w:bCs/>
          <w:i/>
          <w:iCs/>
          <w:szCs w:val="24"/>
          <w:u w:val="single"/>
        </w:rPr>
        <w:t>（见招标文件）</w:t>
      </w:r>
      <w:r>
        <w:rPr>
          <w:rFonts w:hint="eastAsia" w:cs="Helvetica"/>
          <w:szCs w:val="24"/>
          <w:u w:val="single"/>
          <w:lang w:val="zh-CN"/>
        </w:rPr>
        <w:t xml:space="preserve">          </w:t>
      </w:r>
      <w:r>
        <w:rPr>
          <w:rFonts w:hint="eastAsia" w:cs="Helvetica"/>
          <w:szCs w:val="24"/>
          <w:lang w:val="zh-CN"/>
        </w:rPr>
        <w:t xml:space="preserve">  </w:t>
      </w:r>
    </w:p>
    <w:p>
      <w:pPr>
        <w:pStyle w:val="43"/>
        <w:numPr>
          <w:ilvl w:val="0"/>
          <w:numId w:val="66"/>
        </w:numPr>
        <w:wordWrap w:val="0"/>
        <w:spacing w:before="78" w:beforeLines="25" w:line="360" w:lineRule="auto"/>
        <w:ind w:firstLineChars="0"/>
        <w:rPr>
          <w:rFonts w:cs="Helvetica"/>
          <w:bCs/>
          <w:iCs/>
          <w:szCs w:val="24"/>
        </w:rPr>
      </w:pPr>
      <w:r>
        <w:rPr>
          <w:rFonts w:hint="eastAsia" w:cs="Helvetica"/>
          <w:b/>
          <w:szCs w:val="24"/>
          <w:lang w:val="zh-CN"/>
        </w:rPr>
        <w:t>标的名称、数量（规模）</w:t>
      </w:r>
      <w:r>
        <w:rPr>
          <w:rFonts w:hint="eastAsia" w:cs="Helvetica"/>
          <w:i/>
          <w:iCs/>
          <w:szCs w:val="24"/>
        </w:rPr>
        <w:t xml:space="preserve"> </w:t>
      </w:r>
    </w:p>
    <w:tbl>
      <w:tblPr>
        <w:tblStyle w:val="29"/>
        <w:tblW w:w="880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90"/>
        <w:gridCol w:w="2378"/>
        <w:gridCol w:w="1132"/>
        <w:gridCol w:w="655"/>
        <w:gridCol w:w="627"/>
        <w:gridCol w:w="859"/>
        <w:gridCol w:w="1425"/>
        <w:gridCol w:w="113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590" w:type="dxa"/>
            <w:shd w:val="pct10" w:color="C3BD96" w:themeColor="background2" w:themeShade="BF" w:fill="DDD9C4" w:themeFill="background2" w:themeFillShade="E6"/>
            <w:vAlign w:val="center"/>
          </w:tcPr>
          <w:p>
            <w:pPr>
              <w:wordWrap w:val="0"/>
              <w:spacing w:line="360" w:lineRule="auto"/>
              <w:ind w:left="-120" w:leftChars="-50" w:right="-120" w:rightChars="-50"/>
              <w:jc w:val="center"/>
              <w:rPr>
                <w:rFonts w:cs="宋体"/>
                <w:b/>
              </w:rPr>
            </w:pPr>
            <w:r>
              <w:rPr>
                <w:rFonts w:hint="eastAsia" w:cs="仿宋_GB2312"/>
                <w:b/>
                <w:szCs w:val="24"/>
              </w:rPr>
              <w:t>序号</w:t>
            </w:r>
          </w:p>
        </w:tc>
        <w:tc>
          <w:tcPr>
            <w:tcW w:w="2378" w:type="dxa"/>
            <w:shd w:val="pct10" w:color="C3BD96" w:themeColor="background2" w:themeShade="BF" w:fill="DDD9C4" w:themeFill="background2" w:themeFillShade="E6"/>
            <w:vAlign w:val="center"/>
          </w:tcPr>
          <w:p>
            <w:pPr>
              <w:wordWrap w:val="0"/>
              <w:spacing w:line="360" w:lineRule="auto"/>
              <w:ind w:left="-55" w:leftChars="-23" w:right="-74" w:rightChars="-31"/>
              <w:jc w:val="center"/>
              <w:rPr>
                <w:rFonts w:cs="宋体"/>
                <w:b/>
              </w:rPr>
            </w:pPr>
            <w:r>
              <w:rPr>
                <w:rFonts w:hint="eastAsia" w:cs="宋体"/>
                <w:b/>
              </w:rPr>
              <w:t>名称</w:t>
            </w:r>
          </w:p>
        </w:tc>
        <w:tc>
          <w:tcPr>
            <w:tcW w:w="1132" w:type="dxa"/>
            <w:shd w:val="pct10" w:color="C3BD96" w:themeColor="background2" w:themeShade="BF" w:fill="DDD9C4" w:themeFill="background2" w:themeFillShade="E6"/>
            <w:vAlign w:val="center"/>
          </w:tcPr>
          <w:p>
            <w:pPr>
              <w:wordWrap w:val="0"/>
              <w:spacing w:line="360" w:lineRule="auto"/>
              <w:ind w:left="-55" w:leftChars="-23" w:right="-74" w:rightChars="-31"/>
              <w:jc w:val="center"/>
              <w:rPr>
                <w:rFonts w:cs="宋体"/>
                <w:b/>
              </w:rPr>
            </w:pPr>
            <w:r>
              <w:rPr>
                <w:rFonts w:hint="eastAsia"/>
                <w:b/>
              </w:rPr>
              <w:t>品牌规格型号</w:t>
            </w:r>
          </w:p>
        </w:tc>
        <w:tc>
          <w:tcPr>
            <w:tcW w:w="655" w:type="dxa"/>
            <w:tcBorders>
              <w:right w:val="single" w:color="auto" w:sz="4" w:space="0"/>
            </w:tcBorders>
            <w:shd w:val="pct10" w:color="C3BD96" w:themeColor="background2" w:themeShade="BF" w:fill="DDD9C4" w:themeFill="background2" w:themeFillShade="E6"/>
            <w:vAlign w:val="center"/>
          </w:tcPr>
          <w:p>
            <w:pPr>
              <w:wordWrap w:val="0"/>
              <w:spacing w:line="360" w:lineRule="auto"/>
              <w:ind w:left="-55" w:leftChars="-23" w:right="-74" w:rightChars="-31"/>
              <w:jc w:val="center"/>
              <w:rPr>
                <w:rFonts w:cs="宋体"/>
                <w:b/>
              </w:rPr>
            </w:pPr>
            <w:r>
              <w:rPr>
                <w:rFonts w:hint="eastAsia" w:cs="宋体"/>
                <w:b/>
              </w:rPr>
              <w:t>数量</w:t>
            </w:r>
          </w:p>
        </w:tc>
        <w:tc>
          <w:tcPr>
            <w:tcW w:w="627" w:type="dxa"/>
            <w:tcBorders>
              <w:left w:val="single" w:color="auto" w:sz="4" w:space="0"/>
            </w:tcBorders>
            <w:shd w:val="pct10" w:color="C3BD96" w:themeColor="background2" w:themeShade="BF" w:fill="DDD9C4" w:themeFill="background2" w:themeFillShade="E6"/>
            <w:vAlign w:val="center"/>
          </w:tcPr>
          <w:p>
            <w:pPr>
              <w:wordWrap w:val="0"/>
              <w:spacing w:line="360" w:lineRule="auto"/>
              <w:ind w:left="-55" w:leftChars="-23" w:right="-74" w:rightChars="-31"/>
              <w:jc w:val="center"/>
              <w:rPr>
                <w:rFonts w:cs="宋体"/>
                <w:b/>
              </w:rPr>
            </w:pPr>
            <w:r>
              <w:rPr>
                <w:rFonts w:hint="eastAsia" w:cs="宋体"/>
                <w:b/>
              </w:rPr>
              <w:t>单位</w:t>
            </w:r>
          </w:p>
        </w:tc>
        <w:tc>
          <w:tcPr>
            <w:tcW w:w="859" w:type="dxa"/>
            <w:shd w:val="pct10" w:color="C3BD96" w:themeColor="background2" w:themeShade="BF" w:fill="DDD9C4" w:themeFill="background2" w:themeFillShade="E6"/>
            <w:vAlign w:val="center"/>
          </w:tcPr>
          <w:p>
            <w:pPr>
              <w:wordWrap w:val="0"/>
              <w:spacing w:line="360" w:lineRule="auto"/>
              <w:ind w:left="-55" w:leftChars="-23" w:right="-74" w:rightChars="-31"/>
              <w:jc w:val="center"/>
              <w:rPr>
                <w:rFonts w:cs="宋体"/>
                <w:b/>
              </w:rPr>
            </w:pPr>
            <w:r>
              <w:rPr>
                <w:rFonts w:hint="eastAsia" w:cs="宋体"/>
                <w:b/>
              </w:rPr>
              <w:t>单价（元</w:t>
            </w:r>
            <w:r>
              <w:rPr>
                <w:rFonts w:cs="宋体"/>
                <w:b/>
              </w:rPr>
              <w:t>）</w:t>
            </w:r>
          </w:p>
        </w:tc>
        <w:tc>
          <w:tcPr>
            <w:tcW w:w="1425" w:type="dxa"/>
            <w:shd w:val="pct10" w:color="C3BD96" w:themeColor="background2" w:themeShade="BF" w:fill="DDD9C4" w:themeFill="background2" w:themeFillShade="E6"/>
            <w:vAlign w:val="center"/>
          </w:tcPr>
          <w:p>
            <w:pPr>
              <w:wordWrap w:val="0"/>
              <w:spacing w:line="360" w:lineRule="auto"/>
              <w:ind w:left="-120" w:leftChars="-50" w:right="-120" w:rightChars="-50"/>
              <w:jc w:val="center"/>
              <w:rPr>
                <w:rFonts w:cs="宋体"/>
                <w:b/>
              </w:rPr>
            </w:pPr>
            <w:r>
              <w:rPr>
                <w:rFonts w:hint="eastAsia" w:cs="宋体"/>
                <w:b/>
              </w:rPr>
              <w:t>分项合计（</w:t>
            </w:r>
            <w:r>
              <w:rPr>
                <w:rFonts w:cs="宋体"/>
                <w:b/>
              </w:rPr>
              <w:t>元）</w:t>
            </w:r>
          </w:p>
        </w:tc>
        <w:tc>
          <w:tcPr>
            <w:tcW w:w="1134" w:type="dxa"/>
            <w:shd w:val="pct10" w:color="C3BD96" w:themeColor="background2" w:themeShade="BF" w:fill="DDD9C4" w:themeFill="background2" w:themeFillShade="E6"/>
            <w:vAlign w:val="center"/>
          </w:tcPr>
          <w:p>
            <w:pPr>
              <w:wordWrap w:val="0"/>
              <w:spacing w:line="360" w:lineRule="auto"/>
              <w:ind w:left="-26" w:leftChars="-11" w:right="-74" w:rightChars="-31"/>
              <w:jc w:val="center"/>
              <w:rPr>
                <w:rFonts w:cs="宋体"/>
                <w:b/>
              </w:rPr>
            </w:pPr>
            <w:r>
              <w:rPr>
                <w:rFonts w:hint="eastAsia" w:cs="宋体"/>
                <w:b/>
              </w:rPr>
              <w:t>制造厂家（全称）</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shd w:val="clear" w:color="auto" w:fill="auto"/>
            <w:vAlign w:val="center"/>
          </w:tcPr>
          <w:p>
            <w:pPr>
              <w:wordWrap w:val="0"/>
              <w:spacing w:line="360" w:lineRule="auto"/>
              <w:ind w:left="-55" w:leftChars="-23" w:right="-74" w:rightChars="-31"/>
              <w:jc w:val="center"/>
              <w:rPr>
                <w:b/>
              </w:rPr>
            </w:pPr>
            <w:r>
              <w:rPr>
                <w:rFonts w:hint="eastAsia"/>
                <w:b/>
              </w:rPr>
              <w:t>1</w:t>
            </w:r>
          </w:p>
        </w:tc>
        <w:tc>
          <w:tcPr>
            <w:tcW w:w="2378" w:type="dxa"/>
            <w:shd w:val="clear" w:color="auto" w:fill="auto"/>
            <w:vAlign w:val="center"/>
          </w:tcPr>
          <w:p>
            <w:pPr>
              <w:wordWrap w:val="0"/>
              <w:spacing w:line="360" w:lineRule="auto"/>
              <w:ind w:left="-55" w:leftChars="-23" w:right="-74" w:rightChars="-31"/>
              <w:jc w:val="center"/>
            </w:pPr>
            <w:r>
              <w:rPr>
                <w:rFonts w:hint="eastAsia"/>
              </w:rPr>
              <w:t>货物（服务）名称1</w:t>
            </w:r>
          </w:p>
        </w:tc>
        <w:tc>
          <w:tcPr>
            <w:tcW w:w="1132" w:type="dxa"/>
            <w:shd w:val="clear" w:color="auto" w:fill="auto"/>
            <w:vAlign w:val="center"/>
          </w:tcPr>
          <w:p>
            <w:pPr>
              <w:wordWrap w:val="0"/>
              <w:spacing w:line="360" w:lineRule="auto"/>
              <w:ind w:left="-55" w:leftChars="-23" w:right="-74" w:rightChars="-31"/>
              <w:jc w:val="left"/>
              <w:rPr>
                <w:rFonts w:cs="宋体"/>
                <w:szCs w:val="24"/>
              </w:rPr>
            </w:pPr>
          </w:p>
        </w:tc>
        <w:tc>
          <w:tcPr>
            <w:tcW w:w="655" w:type="dxa"/>
            <w:tcBorders>
              <w:right w:val="single" w:color="auto" w:sz="4" w:space="0"/>
            </w:tcBorders>
            <w:shd w:val="clear" w:color="auto" w:fill="auto"/>
            <w:vAlign w:val="center"/>
          </w:tcPr>
          <w:p>
            <w:pPr>
              <w:wordWrap w:val="0"/>
              <w:spacing w:line="360" w:lineRule="auto"/>
              <w:ind w:left="-55" w:leftChars="-23" w:right="-430" w:rightChars="-179"/>
              <w:jc w:val="center"/>
              <w:rPr>
                <w:rFonts w:cs="宋体"/>
                <w:szCs w:val="24"/>
              </w:rPr>
            </w:pPr>
          </w:p>
        </w:tc>
        <w:tc>
          <w:tcPr>
            <w:tcW w:w="627" w:type="dxa"/>
            <w:tcBorders>
              <w:left w:val="single" w:color="auto" w:sz="4" w:space="0"/>
            </w:tcBorders>
            <w:shd w:val="clear" w:color="auto" w:fill="auto"/>
            <w:vAlign w:val="center"/>
          </w:tcPr>
          <w:p>
            <w:pPr>
              <w:wordWrap w:val="0"/>
              <w:spacing w:line="360" w:lineRule="auto"/>
              <w:ind w:left="-55" w:leftChars="-23" w:right="-430" w:rightChars="-179"/>
              <w:jc w:val="center"/>
              <w:rPr>
                <w:rFonts w:cs="宋体"/>
                <w:szCs w:val="24"/>
              </w:rPr>
            </w:pPr>
          </w:p>
        </w:tc>
        <w:tc>
          <w:tcPr>
            <w:tcW w:w="859" w:type="dxa"/>
            <w:shd w:val="clear" w:color="auto" w:fill="auto"/>
            <w:vAlign w:val="center"/>
          </w:tcPr>
          <w:p>
            <w:pPr>
              <w:wordWrap w:val="0"/>
              <w:spacing w:line="360" w:lineRule="auto"/>
              <w:ind w:left="-55" w:leftChars="-23" w:right="-74" w:rightChars="-31"/>
              <w:jc w:val="center"/>
              <w:rPr>
                <w:rFonts w:cs="宋体"/>
                <w:szCs w:val="24"/>
              </w:rPr>
            </w:pPr>
          </w:p>
        </w:tc>
        <w:tc>
          <w:tcPr>
            <w:tcW w:w="1425" w:type="dxa"/>
            <w:shd w:val="clear" w:color="auto" w:fill="auto"/>
            <w:vAlign w:val="center"/>
          </w:tcPr>
          <w:p>
            <w:pPr>
              <w:wordWrap w:val="0"/>
              <w:spacing w:line="360" w:lineRule="auto"/>
              <w:ind w:left="-55" w:leftChars="-23" w:right="-74" w:rightChars="-31"/>
              <w:jc w:val="left"/>
              <w:rPr>
                <w:rFonts w:cs="宋体"/>
                <w:szCs w:val="24"/>
              </w:rPr>
            </w:pPr>
          </w:p>
        </w:tc>
        <w:tc>
          <w:tcPr>
            <w:tcW w:w="1134" w:type="dxa"/>
            <w:shd w:val="clear" w:color="auto" w:fill="auto"/>
            <w:vAlign w:val="center"/>
          </w:tcPr>
          <w:p>
            <w:pPr>
              <w:wordWrap w:val="0"/>
              <w:spacing w:line="360" w:lineRule="auto"/>
              <w:ind w:left="-55" w:leftChars="-23" w:right="-74" w:rightChars="-31"/>
              <w:jc w:val="center"/>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shd w:val="clear" w:color="auto" w:fill="auto"/>
            <w:vAlign w:val="center"/>
          </w:tcPr>
          <w:p>
            <w:pPr>
              <w:wordWrap w:val="0"/>
              <w:spacing w:line="360" w:lineRule="auto"/>
              <w:ind w:left="-55" w:leftChars="-23" w:right="-74" w:rightChars="-31"/>
              <w:jc w:val="center"/>
              <w:rPr>
                <w:b/>
              </w:rPr>
            </w:pPr>
            <w:r>
              <w:rPr>
                <w:rFonts w:hint="eastAsia"/>
                <w:b/>
              </w:rPr>
              <w:t>2</w:t>
            </w:r>
          </w:p>
        </w:tc>
        <w:tc>
          <w:tcPr>
            <w:tcW w:w="2378" w:type="dxa"/>
            <w:shd w:val="clear" w:color="auto" w:fill="auto"/>
            <w:vAlign w:val="center"/>
          </w:tcPr>
          <w:p>
            <w:pPr>
              <w:wordWrap w:val="0"/>
              <w:spacing w:line="360" w:lineRule="auto"/>
              <w:ind w:left="-55" w:leftChars="-23" w:right="-74" w:rightChars="-31"/>
              <w:jc w:val="center"/>
            </w:pPr>
            <w:r>
              <w:rPr>
                <w:rFonts w:hint="eastAsia"/>
              </w:rPr>
              <w:t>货物（服务）名称2</w:t>
            </w:r>
          </w:p>
        </w:tc>
        <w:tc>
          <w:tcPr>
            <w:tcW w:w="1132" w:type="dxa"/>
            <w:shd w:val="clear" w:color="auto" w:fill="auto"/>
            <w:vAlign w:val="center"/>
          </w:tcPr>
          <w:p>
            <w:pPr>
              <w:wordWrap w:val="0"/>
              <w:spacing w:line="360" w:lineRule="auto"/>
              <w:ind w:left="-55" w:leftChars="-23" w:right="-74" w:rightChars="-31"/>
              <w:jc w:val="left"/>
              <w:rPr>
                <w:rFonts w:cs="宋体"/>
                <w:szCs w:val="24"/>
              </w:rPr>
            </w:pPr>
          </w:p>
        </w:tc>
        <w:tc>
          <w:tcPr>
            <w:tcW w:w="655" w:type="dxa"/>
            <w:tcBorders>
              <w:right w:val="single" w:color="auto" w:sz="4" w:space="0"/>
            </w:tcBorders>
            <w:shd w:val="clear" w:color="auto" w:fill="auto"/>
            <w:vAlign w:val="center"/>
          </w:tcPr>
          <w:p>
            <w:pPr>
              <w:wordWrap w:val="0"/>
              <w:spacing w:line="360" w:lineRule="auto"/>
              <w:ind w:left="-55" w:leftChars="-23" w:right="-74" w:rightChars="-31"/>
              <w:jc w:val="center"/>
              <w:rPr>
                <w:rFonts w:cs="宋体"/>
                <w:szCs w:val="24"/>
              </w:rPr>
            </w:pPr>
          </w:p>
        </w:tc>
        <w:tc>
          <w:tcPr>
            <w:tcW w:w="627" w:type="dxa"/>
            <w:tcBorders>
              <w:left w:val="single" w:color="auto" w:sz="4" w:space="0"/>
            </w:tcBorders>
            <w:shd w:val="clear" w:color="auto" w:fill="auto"/>
            <w:vAlign w:val="center"/>
          </w:tcPr>
          <w:p>
            <w:pPr>
              <w:wordWrap w:val="0"/>
              <w:spacing w:line="360" w:lineRule="auto"/>
              <w:ind w:left="-55" w:leftChars="-23" w:right="-74" w:rightChars="-31"/>
              <w:jc w:val="center"/>
              <w:rPr>
                <w:rFonts w:cs="宋体"/>
                <w:szCs w:val="24"/>
              </w:rPr>
            </w:pPr>
          </w:p>
        </w:tc>
        <w:tc>
          <w:tcPr>
            <w:tcW w:w="859" w:type="dxa"/>
            <w:shd w:val="clear" w:color="auto" w:fill="auto"/>
            <w:vAlign w:val="center"/>
          </w:tcPr>
          <w:p>
            <w:pPr>
              <w:wordWrap w:val="0"/>
              <w:spacing w:line="360" w:lineRule="auto"/>
              <w:ind w:left="-55" w:leftChars="-23" w:right="-74" w:rightChars="-31"/>
              <w:jc w:val="center"/>
              <w:rPr>
                <w:rFonts w:cs="宋体"/>
                <w:szCs w:val="24"/>
              </w:rPr>
            </w:pPr>
          </w:p>
        </w:tc>
        <w:tc>
          <w:tcPr>
            <w:tcW w:w="1425" w:type="dxa"/>
            <w:shd w:val="clear" w:color="auto" w:fill="auto"/>
            <w:vAlign w:val="center"/>
          </w:tcPr>
          <w:p>
            <w:pPr>
              <w:wordWrap w:val="0"/>
              <w:spacing w:line="360" w:lineRule="auto"/>
              <w:ind w:left="-55" w:leftChars="-23" w:right="-74" w:rightChars="-31"/>
              <w:jc w:val="left"/>
              <w:rPr>
                <w:rFonts w:cs="宋体"/>
                <w:szCs w:val="24"/>
              </w:rPr>
            </w:pPr>
          </w:p>
        </w:tc>
        <w:tc>
          <w:tcPr>
            <w:tcW w:w="1134" w:type="dxa"/>
            <w:shd w:val="clear" w:color="auto" w:fill="auto"/>
            <w:vAlign w:val="center"/>
          </w:tcPr>
          <w:p>
            <w:pPr>
              <w:wordWrap w:val="0"/>
              <w:spacing w:line="360" w:lineRule="auto"/>
              <w:ind w:left="-55" w:leftChars="-23" w:right="-74" w:rightChars="-31"/>
              <w:jc w:val="center"/>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590" w:type="dxa"/>
            <w:shd w:val="clear" w:color="auto" w:fill="auto"/>
            <w:vAlign w:val="center"/>
          </w:tcPr>
          <w:p>
            <w:pPr>
              <w:wordWrap w:val="0"/>
              <w:spacing w:line="360" w:lineRule="auto"/>
              <w:ind w:left="-55" w:leftChars="-23" w:right="-74" w:rightChars="-31"/>
              <w:jc w:val="center"/>
            </w:pPr>
            <w:r>
              <w:rPr>
                <w:rFonts w:hint="eastAsia"/>
              </w:rPr>
              <w:t>…</w:t>
            </w:r>
          </w:p>
        </w:tc>
        <w:tc>
          <w:tcPr>
            <w:tcW w:w="2378" w:type="dxa"/>
            <w:shd w:val="clear" w:color="auto" w:fill="auto"/>
            <w:vAlign w:val="center"/>
          </w:tcPr>
          <w:p>
            <w:pPr>
              <w:wordWrap w:val="0"/>
              <w:spacing w:line="360" w:lineRule="auto"/>
              <w:ind w:left="-55" w:leftChars="-23" w:right="-74" w:rightChars="-31"/>
              <w:jc w:val="center"/>
              <w:rPr>
                <w:rFonts w:cs="宋体"/>
                <w:szCs w:val="24"/>
              </w:rPr>
            </w:pPr>
            <w:r>
              <w:rPr>
                <w:rFonts w:hint="eastAsia"/>
              </w:rPr>
              <w:t>……</w:t>
            </w:r>
          </w:p>
        </w:tc>
        <w:tc>
          <w:tcPr>
            <w:tcW w:w="1132" w:type="dxa"/>
            <w:shd w:val="clear" w:color="auto" w:fill="auto"/>
            <w:vAlign w:val="center"/>
          </w:tcPr>
          <w:p>
            <w:pPr>
              <w:wordWrap w:val="0"/>
              <w:spacing w:line="360" w:lineRule="auto"/>
              <w:ind w:left="-55" w:leftChars="-23" w:right="-74" w:rightChars="-31"/>
              <w:jc w:val="left"/>
              <w:rPr>
                <w:rFonts w:cs="宋体"/>
                <w:szCs w:val="24"/>
              </w:rPr>
            </w:pPr>
            <w:r>
              <w:rPr>
                <w:rFonts w:hint="eastAsia"/>
              </w:rPr>
              <w:t>…</w:t>
            </w:r>
          </w:p>
        </w:tc>
        <w:tc>
          <w:tcPr>
            <w:tcW w:w="655" w:type="dxa"/>
            <w:tcBorders>
              <w:right w:val="single" w:color="auto" w:sz="4" w:space="0"/>
            </w:tcBorders>
            <w:shd w:val="clear" w:color="auto" w:fill="auto"/>
            <w:vAlign w:val="center"/>
          </w:tcPr>
          <w:p>
            <w:pPr>
              <w:wordWrap w:val="0"/>
              <w:spacing w:line="360" w:lineRule="auto"/>
              <w:ind w:left="-55" w:leftChars="-23" w:right="-74" w:rightChars="-31"/>
              <w:jc w:val="center"/>
              <w:rPr>
                <w:rFonts w:cs="宋体"/>
                <w:szCs w:val="24"/>
              </w:rPr>
            </w:pPr>
            <w:r>
              <w:rPr>
                <w:rFonts w:hint="eastAsia"/>
              </w:rPr>
              <w:t>…</w:t>
            </w:r>
          </w:p>
        </w:tc>
        <w:tc>
          <w:tcPr>
            <w:tcW w:w="627" w:type="dxa"/>
            <w:tcBorders>
              <w:left w:val="single" w:color="auto" w:sz="4" w:space="0"/>
            </w:tcBorders>
            <w:shd w:val="clear" w:color="auto" w:fill="auto"/>
            <w:vAlign w:val="center"/>
          </w:tcPr>
          <w:p>
            <w:pPr>
              <w:wordWrap w:val="0"/>
              <w:spacing w:line="360" w:lineRule="auto"/>
              <w:ind w:left="-55" w:leftChars="-23" w:right="-74" w:rightChars="-31"/>
              <w:jc w:val="center"/>
              <w:rPr>
                <w:rFonts w:cs="宋体"/>
                <w:szCs w:val="24"/>
              </w:rPr>
            </w:pPr>
            <w:r>
              <w:rPr>
                <w:rFonts w:hint="eastAsia"/>
              </w:rPr>
              <w:t>…</w:t>
            </w:r>
          </w:p>
        </w:tc>
        <w:tc>
          <w:tcPr>
            <w:tcW w:w="859" w:type="dxa"/>
            <w:shd w:val="clear" w:color="auto" w:fill="auto"/>
            <w:vAlign w:val="center"/>
          </w:tcPr>
          <w:p>
            <w:pPr>
              <w:wordWrap w:val="0"/>
              <w:spacing w:line="360" w:lineRule="auto"/>
              <w:ind w:left="-55" w:leftChars="-23" w:right="-74" w:rightChars="-31"/>
              <w:jc w:val="center"/>
              <w:rPr>
                <w:rFonts w:cs="宋体"/>
                <w:szCs w:val="24"/>
              </w:rPr>
            </w:pPr>
            <w:r>
              <w:rPr>
                <w:rFonts w:hint="eastAsia"/>
              </w:rPr>
              <w:t>…</w:t>
            </w:r>
          </w:p>
        </w:tc>
        <w:tc>
          <w:tcPr>
            <w:tcW w:w="1425" w:type="dxa"/>
            <w:shd w:val="clear" w:color="auto" w:fill="auto"/>
            <w:vAlign w:val="center"/>
          </w:tcPr>
          <w:p>
            <w:pPr>
              <w:wordWrap w:val="0"/>
              <w:spacing w:line="360" w:lineRule="auto"/>
              <w:ind w:left="-55" w:leftChars="-23" w:right="-74" w:rightChars="-31"/>
              <w:jc w:val="left"/>
              <w:rPr>
                <w:rFonts w:cs="宋体"/>
                <w:szCs w:val="24"/>
              </w:rPr>
            </w:pPr>
            <w:r>
              <w:rPr>
                <w:rFonts w:hint="eastAsia"/>
              </w:rPr>
              <w:t>…</w:t>
            </w:r>
          </w:p>
        </w:tc>
        <w:tc>
          <w:tcPr>
            <w:tcW w:w="1134" w:type="dxa"/>
            <w:shd w:val="clear" w:color="auto" w:fill="auto"/>
            <w:vAlign w:val="center"/>
          </w:tcPr>
          <w:p>
            <w:pPr>
              <w:wordWrap w:val="0"/>
              <w:spacing w:line="360" w:lineRule="auto"/>
              <w:ind w:left="-55" w:leftChars="-23" w:right="-74" w:rightChars="-31"/>
              <w:jc w:val="center"/>
              <w:rPr>
                <w:rFonts w:cs="宋体"/>
                <w:szCs w:val="24"/>
              </w:rPr>
            </w:pPr>
            <w:r>
              <w:rPr>
                <w:rFonts w:hint="eastAsi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5" w:hRule="atLeast"/>
          <w:jc w:val="center"/>
        </w:trPr>
        <w:tc>
          <w:tcPr>
            <w:tcW w:w="6241" w:type="dxa"/>
            <w:gridSpan w:val="6"/>
            <w:shd w:val="clear" w:color="auto" w:fill="auto"/>
            <w:vAlign w:val="center"/>
          </w:tcPr>
          <w:p>
            <w:pPr>
              <w:wordWrap w:val="0"/>
              <w:spacing w:line="360" w:lineRule="auto"/>
              <w:ind w:left="-55" w:leftChars="-23" w:right="-74" w:rightChars="-31"/>
              <w:jc w:val="center"/>
              <w:rPr>
                <w:rFonts w:cs="宋体"/>
                <w:b/>
                <w:szCs w:val="24"/>
              </w:rPr>
            </w:pPr>
            <w:r>
              <w:rPr>
                <w:rFonts w:hint="eastAsia" w:cs="宋体"/>
                <w:b/>
                <w:szCs w:val="24"/>
              </w:rPr>
              <w:t>合计</w:t>
            </w:r>
          </w:p>
        </w:tc>
        <w:tc>
          <w:tcPr>
            <w:tcW w:w="2559" w:type="dxa"/>
            <w:gridSpan w:val="2"/>
            <w:shd w:val="clear" w:color="auto" w:fill="auto"/>
            <w:vAlign w:val="center"/>
          </w:tcPr>
          <w:p>
            <w:pPr>
              <w:wordWrap w:val="0"/>
              <w:spacing w:line="360" w:lineRule="auto"/>
              <w:ind w:left="-55" w:leftChars="-23" w:right="-74" w:rightChars="-31"/>
              <w:jc w:val="left"/>
              <w:rPr>
                <w:rFonts w:cs="宋体"/>
                <w:szCs w:val="24"/>
              </w:rPr>
            </w:pPr>
          </w:p>
        </w:tc>
      </w:tr>
    </w:tbl>
    <w:p>
      <w:pPr>
        <w:pStyle w:val="43"/>
        <w:numPr>
          <w:ilvl w:val="0"/>
          <w:numId w:val="66"/>
        </w:numPr>
        <w:wordWrap w:val="0"/>
        <w:spacing w:before="78" w:beforeLines="25" w:line="360" w:lineRule="auto"/>
        <w:ind w:left="993" w:hanging="513" w:firstLineChars="0"/>
        <w:rPr>
          <w:rFonts w:cs="Helvetica"/>
          <w:bCs/>
          <w:szCs w:val="24"/>
          <w:lang w:val="zh-CN"/>
        </w:rPr>
      </w:pPr>
      <w:r>
        <w:rPr>
          <w:rFonts w:hint="eastAsia" w:cs="Helvetica"/>
          <w:b/>
          <w:szCs w:val="24"/>
          <w:lang w:val="zh-CN"/>
        </w:rPr>
        <w:t>货物（服务）质量</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rPr>
          <w:rFonts w:cs="Helvetica"/>
          <w:bCs/>
          <w:iCs/>
          <w:szCs w:val="24"/>
          <w:lang w:val="zh-CN"/>
        </w:rPr>
      </w:pPr>
      <w:r>
        <w:rPr>
          <w:rFonts w:hint="eastAsia" w:cs="Helvetica"/>
          <w:i/>
          <w:iCs/>
          <w:szCs w:val="24"/>
        </w:rPr>
        <w:t xml:space="preserve"> </w:t>
      </w:r>
      <w:r>
        <w:rPr>
          <w:rFonts w:hint="eastAsia" w:cs="Helvetica"/>
          <w:iCs/>
          <w:szCs w:val="24"/>
          <w:u w:val="single"/>
        </w:rPr>
        <w:t xml:space="preserve">          </w:t>
      </w:r>
      <w:r>
        <w:rPr>
          <w:rFonts w:hint="eastAsia" w:cs="Helvetica"/>
          <w:i/>
          <w:iCs/>
          <w:szCs w:val="24"/>
          <w:u w:val="single"/>
        </w:rPr>
        <w:t>（以招标文件要求以及投标文件的响应）</w:t>
      </w:r>
      <w:r>
        <w:rPr>
          <w:rFonts w:hint="eastAsia" w:cs="Helvetica"/>
          <w:iCs/>
          <w:szCs w:val="24"/>
          <w:u w:val="single"/>
        </w:rPr>
        <w:t xml:space="preserve">                   </w:t>
      </w:r>
      <w:r>
        <w:rPr>
          <w:rFonts w:hint="eastAsia" w:cs="Helvetica"/>
          <w:iCs/>
          <w:szCs w:val="24"/>
        </w:rPr>
        <w:t xml:space="preserve">。  </w:t>
      </w:r>
    </w:p>
    <w:p>
      <w:pPr>
        <w:pStyle w:val="43"/>
        <w:numPr>
          <w:ilvl w:val="0"/>
          <w:numId w:val="66"/>
        </w:numPr>
        <w:wordWrap w:val="0"/>
        <w:spacing w:before="78" w:beforeLines="25" w:line="360" w:lineRule="auto"/>
        <w:ind w:left="993" w:hanging="513" w:firstLineChars="0"/>
        <w:rPr>
          <w:rFonts w:cs="Helvetica"/>
          <w:bCs/>
          <w:szCs w:val="24"/>
          <w:lang w:val="zh-CN"/>
        </w:rPr>
      </w:pPr>
      <w:r>
        <w:rPr>
          <w:rFonts w:hint="eastAsia" w:cs="Helvetica"/>
          <w:b/>
          <w:szCs w:val="24"/>
          <w:lang w:val="zh-CN"/>
        </w:rPr>
        <w:t>合同履行时间（期限）、地点和方式</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pPr>
      <w:r>
        <w:rPr>
          <w:rFonts w:hint="eastAsia"/>
        </w:rPr>
        <w:t>1.合同履行时间：</w:t>
      </w:r>
      <w:r>
        <w:rPr>
          <w:rFonts w:hint="eastAsia"/>
          <w:lang w:val="zh-CN"/>
        </w:rPr>
        <w:t>自</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日至</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日止。</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pPr>
      <w:r>
        <w:rPr>
          <w:rFonts w:hint="eastAsia"/>
        </w:rPr>
        <w:t>2.交付或服务地点及方式：</w:t>
      </w:r>
      <w:r>
        <w:rPr>
          <w:rFonts w:hint="eastAsia" w:cs="宋体"/>
          <w:szCs w:val="24"/>
          <w:u w:val="single"/>
        </w:rPr>
        <w:t xml:space="preserve">      </w:t>
      </w:r>
      <w:r>
        <w:rPr>
          <w:rFonts w:hint="eastAsia" w:cs="宋体"/>
          <w:i/>
          <w:szCs w:val="24"/>
          <w:u w:val="single"/>
        </w:rPr>
        <w:t xml:space="preserve"> （见招标文件）</w:t>
      </w:r>
      <w:r>
        <w:rPr>
          <w:rFonts w:hint="eastAsia" w:cs="宋体"/>
          <w:szCs w:val="24"/>
          <w:u w:val="single"/>
        </w:rPr>
        <w:t xml:space="preserve">                     </w:t>
      </w:r>
      <w:r>
        <w:rPr>
          <w:rFonts w:hint="eastAsia"/>
          <w:i/>
        </w:rPr>
        <w:t>。</w:t>
      </w:r>
    </w:p>
    <w:p>
      <w:pPr>
        <w:pStyle w:val="43"/>
        <w:numPr>
          <w:ilvl w:val="0"/>
          <w:numId w:val="66"/>
        </w:numPr>
        <w:wordWrap w:val="0"/>
        <w:spacing w:before="78" w:beforeLines="25" w:line="360" w:lineRule="auto"/>
        <w:ind w:left="993" w:hanging="513" w:firstLineChars="0"/>
        <w:rPr>
          <w:rFonts w:cs="Helvetica"/>
          <w:bCs/>
          <w:szCs w:val="24"/>
          <w:lang w:val="zh-CN"/>
        </w:rPr>
      </w:pPr>
      <w:r>
        <w:rPr>
          <w:rFonts w:hint="eastAsia"/>
          <w:b/>
          <w:iCs/>
          <w:szCs w:val="24"/>
        </w:rPr>
        <w:t>包装及运输</w:t>
      </w:r>
    </w:p>
    <w:p>
      <w:pPr>
        <w:numPr>
          <w:ilvl w:val="255"/>
          <w:numId w:val="0"/>
        </w:numPr>
        <w:tabs>
          <w:tab w:val="left" w:pos="980"/>
        </w:tabs>
        <w:wordWrap w:val="0"/>
        <w:autoSpaceDE w:val="0"/>
        <w:autoSpaceDN w:val="0"/>
        <w:spacing w:before="78" w:beforeLines="25" w:line="360" w:lineRule="auto"/>
        <w:ind w:left="547" w:leftChars="228" w:firstLine="600" w:firstLineChars="250"/>
        <w:contextualSpacing/>
        <w:rPr>
          <w:rFonts w:cs="宋体"/>
          <w:szCs w:val="24"/>
        </w:rPr>
      </w:pPr>
      <w:r>
        <w:rPr>
          <w:rFonts w:hint="eastAsia" w:cs="宋体"/>
          <w:szCs w:val="24"/>
          <w:u w:val="single"/>
        </w:rPr>
        <w:t xml:space="preserve">                               </w:t>
      </w:r>
      <w:r>
        <w:rPr>
          <w:rFonts w:hint="eastAsia" w:cs="宋体"/>
          <w:i/>
          <w:szCs w:val="24"/>
          <w:u w:val="single"/>
        </w:rPr>
        <w:t>（见招标文件）</w:t>
      </w:r>
      <w:r>
        <w:rPr>
          <w:rFonts w:hint="eastAsia" w:cs="宋体"/>
          <w:szCs w:val="24"/>
          <w:u w:val="single"/>
        </w:rPr>
        <w:t xml:space="preserve">                    </w:t>
      </w:r>
      <w:r>
        <w:rPr>
          <w:rFonts w:hint="eastAsia" w:cs="宋体"/>
          <w:szCs w:val="24"/>
        </w:rPr>
        <w:t>。</w:t>
      </w:r>
    </w:p>
    <w:p>
      <w:pPr>
        <w:pStyle w:val="43"/>
        <w:numPr>
          <w:ilvl w:val="0"/>
          <w:numId w:val="66"/>
        </w:numPr>
        <w:wordWrap w:val="0"/>
        <w:spacing w:before="78" w:beforeLines="25" w:line="360" w:lineRule="auto"/>
        <w:ind w:left="993" w:hanging="513" w:firstLineChars="0"/>
        <w:rPr>
          <w:rFonts w:cs="Helvetica"/>
          <w:bCs/>
          <w:szCs w:val="24"/>
          <w:lang w:val="zh-CN"/>
        </w:rPr>
      </w:pPr>
      <w:r>
        <w:rPr>
          <w:rFonts w:hint="eastAsia" w:cs="Helvetica"/>
          <w:b/>
          <w:szCs w:val="24"/>
          <w:lang w:val="zh-CN"/>
        </w:rPr>
        <w:t xml:space="preserve">合同价款  </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rPr>
          <w:rFonts w:cs="Helvetica"/>
          <w:szCs w:val="24"/>
        </w:rPr>
      </w:pPr>
      <w:r>
        <w:rPr>
          <w:rFonts w:hint="eastAsia" w:cs="Helvetica"/>
          <w:szCs w:val="24"/>
          <w:lang w:val="zh-CN"/>
        </w:rPr>
        <w:t>1.本合同金额为（大写）：人民币</w:t>
      </w:r>
      <w:r>
        <w:rPr>
          <w:rFonts w:hint="eastAsia" w:cs="Helvetica"/>
          <w:szCs w:val="24"/>
          <w:u w:val="single"/>
        </w:rPr>
        <w:t xml:space="preserve">      </w:t>
      </w:r>
      <w:r>
        <w:rPr>
          <w:rFonts w:hint="eastAsia" w:cs="Helvetica"/>
          <w:bCs/>
          <w:i/>
          <w:iCs/>
          <w:szCs w:val="24"/>
          <w:u w:val="single"/>
        </w:rPr>
        <w:t>（见投标文件）</w:t>
      </w:r>
      <w:r>
        <w:rPr>
          <w:rFonts w:hint="eastAsia" w:cs="Helvetica"/>
          <w:szCs w:val="24"/>
          <w:u w:val="single"/>
        </w:rPr>
        <w:t xml:space="preserve">   </w:t>
      </w:r>
      <w:r>
        <w:rPr>
          <w:rFonts w:hint="eastAsia" w:cs="Helvetica"/>
          <w:szCs w:val="24"/>
        </w:rPr>
        <w:t>元（</w:t>
      </w:r>
      <w:r>
        <w:rPr>
          <w:rFonts w:cs="Arial"/>
          <w:szCs w:val="24"/>
        </w:rPr>
        <w:t>¥</w:t>
      </w:r>
      <w:r>
        <w:rPr>
          <w:rFonts w:hint="eastAsia" w:cs="Helvetica"/>
          <w:szCs w:val="24"/>
        </w:rPr>
        <w:t>：</w:t>
      </w:r>
      <w:r>
        <w:rPr>
          <w:rFonts w:hint="eastAsia" w:cs="Helvetica"/>
          <w:szCs w:val="24"/>
          <w:u w:val="single"/>
        </w:rPr>
        <w:t xml:space="preserve">          </w:t>
      </w:r>
      <w:r>
        <w:rPr>
          <w:rFonts w:hint="eastAsia" w:cs="Helvetica"/>
          <w:szCs w:val="24"/>
        </w:rPr>
        <w:t>）</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rPr>
          <w:rFonts w:cs="宋体"/>
          <w:szCs w:val="24"/>
        </w:rPr>
      </w:pPr>
      <w:r>
        <w:rPr>
          <w:rFonts w:hint="eastAsia" w:cs="Helvetica"/>
          <w:szCs w:val="24"/>
        </w:rPr>
        <w:t>2.合同金额包括乙方</w:t>
      </w:r>
      <w:r>
        <w:rPr>
          <w:rFonts w:hint="eastAsia" w:cs="宋体"/>
          <w:szCs w:val="24"/>
        </w:rPr>
        <w:t>完成本合同约定的全部工作可能发生的所有费用（含市场变化等可能发生的费用），即总报价为“交钥匙”价</w:t>
      </w:r>
      <w:r>
        <w:rPr>
          <w:rFonts w:hint="eastAsia" w:cs="宋体"/>
          <w:szCs w:val="24"/>
          <w:lang w:val="zh-CN"/>
        </w:rPr>
        <w:t>。</w:t>
      </w:r>
      <w:r>
        <w:rPr>
          <w:rFonts w:hint="eastAsia" w:cs="宋体"/>
          <w:szCs w:val="24"/>
        </w:rPr>
        <w:t>甲方在支付此金额后，不再因本合同支付任何其它费用。</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rPr>
          <w:u w:val="single"/>
        </w:rPr>
      </w:pPr>
      <w:r>
        <w:rPr>
          <w:rFonts w:hint="eastAsia" w:cs="Helvetica"/>
          <w:szCs w:val="24"/>
        </w:rPr>
        <w:t>3.</w:t>
      </w:r>
      <w:r>
        <w:rPr>
          <w:rFonts w:hint="eastAsia" w:cs="宋体"/>
          <w:szCs w:val="24"/>
          <w:u w:val="single"/>
        </w:rPr>
        <w:t xml:space="preserve">                                                               </w:t>
      </w:r>
      <w:r>
        <w:rPr>
          <w:rFonts w:hint="eastAsia" w:cs="宋体"/>
          <w:szCs w:val="24"/>
        </w:rPr>
        <w:t>。</w:t>
      </w:r>
    </w:p>
    <w:p>
      <w:pPr>
        <w:pStyle w:val="43"/>
        <w:numPr>
          <w:ilvl w:val="0"/>
          <w:numId w:val="66"/>
        </w:numPr>
        <w:wordWrap w:val="0"/>
        <w:spacing w:before="78" w:beforeLines="25" w:line="360" w:lineRule="auto"/>
        <w:ind w:left="993" w:hanging="513" w:firstLineChars="0"/>
        <w:rPr>
          <w:rFonts w:cs="Helvetica"/>
          <w:bCs/>
          <w:szCs w:val="24"/>
          <w:lang w:val="zh-CN"/>
        </w:rPr>
      </w:pPr>
      <w:r>
        <w:rPr>
          <w:rFonts w:hint="eastAsia" w:cs="Helvetica"/>
          <w:b/>
          <w:szCs w:val="24"/>
          <w:lang w:val="zh-CN"/>
        </w:rPr>
        <w:t>资金支付方式及安排</w:t>
      </w:r>
    </w:p>
    <w:p>
      <w:pPr>
        <w:numPr>
          <w:ilvl w:val="255"/>
          <w:numId w:val="0"/>
        </w:numPr>
        <w:tabs>
          <w:tab w:val="left" w:pos="980"/>
        </w:tabs>
        <w:wordWrap w:val="0"/>
        <w:autoSpaceDE w:val="0"/>
        <w:autoSpaceDN w:val="0"/>
        <w:spacing w:before="78" w:beforeLines="25" w:line="360" w:lineRule="auto"/>
        <w:ind w:left="547" w:leftChars="228" w:firstLine="720" w:firstLineChars="300"/>
        <w:contextualSpacing/>
        <w:rPr>
          <w:rFonts w:cs="Helvetica"/>
          <w:bCs/>
          <w:iCs/>
          <w:szCs w:val="24"/>
        </w:rPr>
      </w:pPr>
      <w:r>
        <w:rPr>
          <w:rFonts w:hint="eastAsia" w:cs="Helvetica"/>
          <w:bCs/>
          <w:iCs/>
          <w:szCs w:val="24"/>
          <w:u w:val="single"/>
        </w:rPr>
        <w:t xml:space="preserve">     </w:t>
      </w:r>
      <w:r>
        <w:rPr>
          <w:rFonts w:hint="eastAsia" w:cs="Helvetica"/>
          <w:bCs/>
          <w:i/>
          <w:iCs/>
          <w:szCs w:val="24"/>
          <w:u w:val="single"/>
        </w:rPr>
        <w:t>（见招标文件）</w:t>
      </w:r>
      <w:r>
        <w:rPr>
          <w:rFonts w:hint="eastAsia" w:cs="Helvetica"/>
          <w:bCs/>
          <w:iCs/>
          <w:szCs w:val="24"/>
          <w:u w:val="single"/>
        </w:rPr>
        <w:t xml:space="preserve">                                           </w:t>
      </w:r>
      <w:r>
        <w:rPr>
          <w:rFonts w:hint="eastAsia" w:cs="Helvetica"/>
          <w:bCs/>
          <w:iCs/>
          <w:szCs w:val="24"/>
        </w:rPr>
        <w:t>。</w:t>
      </w:r>
    </w:p>
    <w:p>
      <w:pPr>
        <w:pStyle w:val="43"/>
        <w:numPr>
          <w:ilvl w:val="0"/>
          <w:numId w:val="66"/>
        </w:numPr>
        <w:wordWrap w:val="0"/>
        <w:spacing w:before="78" w:beforeLines="25" w:line="360" w:lineRule="auto"/>
        <w:ind w:left="993" w:hanging="513" w:firstLineChars="0"/>
        <w:rPr>
          <w:rFonts w:cs="Helvetica"/>
          <w:b/>
          <w:szCs w:val="24"/>
          <w:lang w:val="zh-CN"/>
        </w:rPr>
      </w:pPr>
      <w:r>
        <w:rPr>
          <w:rFonts w:hint="eastAsia" w:cs="Helvetica"/>
          <w:b/>
          <w:szCs w:val="24"/>
          <w:lang w:val="zh-CN"/>
        </w:rPr>
        <w:t>交付标准、方法和验收方案</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rPr>
          <w:rFonts w:cs="宋体"/>
          <w:szCs w:val="24"/>
        </w:rPr>
      </w:pPr>
      <w:r>
        <w:rPr>
          <w:rFonts w:hint="eastAsia" w:cs="宋体"/>
          <w:szCs w:val="24"/>
        </w:rPr>
        <w:t>1.</w:t>
      </w:r>
      <w:r>
        <w:rPr>
          <w:rFonts w:hint="eastAsia" w:cs="Helvetica"/>
          <w:bCs/>
          <w:szCs w:val="24"/>
          <w:lang w:val="zh-CN"/>
        </w:rPr>
        <w:t>交付标准、方法：</w:t>
      </w:r>
      <w:r>
        <w:rPr>
          <w:rFonts w:hint="eastAsia" w:cs="Helvetica"/>
          <w:bCs/>
          <w:szCs w:val="24"/>
          <w:u w:val="single"/>
          <w:lang w:val="zh-CN"/>
        </w:rPr>
        <w:t xml:space="preserve">        </w:t>
      </w:r>
      <w:r>
        <w:rPr>
          <w:rFonts w:hint="eastAsia" w:cs="Helvetica"/>
          <w:bCs/>
          <w:i/>
          <w:iCs/>
          <w:szCs w:val="24"/>
          <w:u w:val="single"/>
        </w:rPr>
        <w:t>（见招标文件）</w:t>
      </w:r>
      <w:r>
        <w:rPr>
          <w:rFonts w:hint="eastAsia" w:cs="Helvetica"/>
          <w:bCs/>
          <w:szCs w:val="24"/>
          <w:u w:val="single"/>
          <w:lang w:val="zh-CN"/>
        </w:rPr>
        <w:t xml:space="preserve">                        </w:t>
      </w:r>
      <w:r>
        <w:rPr>
          <w:rFonts w:hint="eastAsia" w:cs="Helvetica"/>
          <w:bCs/>
          <w:szCs w:val="24"/>
          <w:lang w:val="zh-CN"/>
        </w:rPr>
        <w:t>。</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rPr>
          <w:rFonts w:cs="Helvetica"/>
          <w:bCs/>
          <w:szCs w:val="24"/>
        </w:rPr>
      </w:pPr>
      <w:r>
        <w:rPr>
          <w:rFonts w:hint="eastAsia" w:cs="宋体"/>
          <w:szCs w:val="24"/>
        </w:rPr>
        <w:t>2.</w:t>
      </w:r>
      <w:r>
        <w:rPr>
          <w:rFonts w:hint="eastAsia" w:cs="Helvetica"/>
          <w:bCs/>
          <w:szCs w:val="24"/>
          <w:lang w:val="zh-CN"/>
        </w:rPr>
        <w:t>验收方案：</w:t>
      </w:r>
      <w:r>
        <w:rPr>
          <w:rFonts w:hint="eastAsia" w:cs="Helvetica"/>
          <w:bCs/>
          <w:szCs w:val="24"/>
          <w:u w:val="single"/>
        </w:rPr>
        <w:t xml:space="preserve"> </w:t>
      </w:r>
      <w:r>
        <w:rPr>
          <w:rFonts w:hint="eastAsia" w:cs="Helvetica"/>
          <w:bCs/>
          <w:iCs/>
          <w:szCs w:val="24"/>
          <w:u w:val="single"/>
        </w:rPr>
        <w:t xml:space="preserve">           </w:t>
      </w:r>
      <w:r>
        <w:rPr>
          <w:rFonts w:hint="eastAsia" w:cs="Helvetica"/>
          <w:bCs/>
          <w:i/>
          <w:iCs/>
          <w:szCs w:val="24"/>
          <w:u w:val="single"/>
        </w:rPr>
        <w:t>（见招标文件）</w:t>
      </w:r>
      <w:r>
        <w:rPr>
          <w:rFonts w:hint="eastAsia" w:cs="Helvetica"/>
          <w:bCs/>
          <w:iCs/>
          <w:szCs w:val="24"/>
          <w:u w:val="single"/>
        </w:rPr>
        <w:t xml:space="preserve">                 </w:t>
      </w:r>
      <w:r>
        <w:rPr>
          <w:rFonts w:cs="Helvetica"/>
          <w:bCs/>
          <w:iCs/>
          <w:szCs w:val="24"/>
          <w:u w:val="single"/>
        </w:rPr>
        <w:t xml:space="preserve"> </w:t>
      </w:r>
      <w:r>
        <w:rPr>
          <w:rFonts w:hint="eastAsia" w:cs="Helvetica"/>
          <w:bCs/>
          <w:iCs/>
          <w:szCs w:val="24"/>
          <w:u w:val="single"/>
        </w:rPr>
        <w:t xml:space="preserve">        </w:t>
      </w:r>
      <w:r>
        <w:rPr>
          <w:rFonts w:hint="eastAsia" w:cs="Helvetica"/>
          <w:bCs/>
          <w:iCs/>
          <w:szCs w:val="24"/>
        </w:rPr>
        <w:t>。</w:t>
      </w:r>
    </w:p>
    <w:p>
      <w:pPr>
        <w:pStyle w:val="43"/>
        <w:numPr>
          <w:ilvl w:val="0"/>
          <w:numId w:val="66"/>
        </w:numPr>
        <w:wordWrap w:val="0"/>
        <w:spacing w:before="78" w:beforeLines="25" w:line="360" w:lineRule="auto"/>
        <w:ind w:left="993" w:hanging="513" w:firstLineChars="0"/>
        <w:rPr>
          <w:rFonts w:cs="Helvetica"/>
          <w:szCs w:val="24"/>
          <w:lang w:val="zh-CN"/>
        </w:rPr>
      </w:pPr>
      <w:r>
        <w:rPr>
          <w:rFonts w:hint="eastAsia" w:cs="Helvetica"/>
          <w:b/>
          <w:szCs w:val="24"/>
          <w:lang w:val="zh-CN"/>
        </w:rPr>
        <w:t>质保（服务）期及质保（服务）范围和要求</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rPr>
          <w:rFonts w:cs="Helvetica"/>
          <w:szCs w:val="24"/>
          <w:u w:val="single"/>
        </w:rPr>
      </w:pPr>
      <w:r>
        <w:rPr>
          <w:rFonts w:hint="eastAsia" w:cs="宋体"/>
          <w:szCs w:val="24"/>
        </w:rPr>
        <w:t>1.质保（服务）期：</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u w:val="single"/>
        </w:rPr>
        <w:t xml:space="preserve">   </w:t>
      </w:r>
      <w:r>
        <w:rPr>
          <w:rFonts w:hint="eastAsia" w:cs="Helvetica"/>
          <w:i/>
          <w:szCs w:val="24"/>
        </w:rPr>
        <w:t>。</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rPr>
          <w:rFonts w:cs="宋体"/>
          <w:szCs w:val="24"/>
        </w:rPr>
      </w:pPr>
      <w:r>
        <w:rPr>
          <w:rFonts w:hint="eastAsia" w:cs="宋体"/>
          <w:szCs w:val="24"/>
        </w:rPr>
        <w:t>2.质保（服务）范围：</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lang w:val="zh-CN"/>
        </w:rPr>
        <w:t>。</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rPr>
          <w:rFonts w:cs="宋体"/>
          <w:szCs w:val="24"/>
        </w:rPr>
      </w:pPr>
      <w:r>
        <w:rPr>
          <w:rFonts w:hint="eastAsia" w:cs="宋体"/>
          <w:szCs w:val="24"/>
        </w:rPr>
        <w:t>3.质保（服务）要求：</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lang w:val="zh-CN"/>
        </w:rPr>
        <w:t>。</w:t>
      </w:r>
    </w:p>
    <w:p>
      <w:pPr>
        <w:pStyle w:val="43"/>
        <w:numPr>
          <w:ilvl w:val="0"/>
          <w:numId w:val="66"/>
        </w:numPr>
        <w:wordWrap w:val="0"/>
        <w:spacing w:before="78" w:beforeLines="25" w:line="360" w:lineRule="auto"/>
        <w:ind w:left="993" w:hanging="513" w:firstLineChars="0"/>
        <w:rPr>
          <w:rFonts w:cs="Helvetica"/>
          <w:bCs/>
          <w:szCs w:val="24"/>
          <w:lang w:val="zh-CN"/>
        </w:rPr>
      </w:pPr>
      <w:r>
        <w:rPr>
          <w:rFonts w:hint="eastAsia" w:cs="Helvetica"/>
          <w:b/>
          <w:bCs/>
          <w:szCs w:val="24"/>
          <w:lang w:val="zh-CN"/>
        </w:rPr>
        <w:t>项目培训</w:t>
      </w:r>
    </w:p>
    <w:p>
      <w:pPr>
        <w:numPr>
          <w:ilvl w:val="255"/>
          <w:numId w:val="0"/>
        </w:numPr>
        <w:tabs>
          <w:tab w:val="left" w:pos="980"/>
        </w:tabs>
        <w:wordWrap w:val="0"/>
        <w:autoSpaceDE w:val="0"/>
        <w:autoSpaceDN w:val="0"/>
        <w:spacing w:before="78" w:beforeLines="25" w:line="360" w:lineRule="auto"/>
        <w:ind w:left="547" w:leftChars="228" w:firstLine="720" w:firstLineChars="300"/>
        <w:contextualSpacing/>
        <w:rPr>
          <w:rFonts w:cs="Helvetica"/>
          <w:bCs/>
          <w:szCs w:val="24"/>
        </w:rPr>
      </w:pPr>
      <w:r>
        <w:rPr>
          <w:rFonts w:hint="eastAsia" w:cs="Helvetica"/>
          <w:bCs/>
          <w:szCs w:val="24"/>
          <w:u w:val="single"/>
        </w:rPr>
        <w:t xml:space="preserve">                </w:t>
      </w:r>
      <w:r>
        <w:rPr>
          <w:rFonts w:cs="Helvetica"/>
          <w:bCs/>
          <w:szCs w:val="24"/>
          <w:u w:val="single"/>
        </w:rPr>
        <w:t xml:space="preserve">     </w:t>
      </w:r>
      <w:r>
        <w:rPr>
          <w:rFonts w:hint="eastAsia" w:cs="Helvetica"/>
          <w:bCs/>
          <w:i/>
          <w:iCs/>
          <w:szCs w:val="24"/>
          <w:u w:val="single"/>
        </w:rPr>
        <w:t>（见投标文件）</w:t>
      </w:r>
      <w:r>
        <w:rPr>
          <w:rFonts w:hint="eastAsia" w:cs="Helvetica"/>
          <w:bCs/>
          <w:szCs w:val="24"/>
          <w:u w:val="single"/>
        </w:rPr>
        <w:t xml:space="preserve">                           </w:t>
      </w:r>
      <w:r>
        <w:rPr>
          <w:rFonts w:hint="eastAsia" w:cs="Helvetica"/>
          <w:bCs/>
          <w:szCs w:val="24"/>
        </w:rPr>
        <w:t>。</w:t>
      </w:r>
    </w:p>
    <w:p>
      <w:pPr>
        <w:pStyle w:val="43"/>
        <w:numPr>
          <w:ilvl w:val="0"/>
          <w:numId w:val="66"/>
        </w:numPr>
        <w:wordWrap w:val="0"/>
        <w:spacing w:before="78" w:beforeLines="25" w:line="360" w:lineRule="auto"/>
        <w:ind w:left="993" w:hanging="513" w:firstLineChars="0"/>
        <w:rPr>
          <w:rFonts w:cs="Helvetica"/>
          <w:bCs/>
          <w:i/>
          <w:iCs/>
          <w:szCs w:val="24"/>
          <w:lang w:val="zh-CN"/>
        </w:rPr>
      </w:pPr>
      <w:r>
        <w:rPr>
          <w:rFonts w:hint="eastAsia" w:cs="Helvetica"/>
          <w:b/>
          <w:szCs w:val="24"/>
          <w:lang w:val="zh-CN"/>
        </w:rPr>
        <w:t>知识产权归属、处理方式</w:t>
      </w:r>
    </w:p>
    <w:p>
      <w:pPr>
        <w:numPr>
          <w:ilvl w:val="255"/>
          <w:numId w:val="0"/>
        </w:numPr>
        <w:tabs>
          <w:tab w:val="left" w:pos="980"/>
        </w:tabs>
        <w:wordWrap w:val="0"/>
        <w:autoSpaceDE w:val="0"/>
        <w:autoSpaceDN w:val="0"/>
        <w:spacing w:before="78" w:beforeLines="25" w:line="360" w:lineRule="auto"/>
        <w:ind w:left="547" w:leftChars="228" w:firstLine="720" w:firstLineChars="300"/>
        <w:contextualSpacing/>
        <w:rPr>
          <w:rFonts w:cs="Helvetica"/>
          <w:bCs/>
          <w:i/>
          <w:iCs/>
          <w:szCs w:val="24"/>
        </w:rPr>
      </w:pPr>
      <w:r>
        <w:rPr>
          <w:rFonts w:hint="eastAsia" w:cs="Helvetica"/>
          <w:bCs/>
          <w:i/>
          <w:iCs/>
          <w:szCs w:val="24"/>
          <w:u w:val="single"/>
        </w:rPr>
        <w:t xml:space="preserve">                    （见招标文件）                            </w:t>
      </w:r>
      <w:r>
        <w:rPr>
          <w:rFonts w:hint="eastAsia" w:cs="Helvetica"/>
          <w:bCs/>
          <w:i/>
          <w:iCs/>
          <w:szCs w:val="24"/>
        </w:rPr>
        <w:t>。</w:t>
      </w:r>
    </w:p>
    <w:p>
      <w:pPr>
        <w:pStyle w:val="43"/>
        <w:numPr>
          <w:ilvl w:val="0"/>
          <w:numId w:val="66"/>
        </w:numPr>
        <w:wordWrap w:val="0"/>
        <w:spacing w:before="78" w:beforeLines="25" w:line="360" w:lineRule="auto"/>
        <w:ind w:left="993" w:hanging="513" w:firstLineChars="0"/>
        <w:rPr>
          <w:rFonts w:cs="Helvetica"/>
          <w:b/>
          <w:szCs w:val="24"/>
          <w:lang w:val="zh-CN"/>
        </w:rPr>
      </w:pPr>
      <w:r>
        <w:rPr>
          <w:rFonts w:hint="eastAsia" w:cs="Helvetica"/>
          <w:b/>
          <w:szCs w:val="24"/>
          <w:lang w:val="zh-CN"/>
        </w:rPr>
        <w:t>双方的权利和义务</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rPr>
          <w:rFonts w:cs="Helvetica"/>
          <w:bCs/>
          <w:szCs w:val="24"/>
          <w:u w:val="single"/>
        </w:rPr>
      </w:pPr>
      <w:r>
        <w:rPr>
          <w:rFonts w:hint="eastAsia" w:cs="宋体"/>
          <w:szCs w:val="24"/>
        </w:rPr>
        <w:t>1.</w:t>
      </w:r>
      <w:r>
        <w:rPr>
          <w:rFonts w:hint="eastAsia" w:cs="Helvetica"/>
          <w:bCs/>
          <w:szCs w:val="24"/>
        </w:rPr>
        <w:t>甲方的</w:t>
      </w:r>
      <w:r>
        <w:rPr>
          <w:rFonts w:hint="eastAsia" w:cs="宋体"/>
          <w:szCs w:val="24"/>
        </w:rPr>
        <w:t>权力</w:t>
      </w:r>
      <w:r>
        <w:rPr>
          <w:rFonts w:hint="eastAsia" w:cs="Helvetica"/>
          <w:bCs/>
          <w:szCs w:val="24"/>
        </w:rPr>
        <w:t>和义务：</w:t>
      </w:r>
      <w:r>
        <w:rPr>
          <w:rFonts w:hint="eastAsia" w:cs="Helvetica"/>
          <w:bCs/>
          <w:i/>
          <w:iCs/>
          <w:szCs w:val="24"/>
          <w:u w:val="single"/>
        </w:rPr>
        <w:t xml:space="preserve">                                            </w:t>
      </w:r>
      <w:r>
        <w:rPr>
          <w:rFonts w:hint="eastAsia" w:cs="Helvetica"/>
          <w:bCs/>
          <w:szCs w:val="24"/>
        </w:rPr>
        <w:t>。</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rPr>
          <w:rFonts w:cs="Helvetica"/>
          <w:bCs/>
          <w:szCs w:val="24"/>
        </w:rPr>
      </w:pPr>
      <w:r>
        <w:rPr>
          <w:rFonts w:hint="eastAsia" w:cs="宋体"/>
          <w:szCs w:val="24"/>
        </w:rPr>
        <w:t>2.</w:t>
      </w:r>
      <w:r>
        <w:rPr>
          <w:rFonts w:hint="eastAsia" w:cs="Helvetica"/>
          <w:bCs/>
          <w:szCs w:val="24"/>
        </w:rPr>
        <w:t>乙方的</w:t>
      </w:r>
      <w:r>
        <w:rPr>
          <w:rFonts w:hint="eastAsia" w:cs="宋体"/>
          <w:szCs w:val="24"/>
        </w:rPr>
        <w:t>权力</w:t>
      </w:r>
      <w:r>
        <w:rPr>
          <w:rFonts w:hint="eastAsia" w:cs="Helvetica"/>
          <w:bCs/>
          <w:szCs w:val="24"/>
        </w:rPr>
        <w:t>和义务：</w:t>
      </w:r>
      <w:r>
        <w:rPr>
          <w:rFonts w:hint="eastAsia" w:cs="Helvetica"/>
          <w:bCs/>
          <w:i/>
          <w:iCs/>
          <w:szCs w:val="24"/>
          <w:u w:val="single"/>
        </w:rPr>
        <w:t xml:space="preserve">                                            </w:t>
      </w:r>
      <w:r>
        <w:rPr>
          <w:rFonts w:hint="eastAsia" w:cs="Helvetica"/>
          <w:bCs/>
          <w:szCs w:val="24"/>
        </w:rPr>
        <w:t>。</w:t>
      </w:r>
    </w:p>
    <w:p>
      <w:pPr>
        <w:pStyle w:val="43"/>
        <w:numPr>
          <w:ilvl w:val="0"/>
          <w:numId w:val="66"/>
        </w:numPr>
        <w:wordWrap w:val="0"/>
        <w:spacing w:before="78" w:beforeLines="25" w:line="360" w:lineRule="auto"/>
        <w:ind w:firstLineChars="0"/>
        <w:rPr>
          <w:rFonts w:cs="Helvetica"/>
          <w:b/>
          <w:szCs w:val="24"/>
          <w:lang w:val="zh-CN"/>
        </w:rPr>
      </w:pPr>
      <w:r>
        <w:rPr>
          <w:rFonts w:hint="eastAsia" w:cs="Helvetica"/>
          <w:b/>
          <w:szCs w:val="24"/>
          <w:lang w:val="zh-CN"/>
        </w:rPr>
        <w:t>违约责任</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rPr>
          <w:rFonts w:cs="宋体"/>
          <w:szCs w:val="24"/>
        </w:rPr>
      </w:pPr>
      <w:r>
        <w:rPr>
          <w:rFonts w:hint="eastAsia" w:cs="宋体"/>
          <w:szCs w:val="24"/>
        </w:rPr>
        <w:t>1.</w:t>
      </w:r>
      <w:r>
        <w:rPr>
          <w:rFonts w:hint="eastAsia" w:cs="宋体"/>
          <w:szCs w:val="24"/>
          <w:lang w:val="zh-CN"/>
        </w:rPr>
        <w:t>甲方的违约责任</w:t>
      </w:r>
      <w:r>
        <w:rPr>
          <w:rFonts w:hint="eastAsia" w:cs="宋体"/>
          <w:szCs w:val="24"/>
        </w:rPr>
        <w:t>：</w:t>
      </w:r>
      <w:r>
        <w:rPr>
          <w:rFonts w:hint="eastAsia" w:cs="宋体"/>
          <w:szCs w:val="24"/>
          <w:u w:val="single"/>
        </w:rPr>
        <w:t xml:space="preserve">                                              </w:t>
      </w:r>
      <w:r>
        <w:rPr>
          <w:rFonts w:hint="eastAsia" w:cs="宋体"/>
          <w:szCs w:val="24"/>
        </w:rPr>
        <w:t>。</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rPr>
          <w:rFonts w:cs="宋体"/>
          <w:szCs w:val="24"/>
        </w:rPr>
      </w:pPr>
      <w:r>
        <w:rPr>
          <w:rFonts w:hint="eastAsia" w:cs="宋体"/>
          <w:szCs w:val="24"/>
        </w:rPr>
        <w:t>2.乙方的违约责任：</w:t>
      </w:r>
      <w:r>
        <w:rPr>
          <w:rFonts w:hint="eastAsia" w:cs="宋体"/>
          <w:szCs w:val="24"/>
          <w:u w:val="single"/>
        </w:rPr>
        <w:t xml:space="preserve">     </w:t>
      </w:r>
      <w:r>
        <w:rPr>
          <w:rFonts w:cs="宋体"/>
          <w:szCs w:val="24"/>
          <w:u w:val="single"/>
        </w:rPr>
        <w:t xml:space="preserve"> </w:t>
      </w:r>
      <w:r>
        <w:rPr>
          <w:rFonts w:hint="eastAsia" w:cs="宋体"/>
          <w:szCs w:val="24"/>
          <w:u w:val="single"/>
        </w:rPr>
        <w:t xml:space="preserve">  </w:t>
      </w:r>
      <w:r>
        <w:rPr>
          <w:rFonts w:hint="eastAsia" w:cs="Helvetica"/>
          <w:bCs/>
          <w:i/>
          <w:iCs/>
          <w:szCs w:val="24"/>
          <w:u w:val="single"/>
        </w:rPr>
        <w:t>（见招标文件）</w:t>
      </w:r>
      <w:r>
        <w:rPr>
          <w:rFonts w:hint="eastAsia" w:cs="宋体"/>
          <w:szCs w:val="24"/>
          <w:u w:val="single"/>
        </w:rPr>
        <w:t xml:space="preserve">                        </w:t>
      </w:r>
      <w:r>
        <w:rPr>
          <w:rFonts w:hint="eastAsia" w:cs="宋体"/>
          <w:szCs w:val="24"/>
        </w:rPr>
        <w:t>。</w:t>
      </w:r>
    </w:p>
    <w:p>
      <w:pPr>
        <w:pStyle w:val="43"/>
        <w:numPr>
          <w:ilvl w:val="0"/>
          <w:numId w:val="66"/>
        </w:numPr>
        <w:wordWrap w:val="0"/>
        <w:spacing w:before="78" w:beforeLines="25" w:line="360" w:lineRule="auto"/>
        <w:ind w:firstLineChars="0"/>
        <w:rPr>
          <w:rFonts w:cs="Helvetica"/>
          <w:bCs/>
          <w:i/>
          <w:iCs/>
          <w:szCs w:val="24"/>
          <w:u w:val="single"/>
          <w:lang w:val="zh-CN"/>
        </w:rPr>
      </w:pPr>
      <w:r>
        <w:rPr>
          <w:rFonts w:hint="eastAsia" w:cs="Helvetica"/>
          <w:b/>
          <w:szCs w:val="24"/>
          <w:lang w:val="zh-CN"/>
        </w:rPr>
        <w:t>保密条款</w:t>
      </w:r>
    </w:p>
    <w:p>
      <w:pPr>
        <w:numPr>
          <w:ilvl w:val="255"/>
          <w:numId w:val="0"/>
        </w:numPr>
        <w:tabs>
          <w:tab w:val="left" w:pos="980"/>
        </w:tabs>
        <w:wordWrap w:val="0"/>
        <w:autoSpaceDE w:val="0"/>
        <w:autoSpaceDN w:val="0"/>
        <w:spacing w:before="78" w:beforeLines="25" w:line="360" w:lineRule="auto"/>
        <w:ind w:left="547" w:leftChars="228" w:firstLine="720" w:firstLineChars="300"/>
        <w:contextualSpacing/>
        <w:rPr>
          <w:rFonts w:cs="Helvetica"/>
          <w:bCs/>
          <w:szCs w:val="24"/>
        </w:rPr>
      </w:pPr>
      <w:r>
        <w:rPr>
          <w:rFonts w:hint="eastAsia" w:cs="Helvetica"/>
          <w:bCs/>
          <w:i/>
          <w:iCs/>
          <w:szCs w:val="24"/>
          <w:u w:val="single"/>
        </w:rPr>
        <w:t xml:space="preserve">                      </w:t>
      </w:r>
      <w:r>
        <w:rPr>
          <w:rFonts w:cs="Helvetica"/>
          <w:bCs/>
          <w:i/>
          <w:iCs/>
          <w:szCs w:val="24"/>
          <w:u w:val="single"/>
        </w:rPr>
        <w:t xml:space="preserve">  </w:t>
      </w:r>
      <w:r>
        <w:rPr>
          <w:rFonts w:hint="eastAsia" w:cs="Helvetica"/>
          <w:bCs/>
          <w:i/>
          <w:iCs/>
          <w:szCs w:val="24"/>
          <w:u w:val="single"/>
        </w:rPr>
        <w:t xml:space="preserve"> （见招标文件）                       </w:t>
      </w:r>
      <w:r>
        <w:rPr>
          <w:rFonts w:hint="eastAsia" w:cs="Helvetica"/>
          <w:bCs/>
          <w:szCs w:val="24"/>
        </w:rPr>
        <w:t>。</w:t>
      </w:r>
    </w:p>
    <w:p>
      <w:pPr>
        <w:pStyle w:val="43"/>
        <w:numPr>
          <w:ilvl w:val="0"/>
          <w:numId w:val="66"/>
        </w:numPr>
        <w:wordWrap w:val="0"/>
        <w:spacing w:before="78" w:beforeLines="25" w:line="360" w:lineRule="auto"/>
        <w:ind w:left="993" w:hanging="513" w:firstLineChars="0"/>
        <w:rPr>
          <w:rFonts w:cs="Helvetica"/>
          <w:b/>
          <w:szCs w:val="24"/>
          <w:lang w:val="zh-CN"/>
        </w:rPr>
      </w:pPr>
      <w:r>
        <w:rPr>
          <w:rFonts w:hint="eastAsia" w:cs="Helvetica"/>
          <w:b/>
          <w:szCs w:val="24"/>
          <w:lang w:val="zh-CN"/>
        </w:rPr>
        <w:t>其它补充条款</w:t>
      </w:r>
    </w:p>
    <w:p>
      <w:pPr>
        <w:numPr>
          <w:ilvl w:val="255"/>
          <w:numId w:val="0"/>
        </w:numPr>
        <w:tabs>
          <w:tab w:val="left" w:pos="980"/>
        </w:tabs>
        <w:wordWrap w:val="0"/>
        <w:autoSpaceDE w:val="0"/>
        <w:autoSpaceDN w:val="0"/>
        <w:spacing w:before="78" w:beforeLines="25" w:line="360" w:lineRule="auto"/>
        <w:ind w:left="547" w:leftChars="228" w:firstLine="720" w:firstLineChars="300"/>
        <w:contextualSpacing/>
        <w:rPr>
          <w:rFonts w:cs="Helvetica"/>
          <w:bCs/>
          <w:szCs w:val="24"/>
        </w:rPr>
      </w:pPr>
      <w:r>
        <w:rPr>
          <w:rFonts w:hint="eastAsia" w:cs="Helvetica"/>
          <w:bCs/>
          <w:szCs w:val="24"/>
          <w:u w:val="single"/>
        </w:rPr>
        <w:t xml:space="preserve">                                                              </w:t>
      </w:r>
      <w:r>
        <w:rPr>
          <w:rFonts w:hint="eastAsia" w:cs="Helvetica"/>
          <w:bCs/>
          <w:szCs w:val="24"/>
        </w:rPr>
        <w:t>。</w:t>
      </w:r>
    </w:p>
    <w:p>
      <w:pPr>
        <w:pStyle w:val="43"/>
        <w:numPr>
          <w:ilvl w:val="0"/>
          <w:numId w:val="66"/>
        </w:numPr>
        <w:wordWrap w:val="0"/>
        <w:spacing w:before="78" w:beforeLines="25" w:line="360" w:lineRule="auto"/>
        <w:ind w:left="993" w:hanging="513" w:firstLineChars="0"/>
        <w:rPr>
          <w:rFonts w:cs="Helvetica"/>
          <w:b/>
          <w:bCs/>
          <w:szCs w:val="24"/>
          <w:lang w:val="zh-CN"/>
        </w:rPr>
      </w:pPr>
      <w:r>
        <w:rPr>
          <w:rFonts w:hint="eastAsia" w:cs="Helvetica"/>
          <w:b/>
          <w:szCs w:val="24"/>
          <w:lang w:val="zh-CN"/>
        </w:rPr>
        <w:t>不可抗力</w:t>
      </w:r>
    </w:p>
    <w:p>
      <w:pPr>
        <w:wordWrap w:val="0"/>
        <w:spacing w:before="78" w:beforeLines="25" w:line="360" w:lineRule="auto"/>
        <w:ind w:firstLine="480" w:firstLineChars="200"/>
        <w:rPr>
          <w:rFonts w:cs="Helvetica"/>
          <w:b/>
          <w:szCs w:val="24"/>
          <w:lang w:val="zh-CN"/>
        </w:rPr>
      </w:pPr>
      <w:r>
        <w:rPr>
          <w:rFonts w:hint="eastAsia"/>
        </w:rPr>
        <w:t>任何一方由于不可抗力原因不能履行合同时，应在不可抗力事件结束后</w:t>
      </w:r>
      <w:r>
        <w:rPr>
          <w:rFonts w:hint="eastAsia"/>
          <w:u w:val="single"/>
        </w:rPr>
        <w:t xml:space="preserve">     </w:t>
      </w:r>
      <w:r>
        <w:rPr>
          <w:rFonts w:hint="eastAsia"/>
        </w:rPr>
        <w:t>日内以书面形式通知对方，以减轻可能给对方造成的损失，在取得有关机构的不可抗力证明或双方谅解确认后，允许延期履行或修订合同，并根据情况可部分或全部免于承担违约责任。</w:t>
      </w:r>
    </w:p>
    <w:p>
      <w:pPr>
        <w:pStyle w:val="43"/>
        <w:numPr>
          <w:ilvl w:val="0"/>
          <w:numId w:val="66"/>
        </w:numPr>
        <w:wordWrap w:val="0"/>
        <w:spacing w:before="78" w:beforeLines="25" w:line="360" w:lineRule="auto"/>
        <w:ind w:left="993" w:hanging="513" w:firstLineChars="0"/>
        <w:rPr>
          <w:rFonts w:cs="Helvetica"/>
          <w:b/>
          <w:szCs w:val="24"/>
          <w:lang w:val="zh-CN"/>
        </w:rPr>
      </w:pPr>
      <w:r>
        <w:rPr>
          <w:rFonts w:hint="eastAsia" w:cs="Helvetica"/>
          <w:b/>
          <w:szCs w:val="24"/>
          <w:lang w:val="zh-CN"/>
        </w:rPr>
        <w:t>解决争议的方法</w:t>
      </w:r>
    </w:p>
    <w:p>
      <w:pPr>
        <w:numPr>
          <w:ilvl w:val="255"/>
          <w:numId w:val="0"/>
        </w:numPr>
        <w:tabs>
          <w:tab w:val="left" w:pos="980"/>
        </w:tabs>
        <w:wordWrap w:val="0"/>
        <w:autoSpaceDE w:val="0"/>
        <w:autoSpaceDN w:val="0"/>
        <w:spacing w:before="78" w:beforeLines="25" w:line="360" w:lineRule="auto"/>
        <w:ind w:firstLine="480" w:firstLineChars="200"/>
        <w:contextualSpacing/>
      </w:pPr>
      <w:r>
        <w:rPr>
          <w:rFonts w:hint="eastAsia"/>
        </w:rPr>
        <w:t>一切由执行合同引起的或与本合同有关的争执，双方应通过友好协商解决，如协商不能解决应提交甲方所在地有管辖权的人民法院诉讼解决。</w:t>
      </w:r>
    </w:p>
    <w:p>
      <w:pPr>
        <w:pStyle w:val="43"/>
        <w:numPr>
          <w:ilvl w:val="0"/>
          <w:numId w:val="66"/>
        </w:numPr>
        <w:wordWrap w:val="0"/>
        <w:spacing w:before="78" w:beforeLines="25" w:line="360" w:lineRule="auto"/>
        <w:ind w:left="993" w:hanging="513" w:firstLineChars="0"/>
        <w:rPr>
          <w:rFonts w:cs="Helvetica"/>
          <w:b/>
          <w:szCs w:val="24"/>
          <w:lang w:val="zh-CN"/>
        </w:rPr>
      </w:pPr>
      <w:r>
        <w:rPr>
          <w:rFonts w:hint="eastAsia" w:cs="Helvetica"/>
          <w:b/>
          <w:szCs w:val="24"/>
          <w:lang w:val="zh-CN"/>
        </w:rPr>
        <w:t>合同组成</w:t>
      </w:r>
    </w:p>
    <w:p>
      <w:pPr>
        <w:wordWrap w:val="0"/>
        <w:spacing w:before="78" w:beforeLines="25" w:line="360" w:lineRule="auto"/>
        <w:ind w:firstLine="960" w:firstLineChars="400"/>
        <w:rPr>
          <w:rFonts w:cs="Helvetica"/>
          <w:szCs w:val="24"/>
          <w:lang w:val="zh-CN"/>
        </w:rPr>
      </w:pPr>
      <w:r>
        <w:rPr>
          <w:rFonts w:hint="eastAsia"/>
        </w:rPr>
        <w:t>下列文件为本合同不可分割的部分：</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rPr>
          <w:lang w:val="zh-CN"/>
        </w:rPr>
      </w:pPr>
      <w:r>
        <w:rPr>
          <w:rFonts w:hint="eastAsia"/>
        </w:rPr>
        <w:t>1.</w:t>
      </w:r>
      <w:r>
        <w:rPr>
          <w:rFonts w:hint="eastAsia"/>
          <w:lang w:val="zh-CN"/>
        </w:rPr>
        <w:t>合同书；</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pPr>
      <w:r>
        <w:rPr>
          <w:rFonts w:hint="eastAsia"/>
        </w:rPr>
        <w:t>2.</w:t>
      </w:r>
      <w:r>
        <w:rPr>
          <w:rFonts w:hint="eastAsia"/>
          <w:lang w:val="zh-CN"/>
        </w:rPr>
        <w:t>代理机构发出的中标或成交通知书；</w:t>
      </w:r>
      <w:r>
        <w:t xml:space="preserve"> </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rPr>
          <w:lang w:val="zh-CN"/>
        </w:rPr>
      </w:pPr>
      <w:r>
        <w:rPr>
          <w:rFonts w:hint="eastAsia"/>
        </w:rPr>
        <w:t>3.</w:t>
      </w:r>
      <w:r>
        <w:rPr>
          <w:rFonts w:hint="eastAsia"/>
          <w:lang w:val="zh-CN"/>
        </w:rPr>
        <w:t>经双方确认并共同签字的补充文件、技术协议等；</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rPr>
          <w:lang w:val="zh-CN"/>
        </w:rPr>
      </w:pPr>
      <w:r>
        <w:rPr>
          <w:rFonts w:hint="eastAsia"/>
        </w:rPr>
        <w:t>4.</w:t>
      </w:r>
      <w:r>
        <w:rPr>
          <w:rFonts w:hint="eastAsia"/>
          <w:lang w:val="zh-CN"/>
        </w:rPr>
        <w:t>乙方的投标或响应文件（含附件、补充文件、图纸等）；</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rPr>
          <w:lang w:val="zh-CN"/>
        </w:rPr>
      </w:pPr>
      <w:r>
        <w:rPr>
          <w:rFonts w:hint="eastAsia"/>
        </w:rPr>
        <w:t>5.</w:t>
      </w:r>
      <w:r>
        <w:rPr>
          <w:rFonts w:hint="eastAsia"/>
          <w:lang w:val="zh-CN"/>
        </w:rPr>
        <w:t>采购文件（含附件、补充文件、图纸等</w:t>
      </w:r>
      <w:r>
        <w:rPr>
          <w:rFonts w:hint="eastAsia"/>
        </w:rPr>
        <w:t>）。</w:t>
      </w:r>
    </w:p>
    <w:p>
      <w:pPr>
        <w:pStyle w:val="43"/>
        <w:numPr>
          <w:ilvl w:val="0"/>
          <w:numId w:val="66"/>
        </w:numPr>
        <w:wordWrap w:val="0"/>
        <w:spacing w:before="78" w:beforeLines="25" w:line="360" w:lineRule="auto"/>
        <w:ind w:firstLineChars="0"/>
        <w:rPr>
          <w:b/>
        </w:rPr>
      </w:pPr>
      <w:r>
        <w:rPr>
          <w:rFonts w:hint="eastAsia" w:cs="Helvetica"/>
          <w:b/>
          <w:szCs w:val="24"/>
          <w:lang w:val="zh-CN"/>
        </w:rPr>
        <w:t>合同生效与终止</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pPr>
      <w:r>
        <w:rPr>
          <w:rFonts w:hint="eastAsia"/>
        </w:rPr>
        <w:t>1.本合同经甲乙双方授权代表签字和加盖公章（或合同专用章）后生效。如招标申请公证的，合同需经公证机构公证后生效。</w:t>
      </w:r>
    </w:p>
    <w:p>
      <w:pPr>
        <w:numPr>
          <w:ilvl w:val="255"/>
          <w:numId w:val="0"/>
        </w:numPr>
        <w:tabs>
          <w:tab w:val="left" w:pos="980"/>
        </w:tabs>
        <w:wordWrap w:val="0"/>
        <w:autoSpaceDE w:val="0"/>
        <w:autoSpaceDN w:val="0"/>
        <w:spacing w:before="78" w:beforeLines="25" w:line="360" w:lineRule="auto"/>
        <w:ind w:firstLine="960" w:firstLineChars="400"/>
        <w:contextualSpacing/>
      </w:pPr>
      <w:r>
        <w:rPr>
          <w:rFonts w:hint="eastAsia"/>
        </w:rPr>
        <w:t>2.双方履行完各自权利和义务后合同自行终止。</w:t>
      </w:r>
    </w:p>
    <w:p>
      <w:pPr>
        <w:numPr>
          <w:ilvl w:val="255"/>
          <w:numId w:val="0"/>
        </w:numPr>
        <w:tabs>
          <w:tab w:val="left" w:pos="980"/>
        </w:tabs>
        <w:wordWrap w:val="0"/>
        <w:autoSpaceDE w:val="0"/>
        <w:autoSpaceDN w:val="0"/>
        <w:spacing w:before="78" w:beforeLines="25" w:line="360" w:lineRule="auto"/>
        <w:ind w:firstLine="960" w:firstLineChars="400"/>
        <w:contextualSpacing/>
      </w:pPr>
      <w:r>
        <w:rPr>
          <w:rFonts w:hint="eastAsia"/>
        </w:rPr>
        <w:t>3.本合同规定可以终止合同的情形。</w:t>
      </w:r>
    </w:p>
    <w:p>
      <w:pPr>
        <w:pStyle w:val="43"/>
        <w:numPr>
          <w:ilvl w:val="0"/>
          <w:numId w:val="66"/>
        </w:numPr>
        <w:wordWrap w:val="0"/>
        <w:spacing w:before="78" w:beforeLines="25" w:line="360" w:lineRule="auto"/>
        <w:ind w:firstLineChars="0"/>
        <w:rPr>
          <w:b/>
          <w:bCs/>
        </w:rPr>
      </w:pPr>
      <w:r>
        <w:rPr>
          <w:rFonts w:hint="eastAsia"/>
          <w:b/>
          <w:bCs/>
        </w:rPr>
        <w:t>通知与送达</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pPr>
      <w:r>
        <w:rPr>
          <w:rFonts w:hint="eastAsia"/>
        </w:rPr>
        <w:t>1.就本合同有关事项，双方应通过本合同约定的联系方式向对方发送相关通知，本合同约定的送达地址同时作为有效司法送达地址。</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pPr>
      <w:r>
        <w:rPr>
          <w:rFonts w:hint="eastAsia"/>
        </w:rPr>
        <w:t>2.一方变更通知或通讯地址，应自变更之日起</w:t>
      </w:r>
      <w:r>
        <w:rPr>
          <w:rFonts w:hint="eastAsia"/>
          <w:u w:val="single"/>
        </w:rPr>
        <w:t xml:space="preserve">    </w:t>
      </w:r>
      <w:r>
        <w:rPr>
          <w:rFonts w:hint="eastAsia"/>
        </w:rPr>
        <w:t>日内，以书面形式通知对方，否则，由未通知方承担由此而引起的相关责任。</w:t>
      </w:r>
    </w:p>
    <w:p>
      <w:pPr>
        <w:pStyle w:val="43"/>
        <w:numPr>
          <w:ilvl w:val="0"/>
          <w:numId w:val="66"/>
        </w:numPr>
        <w:wordWrap w:val="0"/>
        <w:spacing w:before="78" w:beforeLines="25" w:line="360" w:lineRule="auto"/>
        <w:ind w:firstLineChars="0"/>
        <w:rPr>
          <w:b/>
          <w:bCs/>
        </w:rPr>
      </w:pPr>
      <w:r>
        <w:rPr>
          <w:rFonts w:hint="eastAsia"/>
          <w:b/>
          <w:bCs/>
        </w:rPr>
        <w:t>其它</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pPr>
      <w:r>
        <w:rPr>
          <w:rFonts w:hint="eastAsia"/>
        </w:rPr>
        <w:t>本合同正本一式</w:t>
      </w:r>
      <w:r>
        <w:rPr>
          <w:rFonts w:hint="eastAsia"/>
          <w:u w:val="single"/>
        </w:rPr>
        <w:t xml:space="preserve">    </w:t>
      </w:r>
      <w:r>
        <w:rPr>
          <w:rFonts w:hint="eastAsia"/>
        </w:rPr>
        <w:t>份，甲方执</w:t>
      </w:r>
      <w:r>
        <w:rPr>
          <w:rFonts w:hint="eastAsia"/>
          <w:u w:val="single"/>
        </w:rPr>
        <w:t xml:space="preserve">  　</w:t>
      </w:r>
      <w:r>
        <w:rPr>
          <w:rFonts w:hint="eastAsia"/>
        </w:rPr>
        <w:t>份，乙方执</w:t>
      </w:r>
      <w:r>
        <w:rPr>
          <w:rFonts w:hint="eastAsia"/>
          <w:u w:val="single"/>
        </w:rPr>
        <w:t xml:space="preserve">  　</w:t>
      </w:r>
      <w:r>
        <w:rPr>
          <w:rFonts w:hint="eastAsia"/>
        </w:rPr>
        <w:t>份；副本一式</w:t>
      </w:r>
      <w:r>
        <w:rPr>
          <w:rFonts w:hint="eastAsia"/>
          <w:u w:val="single"/>
        </w:rPr>
        <w:t xml:space="preserve">  　</w:t>
      </w:r>
      <w:r>
        <w:rPr>
          <w:rFonts w:hint="eastAsia"/>
        </w:rPr>
        <w:t>份，甲方执</w:t>
      </w:r>
      <w:r>
        <w:rPr>
          <w:rFonts w:hint="eastAsia"/>
          <w:u w:val="single"/>
        </w:rPr>
        <w:t xml:space="preserve">  　</w:t>
      </w:r>
      <w:r>
        <w:rPr>
          <w:rFonts w:hint="eastAsia"/>
        </w:rPr>
        <w:t>份，乙方执</w:t>
      </w:r>
      <w:r>
        <w:rPr>
          <w:rFonts w:hint="eastAsia"/>
          <w:u w:val="single"/>
        </w:rPr>
        <w:t xml:space="preserve">  　</w:t>
      </w:r>
      <w:r>
        <w:rPr>
          <w:rFonts w:hint="eastAsia"/>
        </w:rPr>
        <w:t>份。</w:t>
      </w:r>
    </w:p>
    <w:p>
      <w:pPr>
        <w:numPr>
          <w:ilvl w:val="255"/>
          <w:numId w:val="0"/>
        </w:numPr>
        <w:tabs>
          <w:tab w:val="left" w:pos="980"/>
        </w:tabs>
        <w:wordWrap w:val="0"/>
        <w:autoSpaceDE w:val="0"/>
        <w:autoSpaceDN w:val="0"/>
        <w:spacing w:before="78" w:beforeLines="25" w:line="360" w:lineRule="auto"/>
        <w:ind w:left="547" w:leftChars="228" w:firstLine="480" w:firstLineChars="200"/>
        <w:contextualSpacing/>
      </w:pPr>
    </w:p>
    <w:p>
      <w:pPr>
        <w:wordWrap w:val="0"/>
        <w:spacing w:before="78" w:beforeLines="25" w:line="360" w:lineRule="auto"/>
        <w:ind w:firstLine="489" w:firstLineChars="204"/>
        <w:contextualSpacing/>
        <w:jc w:val="left"/>
      </w:pPr>
      <w:r>
        <w:rPr>
          <w:rFonts w:hint="eastAsia"/>
        </w:rPr>
        <w:t xml:space="preserve">    </w:t>
      </w:r>
    </w:p>
    <w:p>
      <w:pPr>
        <w:wordWrap w:val="0"/>
        <w:spacing w:before="78" w:beforeLines="25" w:line="360" w:lineRule="auto"/>
        <w:ind w:firstLine="969" w:firstLineChars="404"/>
        <w:contextualSpacing/>
        <w:jc w:val="left"/>
      </w:pPr>
      <w:r>
        <w:rPr>
          <w:rFonts w:hint="eastAsia"/>
        </w:rPr>
        <w:t>甲　　方：</w:t>
      </w:r>
      <w:r>
        <w:rPr>
          <w:rFonts w:hint="eastAsia"/>
        </w:rPr>
        <w:tab/>
      </w:r>
      <w:r>
        <w:rPr>
          <w:rFonts w:hint="eastAsia"/>
        </w:rPr>
        <w:t xml:space="preserve">                           乙　　方：</w:t>
      </w:r>
    </w:p>
    <w:p>
      <w:pPr>
        <w:wordWrap w:val="0"/>
        <w:spacing w:before="78" w:beforeLines="25" w:line="360" w:lineRule="auto"/>
        <w:ind w:firstLine="969" w:firstLineChars="404"/>
        <w:contextualSpacing/>
        <w:jc w:val="left"/>
      </w:pPr>
      <w:r>
        <w:rPr>
          <w:rFonts w:hint="eastAsia"/>
        </w:rPr>
        <w:t>单位名称（盖章）：</w:t>
      </w:r>
      <w:r>
        <w:rPr>
          <w:rFonts w:hint="eastAsia"/>
        </w:rPr>
        <w:tab/>
      </w:r>
      <w:r>
        <w:rPr>
          <w:rFonts w:hint="eastAsia"/>
        </w:rPr>
        <w:t xml:space="preserve">                   单位名称（盖章）：</w:t>
      </w:r>
    </w:p>
    <w:p>
      <w:pPr>
        <w:wordWrap w:val="0"/>
        <w:spacing w:before="78" w:beforeLines="25" w:line="360" w:lineRule="auto"/>
        <w:ind w:firstLine="969" w:firstLineChars="404"/>
        <w:contextualSpacing/>
        <w:jc w:val="left"/>
      </w:pPr>
      <w:r>
        <w:rPr>
          <w:rFonts w:hint="eastAsia"/>
        </w:rPr>
        <w:t>单位地址：</w:t>
      </w:r>
      <w:r>
        <w:rPr>
          <w:rFonts w:hint="eastAsia"/>
        </w:rPr>
        <w:tab/>
      </w:r>
      <w:r>
        <w:rPr>
          <w:rFonts w:hint="eastAsia"/>
        </w:rPr>
        <w:t xml:space="preserve">                           单位地址：</w:t>
      </w:r>
    </w:p>
    <w:p>
      <w:pPr>
        <w:wordWrap w:val="0"/>
        <w:spacing w:before="78" w:beforeLines="25" w:line="360" w:lineRule="auto"/>
        <w:ind w:firstLine="969" w:firstLineChars="404"/>
        <w:contextualSpacing/>
        <w:jc w:val="left"/>
      </w:pPr>
      <w:r>
        <w:rPr>
          <w:rFonts w:hint="eastAsia"/>
        </w:rPr>
        <w:t xml:space="preserve">法人代表授权人（签字）：             </w:t>
      </w:r>
      <w:r>
        <w:rPr>
          <w:rFonts w:hint="eastAsia"/>
        </w:rPr>
        <w:tab/>
      </w:r>
      <w:r>
        <w:rPr>
          <w:rFonts w:hint="eastAsia"/>
        </w:rPr>
        <w:t>法人代表授权人（签字）：</w:t>
      </w:r>
    </w:p>
    <w:p>
      <w:pPr>
        <w:wordWrap w:val="0"/>
        <w:spacing w:before="78" w:beforeLines="25" w:line="360" w:lineRule="auto"/>
        <w:ind w:firstLine="969" w:firstLineChars="404"/>
        <w:contextualSpacing/>
        <w:jc w:val="left"/>
      </w:pPr>
      <w:r>
        <w:rPr>
          <w:rFonts w:hint="eastAsia"/>
        </w:rPr>
        <w:t>联 系 人：</w:t>
      </w:r>
      <w:r>
        <w:rPr>
          <w:rFonts w:hint="eastAsia"/>
        </w:rPr>
        <w:tab/>
      </w:r>
      <w:r>
        <w:rPr>
          <w:rFonts w:hint="eastAsia"/>
        </w:rPr>
        <w:t xml:space="preserve">                           联 系 人：</w:t>
      </w:r>
    </w:p>
    <w:p>
      <w:pPr>
        <w:wordWrap w:val="0"/>
        <w:spacing w:before="78" w:beforeLines="25" w:line="360" w:lineRule="auto"/>
        <w:ind w:firstLine="969" w:firstLineChars="404"/>
        <w:contextualSpacing/>
        <w:jc w:val="left"/>
      </w:pPr>
      <w:r>
        <w:rPr>
          <w:rFonts w:hint="eastAsia"/>
        </w:rPr>
        <w:t xml:space="preserve">电　　话：                           </w:t>
      </w:r>
      <w:r>
        <w:rPr>
          <w:rFonts w:hint="eastAsia"/>
        </w:rPr>
        <w:tab/>
      </w:r>
      <w:r>
        <w:rPr>
          <w:rFonts w:hint="eastAsia"/>
        </w:rPr>
        <w:t>电　　话：</w:t>
      </w:r>
    </w:p>
    <w:p>
      <w:pPr>
        <w:wordWrap w:val="0"/>
        <w:spacing w:before="78" w:beforeLines="25" w:line="360" w:lineRule="auto"/>
        <w:ind w:firstLine="969" w:firstLineChars="404"/>
        <w:contextualSpacing/>
        <w:jc w:val="left"/>
      </w:pPr>
      <w:r>
        <w:rPr>
          <w:rFonts w:hint="eastAsia"/>
        </w:rPr>
        <w:t xml:space="preserve">传　　真：                           </w:t>
      </w:r>
      <w:r>
        <w:rPr>
          <w:rFonts w:hint="eastAsia"/>
        </w:rPr>
        <w:tab/>
      </w:r>
      <w:r>
        <w:rPr>
          <w:rFonts w:hint="eastAsia"/>
        </w:rPr>
        <w:t>传　　真：</w:t>
      </w:r>
    </w:p>
    <w:p>
      <w:pPr>
        <w:wordWrap w:val="0"/>
        <w:spacing w:before="78" w:beforeLines="25" w:line="360" w:lineRule="auto"/>
        <w:ind w:firstLine="969" w:firstLineChars="404"/>
        <w:contextualSpacing/>
        <w:jc w:val="left"/>
      </w:pPr>
      <w:r>
        <w:rPr>
          <w:rFonts w:hint="eastAsia"/>
        </w:rPr>
        <w:t xml:space="preserve">邮政编码：                           </w:t>
      </w:r>
      <w:r>
        <w:rPr>
          <w:rFonts w:hint="eastAsia"/>
        </w:rPr>
        <w:tab/>
      </w:r>
      <w:r>
        <w:rPr>
          <w:rFonts w:hint="eastAsia"/>
        </w:rPr>
        <w:t>邮政编码：</w:t>
      </w:r>
    </w:p>
    <w:p>
      <w:pPr>
        <w:wordWrap w:val="0"/>
        <w:spacing w:before="78" w:beforeLines="25" w:line="360" w:lineRule="auto"/>
        <w:ind w:firstLine="969" w:firstLineChars="404"/>
        <w:contextualSpacing/>
        <w:jc w:val="left"/>
      </w:pPr>
      <w:r>
        <w:rPr>
          <w:rFonts w:hint="eastAsia"/>
        </w:rPr>
        <w:t xml:space="preserve">开户银行：                           </w:t>
      </w:r>
      <w:r>
        <w:rPr>
          <w:rFonts w:hint="eastAsia"/>
        </w:rPr>
        <w:tab/>
      </w:r>
      <w:r>
        <w:rPr>
          <w:rFonts w:hint="eastAsia"/>
        </w:rPr>
        <w:t>开户银行：</w:t>
      </w:r>
    </w:p>
    <w:p>
      <w:pPr>
        <w:wordWrap w:val="0"/>
        <w:spacing w:before="78" w:beforeLines="25" w:line="360" w:lineRule="auto"/>
        <w:ind w:firstLine="969" w:firstLineChars="404"/>
        <w:contextualSpacing/>
        <w:jc w:val="left"/>
      </w:pPr>
      <w:r>
        <w:rPr>
          <w:rFonts w:hint="eastAsia"/>
        </w:rPr>
        <w:t xml:space="preserve">帐　　号：                           </w:t>
      </w:r>
      <w:r>
        <w:rPr>
          <w:rFonts w:hint="eastAsia"/>
        </w:rPr>
        <w:tab/>
      </w:r>
      <w:r>
        <w:rPr>
          <w:rFonts w:hint="eastAsia"/>
        </w:rPr>
        <w:t>帐　　号：</w:t>
      </w:r>
    </w:p>
    <w:p>
      <w:pPr>
        <w:wordWrap w:val="0"/>
        <w:spacing w:before="78" w:beforeLines="25" w:line="360" w:lineRule="auto"/>
        <w:ind w:firstLine="969" w:firstLineChars="404"/>
        <w:contextualSpacing/>
        <w:jc w:val="left"/>
      </w:pPr>
      <w:r>
        <w:rPr>
          <w:rFonts w:hint="eastAsia"/>
        </w:rPr>
        <w:t xml:space="preserve">税　　号：                           </w:t>
      </w:r>
      <w:r>
        <w:rPr>
          <w:rFonts w:hint="eastAsia"/>
        </w:rPr>
        <w:tab/>
      </w:r>
      <w:r>
        <w:rPr>
          <w:rFonts w:hint="eastAsia"/>
        </w:rPr>
        <w:t>税　　号：</w:t>
      </w:r>
    </w:p>
    <w:p>
      <w:pPr>
        <w:wordWrap w:val="0"/>
        <w:spacing w:line="360" w:lineRule="auto"/>
        <w:ind w:firstLine="480" w:firstLineChars="200"/>
        <w:rPr>
          <w:strike/>
          <w:szCs w:val="24"/>
        </w:rPr>
      </w:pPr>
    </w:p>
    <w:p>
      <w:pPr>
        <w:widowControl/>
        <w:tabs>
          <w:tab w:val="right" w:leader="dot" w:pos="9514"/>
        </w:tabs>
        <w:wordWrap w:val="0"/>
        <w:spacing w:line="360" w:lineRule="auto"/>
        <w:jc w:val="left"/>
        <w:rPr>
          <w:b/>
          <w:iCs/>
          <w:sz w:val="28"/>
        </w:rPr>
        <w:sectPr>
          <w:pgSz w:w="11906" w:h="16838"/>
          <w:pgMar w:top="1134" w:right="1191" w:bottom="1134" w:left="1191" w:header="851" w:footer="992" w:gutter="0"/>
          <w:pgBorders>
            <w:top w:val="none" w:sz="0" w:space="0"/>
            <w:left w:val="none" w:sz="0" w:space="0"/>
            <w:bottom w:val="none" w:sz="0" w:space="0"/>
            <w:right w:val="none" w:sz="0" w:space="0"/>
          </w:pgBorders>
          <w:cols w:space="425" w:num="1"/>
          <w:docGrid w:type="lines" w:linePitch="312" w:charSpace="0"/>
        </w:sectPr>
      </w:pPr>
    </w:p>
    <w:p>
      <w:pPr>
        <w:pStyle w:val="2"/>
        <w:numPr>
          <w:ilvl w:val="0"/>
          <w:numId w:val="1"/>
        </w:numPr>
        <w:tabs>
          <w:tab w:val="left" w:pos="1276"/>
        </w:tabs>
        <w:wordWrap w:val="0"/>
        <w:spacing w:before="120" w:after="120" w:line="360" w:lineRule="auto"/>
        <w:ind w:left="723" w:hanging="723" w:hangingChars="200"/>
        <w:jc w:val="center"/>
        <w:rPr>
          <w:sz w:val="36"/>
          <w:szCs w:val="36"/>
        </w:rPr>
      </w:pPr>
      <w:bookmarkStart w:id="596" w:name="_Toc494665944"/>
      <w:bookmarkStart w:id="597" w:name="_Toc102056256"/>
      <w:bookmarkStart w:id="598" w:name="_Toc494702264"/>
      <w:bookmarkStart w:id="599" w:name="_Toc494745311"/>
      <w:bookmarkStart w:id="600" w:name="_Toc511894521"/>
      <w:bookmarkStart w:id="601" w:name="_Toc494721094"/>
      <w:bookmarkStart w:id="602" w:name="_Toc102057756"/>
      <w:bookmarkStart w:id="603" w:name="_Toc494665547"/>
      <w:bookmarkStart w:id="604" w:name="_Toc102119891"/>
      <w:bookmarkStart w:id="605" w:name="_Toc102116060"/>
      <w:bookmarkStart w:id="606" w:name="_Toc102114958"/>
      <w:bookmarkStart w:id="607" w:name="_Toc117244373"/>
      <w:bookmarkStart w:id="608" w:name="_Toc16176"/>
      <w:bookmarkStart w:id="609" w:name="_Toc117244488"/>
      <w:bookmarkStart w:id="610" w:name="_Toc102116190"/>
      <w:bookmarkStart w:id="611" w:name="_Toc494664994"/>
      <w:bookmarkStart w:id="612" w:name="_Toc7956"/>
      <w:r>
        <w:rPr>
          <w:rFonts w:hint="eastAsia"/>
          <w:sz w:val="36"/>
          <w:szCs w:val="36"/>
        </w:rPr>
        <w:t>投标文件格式（参考）</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pPr>
        <w:wordWrap w:val="0"/>
        <w:spacing w:line="360" w:lineRule="auto"/>
      </w:pPr>
    </w:p>
    <w:p>
      <w:pPr>
        <w:wordWrap w:val="0"/>
        <w:spacing w:line="360" w:lineRule="auto"/>
        <w:jc w:val="center"/>
        <w:rPr>
          <w:b/>
          <w:sz w:val="96"/>
          <w:szCs w:val="96"/>
        </w:rPr>
      </w:pPr>
      <w:r>
        <w:rPr>
          <w:rFonts w:hint="eastAsia"/>
          <w:b/>
          <w:sz w:val="96"/>
          <w:szCs w:val="96"/>
        </w:rPr>
        <w:t>黄冈市政府采购</w:t>
      </w:r>
    </w:p>
    <w:p>
      <w:pPr>
        <w:spacing w:line="360" w:lineRule="auto"/>
        <w:rPr>
          <w:sz w:val="72"/>
          <w:szCs w:val="72"/>
        </w:rPr>
      </w:pPr>
    </w:p>
    <w:p>
      <w:pPr>
        <w:wordWrap w:val="0"/>
        <w:spacing w:after="624" w:afterLines="200" w:line="360" w:lineRule="auto"/>
        <w:jc w:val="center"/>
        <w:rPr>
          <w:b/>
          <w:sz w:val="120"/>
          <w:szCs w:val="120"/>
        </w:rPr>
      </w:pPr>
      <w:r>
        <w:rPr>
          <w:rFonts w:hint="eastAsia"/>
          <w:b/>
          <w:sz w:val="120"/>
          <w:szCs w:val="120"/>
        </w:rPr>
        <w:t>投 标 文 件</w:t>
      </w:r>
    </w:p>
    <w:p>
      <w:pPr>
        <w:spacing w:line="360" w:lineRule="auto"/>
        <w:ind w:left="2241" w:leftChars="619" w:right="1486" w:rightChars="619" w:hanging="755" w:hangingChars="209"/>
        <w:jc w:val="left"/>
        <w:rPr>
          <w:b/>
          <w:bCs/>
          <w:sz w:val="36"/>
          <w:szCs w:val="24"/>
        </w:rPr>
      </w:pPr>
    </w:p>
    <w:p>
      <w:pPr>
        <w:spacing w:line="360" w:lineRule="auto"/>
        <w:jc w:val="left"/>
      </w:pPr>
      <w:r>
        <w:rPr>
          <w:rFonts w:hint="eastAsia"/>
        </w:rPr>
        <w:t xml:space="preserve">           </w:t>
      </w:r>
    </w:p>
    <w:p>
      <w:pPr>
        <w:wordWrap w:val="0"/>
        <w:spacing w:line="360" w:lineRule="auto"/>
        <w:ind w:firstLine="1687" w:firstLineChars="600"/>
        <w:rPr>
          <w:b/>
          <w:bCs/>
          <w:sz w:val="28"/>
          <w:szCs w:val="28"/>
        </w:rPr>
      </w:pPr>
      <w:r>
        <w:rPr>
          <w:rFonts w:hint="eastAsia"/>
          <w:b/>
          <w:bCs/>
          <w:sz w:val="28"/>
          <w:szCs w:val="28"/>
        </w:rPr>
        <w:t>项目编号：</w:t>
      </w:r>
      <w:r>
        <w:rPr>
          <w:rFonts w:hint="eastAsia"/>
          <w:b/>
          <w:sz w:val="28"/>
          <w:szCs w:val="28"/>
          <w:u w:val="single"/>
        </w:rPr>
        <w:t xml:space="preserve">                       </w:t>
      </w:r>
      <w:r>
        <w:rPr>
          <w:b/>
          <w:sz w:val="28"/>
          <w:szCs w:val="28"/>
          <w:u w:val="single"/>
        </w:rPr>
        <w:t xml:space="preserve">     </w:t>
      </w:r>
      <w:r>
        <w:rPr>
          <w:rFonts w:hint="eastAsia"/>
          <w:b/>
          <w:sz w:val="28"/>
          <w:szCs w:val="28"/>
          <w:u w:val="single"/>
        </w:rPr>
        <w:t xml:space="preserve">  </w:t>
      </w:r>
      <w:r>
        <w:rPr>
          <w:b/>
          <w:sz w:val="28"/>
          <w:szCs w:val="28"/>
          <w:u w:val="single"/>
        </w:rPr>
        <w:t xml:space="preserve"> </w:t>
      </w:r>
      <w:r>
        <w:rPr>
          <w:rFonts w:hint="eastAsia"/>
          <w:b/>
          <w:sz w:val="28"/>
          <w:szCs w:val="28"/>
          <w:u w:val="single"/>
        </w:rPr>
        <w:t xml:space="preserve">  </w:t>
      </w:r>
    </w:p>
    <w:p>
      <w:pPr>
        <w:wordWrap w:val="0"/>
        <w:spacing w:line="360" w:lineRule="auto"/>
        <w:ind w:firstLine="1687" w:firstLineChars="600"/>
        <w:rPr>
          <w:b/>
          <w:bCs/>
          <w:sz w:val="28"/>
          <w:szCs w:val="28"/>
          <w:lang w:val="zh-CN"/>
        </w:rPr>
      </w:pPr>
      <w:r>
        <w:rPr>
          <w:rFonts w:hint="eastAsia"/>
          <w:b/>
          <w:bCs/>
          <w:sz w:val="28"/>
          <w:szCs w:val="28"/>
        </w:rPr>
        <w:t>项目名称：</w:t>
      </w:r>
      <w:r>
        <w:rPr>
          <w:rFonts w:hint="eastAsia"/>
          <w:b/>
          <w:sz w:val="28"/>
          <w:szCs w:val="28"/>
          <w:u w:val="single"/>
        </w:rPr>
        <w:t xml:space="preserve">                       </w:t>
      </w:r>
      <w:r>
        <w:rPr>
          <w:b/>
          <w:sz w:val="28"/>
          <w:szCs w:val="28"/>
          <w:u w:val="single"/>
        </w:rPr>
        <w:t xml:space="preserve">        </w:t>
      </w:r>
      <w:r>
        <w:rPr>
          <w:rFonts w:hint="eastAsia"/>
          <w:b/>
          <w:sz w:val="28"/>
          <w:szCs w:val="28"/>
          <w:u w:val="single"/>
        </w:rPr>
        <w:t xml:space="preserve">  </w:t>
      </w:r>
    </w:p>
    <w:p>
      <w:pPr>
        <w:wordWrap w:val="0"/>
        <w:spacing w:line="360" w:lineRule="auto"/>
        <w:ind w:firstLine="1687" w:firstLineChars="600"/>
        <w:rPr>
          <w:b/>
          <w:sz w:val="36"/>
          <w:szCs w:val="36"/>
        </w:rPr>
      </w:pPr>
      <w:r>
        <w:rPr>
          <w:rFonts w:hint="eastAsia"/>
          <w:b/>
          <w:bCs/>
          <w:sz w:val="28"/>
          <w:szCs w:val="28"/>
        </w:rPr>
        <w:t>招标内容：</w:t>
      </w:r>
      <w:r>
        <w:rPr>
          <w:rFonts w:hint="eastAsia"/>
          <w:b/>
          <w:sz w:val="28"/>
          <w:szCs w:val="28"/>
          <w:u w:val="single"/>
        </w:rPr>
        <w:t xml:space="preserve">                     </w:t>
      </w:r>
      <w:r>
        <w:rPr>
          <w:b/>
          <w:sz w:val="28"/>
          <w:szCs w:val="28"/>
          <w:u w:val="single"/>
        </w:rPr>
        <w:t xml:space="preserve">      </w:t>
      </w:r>
      <w:r>
        <w:rPr>
          <w:rFonts w:hint="eastAsia"/>
          <w:b/>
          <w:sz w:val="28"/>
          <w:szCs w:val="28"/>
          <w:u w:val="single"/>
        </w:rPr>
        <w:t xml:space="preserve"> </w:t>
      </w:r>
      <w:r>
        <w:rPr>
          <w:b/>
          <w:sz w:val="28"/>
          <w:szCs w:val="28"/>
          <w:u w:val="single"/>
        </w:rPr>
        <w:t xml:space="preserve"> </w:t>
      </w:r>
      <w:r>
        <w:rPr>
          <w:rFonts w:hint="eastAsia"/>
          <w:b/>
          <w:sz w:val="28"/>
          <w:szCs w:val="28"/>
          <w:u w:val="single"/>
        </w:rPr>
        <w:t xml:space="preserve">   </w:t>
      </w:r>
      <w:r>
        <w:rPr>
          <w:rFonts w:hint="eastAsia"/>
          <w:b/>
          <w:sz w:val="36"/>
          <w:szCs w:val="36"/>
          <w:u w:val="single"/>
        </w:rPr>
        <w:t xml:space="preserve"> </w:t>
      </w:r>
    </w:p>
    <w:p>
      <w:pPr>
        <w:wordWrap w:val="0"/>
        <w:spacing w:line="360" w:lineRule="auto"/>
        <w:ind w:left="2018" w:leftChars="841" w:right="1471" w:rightChars="613" w:firstLine="1606" w:firstLineChars="500"/>
        <w:rPr>
          <w:b/>
          <w:bCs/>
          <w:sz w:val="32"/>
          <w:szCs w:val="32"/>
        </w:rPr>
      </w:pPr>
    </w:p>
    <w:p>
      <w:pPr>
        <w:wordWrap w:val="0"/>
        <w:spacing w:line="360" w:lineRule="auto"/>
        <w:ind w:left="2018" w:leftChars="841" w:right="1471" w:rightChars="613" w:firstLine="1606" w:firstLineChars="500"/>
        <w:rPr>
          <w:b/>
          <w:bCs/>
          <w:sz w:val="32"/>
          <w:szCs w:val="32"/>
        </w:rPr>
      </w:pPr>
    </w:p>
    <w:p>
      <w:pPr>
        <w:wordWrap w:val="0"/>
        <w:spacing w:line="360" w:lineRule="auto"/>
        <w:ind w:left="2018" w:leftChars="841" w:right="1471" w:rightChars="613" w:firstLine="1606" w:firstLineChars="500"/>
        <w:rPr>
          <w:b/>
          <w:bCs/>
          <w:sz w:val="32"/>
          <w:szCs w:val="32"/>
        </w:rPr>
      </w:pPr>
    </w:p>
    <w:p>
      <w:pPr>
        <w:wordWrap w:val="0"/>
        <w:spacing w:line="360" w:lineRule="auto"/>
        <w:ind w:left="2018" w:leftChars="841" w:right="1471" w:rightChars="613" w:firstLine="1606" w:firstLineChars="500"/>
        <w:rPr>
          <w:b/>
          <w:bCs/>
          <w:sz w:val="32"/>
          <w:szCs w:val="32"/>
        </w:rPr>
      </w:pPr>
    </w:p>
    <w:p>
      <w:pPr>
        <w:wordWrap w:val="0"/>
        <w:spacing w:line="360" w:lineRule="auto"/>
        <w:ind w:left="2018" w:leftChars="841" w:right="1471" w:rightChars="613" w:firstLine="1606" w:firstLineChars="500"/>
        <w:rPr>
          <w:b/>
          <w:bCs/>
          <w:sz w:val="32"/>
          <w:szCs w:val="32"/>
        </w:rPr>
      </w:pPr>
    </w:p>
    <w:p>
      <w:pPr>
        <w:wordWrap w:val="0"/>
        <w:spacing w:line="360" w:lineRule="auto"/>
        <w:ind w:firstLine="1687" w:firstLineChars="600"/>
        <w:rPr>
          <w:b/>
          <w:bCs/>
          <w:sz w:val="28"/>
          <w:szCs w:val="28"/>
        </w:rPr>
      </w:pPr>
      <w:r>
        <w:rPr>
          <w:rFonts w:hint="eastAsia"/>
          <w:b/>
          <w:bCs/>
          <w:sz w:val="28"/>
          <w:szCs w:val="28"/>
        </w:rPr>
        <w:t>投标人（公章）：</w:t>
      </w:r>
      <w:r>
        <w:rPr>
          <w:rFonts w:hint="eastAsia"/>
          <w:b/>
          <w:bCs/>
          <w:sz w:val="28"/>
          <w:szCs w:val="28"/>
          <w:u w:val="single"/>
        </w:rPr>
        <w:t xml:space="preserve">          </w:t>
      </w:r>
      <w:r>
        <w:rPr>
          <w:b/>
          <w:bCs/>
          <w:sz w:val="28"/>
          <w:szCs w:val="28"/>
          <w:u w:val="single"/>
        </w:rPr>
        <w:t xml:space="preserve">      </w:t>
      </w:r>
      <w:r>
        <w:rPr>
          <w:rFonts w:hint="eastAsia"/>
          <w:b/>
          <w:bCs/>
          <w:sz w:val="28"/>
          <w:szCs w:val="28"/>
          <w:u w:val="single"/>
        </w:rPr>
        <w:t xml:space="preserve">     </w:t>
      </w:r>
      <w:r>
        <w:rPr>
          <w:b/>
          <w:bCs/>
          <w:sz w:val="28"/>
          <w:szCs w:val="28"/>
          <w:u w:val="single"/>
        </w:rPr>
        <w:t xml:space="preserve"> </w:t>
      </w:r>
      <w:r>
        <w:rPr>
          <w:rFonts w:hint="eastAsia"/>
          <w:b/>
          <w:bCs/>
          <w:sz w:val="28"/>
          <w:szCs w:val="28"/>
          <w:u w:val="single"/>
        </w:rPr>
        <w:t xml:space="preserve">      </w:t>
      </w:r>
    </w:p>
    <w:p>
      <w:pPr>
        <w:wordWrap w:val="0"/>
        <w:spacing w:before="312" w:beforeLines="100" w:after="312" w:afterLines="100" w:line="360" w:lineRule="auto"/>
        <w:ind w:left="2116" w:leftChars="466" w:right="466" w:hanging="998" w:hangingChars="355"/>
        <w:jc w:val="center"/>
        <w:rPr>
          <w:b/>
          <w:sz w:val="28"/>
          <w:szCs w:val="28"/>
        </w:rPr>
      </w:pPr>
      <w:r>
        <w:rPr>
          <w:rFonts w:hint="eastAsia"/>
          <w:b/>
          <w:bCs/>
          <w:sz w:val="28"/>
          <w:szCs w:val="28"/>
        </w:rPr>
        <w:t xml:space="preserve">二〇   </w:t>
      </w:r>
      <w:r>
        <w:rPr>
          <w:rFonts w:hint="eastAsia"/>
          <w:b/>
          <w:sz w:val="28"/>
          <w:szCs w:val="28"/>
        </w:rPr>
        <w:t>年  月</w:t>
      </w:r>
    </w:p>
    <w:p>
      <w:pPr>
        <w:pStyle w:val="11"/>
        <w:jc w:val="center"/>
        <w:outlineLvl w:val="1"/>
        <w:rPr>
          <w:b/>
          <w:bCs/>
          <w:sz w:val="36"/>
          <w:szCs w:val="36"/>
          <w:lang w:val="zh-CN"/>
        </w:rPr>
      </w:pPr>
      <w:r>
        <w:br w:type="page"/>
      </w:r>
      <w:bookmarkStart w:id="613" w:name="_Toc18348"/>
      <w:bookmarkStart w:id="614" w:name="_Toc16879"/>
      <w:bookmarkStart w:id="615" w:name="_Toc117244489"/>
      <w:bookmarkStart w:id="616" w:name="_Toc117244374"/>
      <w:r>
        <w:rPr>
          <w:rFonts w:hint="eastAsia"/>
          <w:b/>
          <w:bCs/>
          <w:sz w:val="36"/>
          <w:szCs w:val="36"/>
          <w:lang w:val="zh-CN"/>
        </w:rPr>
        <w:t>目   录</w:t>
      </w:r>
      <w:bookmarkEnd w:id="613"/>
      <w:bookmarkEnd w:id="614"/>
      <w:bookmarkEnd w:id="615"/>
      <w:bookmarkEnd w:id="616"/>
    </w:p>
    <w:p>
      <w:pPr>
        <w:wordWrap w:val="0"/>
        <w:spacing w:line="360" w:lineRule="auto"/>
        <w:ind w:firstLine="480" w:firstLineChars="200"/>
        <w:jc w:val="left"/>
        <w:rPr>
          <w:rFonts w:ascii="楷体" w:hAnsi="楷体" w:eastAsia="楷体"/>
          <w:bCs/>
          <w:szCs w:val="24"/>
          <w:lang w:val="zh-CN"/>
        </w:rPr>
      </w:pPr>
      <w:bookmarkStart w:id="617" w:name="_Toc102056259"/>
      <w:bookmarkStart w:id="618" w:name="_Toc494702268"/>
      <w:bookmarkStart w:id="619" w:name="_Toc494665551"/>
      <w:bookmarkStart w:id="620" w:name="_Toc102116193"/>
      <w:bookmarkStart w:id="621" w:name="_Toc511894525"/>
      <w:bookmarkStart w:id="622" w:name="_Toc494721098"/>
      <w:bookmarkStart w:id="623" w:name="_Toc494665948"/>
      <w:bookmarkStart w:id="624" w:name="_Toc102114961"/>
      <w:bookmarkStart w:id="625" w:name="_Toc102057759"/>
      <w:bookmarkStart w:id="626" w:name="_Toc494745315"/>
      <w:bookmarkStart w:id="627" w:name="_Toc102119894"/>
      <w:bookmarkStart w:id="628" w:name="_Toc494664998"/>
      <w:bookmarkStart w:id="629" w:name="_Toc102116063"/>
      <w:r>
        <w:rPr>
          <w:rFonts w:hint="eastAsia" w:ascii="楷体" w:hAnsi="楷体" w:eastAsia="楷体"/>
          <w:bCs/>
          <w:szCs w:val="24"/>
          <w:lang w:val="zh-CN"/>
        </w:rPr>
        <w:t>（应当包括但不限于第一部分</w:t>
      </w:r>
      <w:r>
        <w:rPr>
          <w:rFonts w:ascii="楷体" w:hAnsi="楷体" w:eastAsia="楷体"/>
          <w:bCs/>
          <w:szCs w:val="24"/>
          <w:lang w:val="zh-CN"/>
        </w:rPr>
        <w:t>资格证明文件</w:t>
      </w:r>
      <w:r>
        <w:rPr>
          <w:rFonts w:hint="eastAsia" w:ascii="楷体" w:hAnsi="楷体" w:eastAsia="楷体"/>
          <w:bCs/>
          <w:szCs w:val="24"/>
          <w:lang w:val="zh-CN"/>
        </w:rPr>
        <w:t>、</w:t>
      </w:r>
      <w:r>
        <w:rPr>
          <w:rFonts w:ascii="楷体" w:hAnsi="楷体" w:eastAsia="楷体"/>
          <w:bCs/>
          <w:szCs w:val="24"/>
          <w:lang w:val="zh-CN"/>
        </w:rPr>
        <w:t>第二部分商务技术文件的内容，编制的详细目录应能链接到</w:t>
      </w:r>
      <w:r>
        <w:rPr>
          <w:rFonts w:hint="eastAsia" w:ascii="楷体" w:hAnsi="楷体" w:eastAsia="楷体"/>
          <w:bCs/>
          <w:szCs w:val="24"/>
          <w:lang w:val="zh-CN"/>
        </w:rPr>
        <w:t>投标</w:t>
      </w:r>
      <w:r>
        <w:rPr>
          <w:rFonts w:ascii="楷体" w:hAnsi="楷体" w:eastAsia="楷体"/>
          <w:bCs/>
          <w:szCs w:val="24"/>
          <w:lang w:val="zh-CN"/>
        </w:rPr>
        <w:t>文件对应章节内容，且具有文档结构图。设置方法：在Word中设置相应章节的段落大纲级别；查看方法：打开Word视图中的“导航窗格”后能看到各章节。</w:t>
      </w:r>
      <w:r>
        <w:rPr>
          <w:rFonts w:hint="eastAsia" w:ascii="楷体" w:hAnsi="楷体" w:eastAsia="楷体"/>
          <w:b/>
          <w:szCs w:val="24"/>
          <w:lang w:val="zh-CN"/>
        </w:rPr>
        <w:t>特别说明：若项目未分包，包号填写“</w:t>
      </w:r>
      <w:r>
        <w:rPr>
          <w:rFonts w:hint="eastAsia" w:ascii="楷体" w:hAnsi="楷体" w:eastAsia="楷体"/>
          <w:b/>
          <w:szCs w:val="24"/>
        </w:rPr>
        <w:t>0包</w:t>
      </w:r>
      <w:r>
        <w:rPr>
          <w:rFonts w:hint="eastAsia" w:ascii="楷体" w:hAnsi="楷体" w:eastAsia="楷体"/>
          <w:b/>
          <w:szCs w:val="24"/>
          <w:lang w:val="zh-CN"/>
        </w:rPr>
        <w:t>”即可，若有分包，则填写所投包段的包号。</w:t>
      </w:r>
      <w:r>
        <w:rPr>
          <w:rFonts w:hint="eastAsia" w:ascii="楷体" w:hAnsi="楷体" w:eastAsia="楷体"/>
          <w:bCs/>
          <w:szCs w:val="24"/>
          <w:lang w:val="zh-CN"/>
        </w:rPr>
        <w:t>）</w:t>
      </w:r>
    </w:p>
    <w:p>
      <w:pPr>
        <w:pStyle w:val="11"/>
        <w:rPr>
          <w:szCs w:val="24"/>
          <w:lang w:val="zh-CN"/>
        </w:rPr>
      </w:pPr>
    </w:p>
    <w:p>
      <w:pPr>
        <w:spacing w:line="360" w:lineRule="auto"/>
        <w:ind w:firstLine="241" w:firstLineChars="100"/>
        <w:rPr>
          <w:b/>
          <w:lang w:val="zh-CN"/>
        </w:rPr>
      </w:pPr>
      <w:r>
        <w:rPr>
          <w:rFonts w:hint="eastAsia"/>
          <w:b/>
          <w:lang w:val="zh-CN"/>
        </w:rPr>
        <w:t>第</w:t>
      </w:r>
      <w:r>
        <w:rPr>
          <w:b/>
          <w:lang w:val="zh-CN"/>
        </w:rPr>
        <w:t>一部分</w:t>
      </w:r>
      <w:r>
        <w:rPr>
          <w:rFonts w:hint="eastAsia"/>
          <w:b/>
          <w:lang w:val="zh-CN"/>
        </w:rPr>
        <w:t xml:space="preserve"> </w:t>
      </w:r>
      <w:r>
        <w:rPr>
          <w:b/>
          <w:lang w:val="zh-CN"/>
        </w:rPr>
        <w:t>资格证明文件</w:t>
      </w:r>
      <w:r>
        <w:rPr>
          <w:rFonts w:hint="eastAsia"/>
          <w:b/>
          <w:lang w:val="zh-CN"/>
        </w:rPr>
        <w:t>……………………………………………………………………页码</w:t>
      </w:r>
    </w:p>
    <w:p>
      <w:pPr>
        <w:numPr>
          <w:ilvl w:val="0"/>
          <w:numId w:val="67"/>
        </w:numPr>
        <w:wordWrap w:val="0"/>
        <w:spacing w:line="360" w:lineRule="auto"/>
        <w:rPr>
          <w:szCs w:val="24"/>
          <w:lang w:val="zh-CN"/>
        </w:rPr>
      </w:pPr>
      <w:r>
        <w:rPr>
          <w:rFonts w:hint="eastAsia"/>
          <w:szCs w:val="24"/>
          <w:lang w:val="zh-CN"/>
        </w:rPr>
        <w:t>资格审查对照表</w:t>
      </w:r>
      <w:r>
        <w:rPr>
          <w:szCs w:val="24"/>
          <w:lang w:val="zh-CN"/>
        </w:rPr>
        <w:t>………………………………………………………………………</w:t>
      </w:r>
      <w:r>
        <w:rPr>
          <w:rFonts w:hint="eastAsia"/>
          <w:szCs w:val="24"/>
          <w:lang w:val="zh-CN"/>
        </w:rPr>
        <w:t>页码</w:t>
      </w:r>
    </w:p>
    <w:p>
      <w:pPr>
        <w:numPr>
          <w:ilvl w:val="0"/>
          <w:numId w:val="67"/>
        </w:numPr>
        <w:wordWrap w:val="0"/>
        <w:spacing w:line="360" w:lineRule="auto"/>
        <w:rPr>
          <w:szCs w:val="24"/>
          <w:lang w:val="zh-CN"/>
        </w:rPr>
      </w:pPr>
      <w:r>
        <w:rPr>
          <w:rFonts w:hint="eastAsia"/>
          <w:szCs w:val="24"/>
          <w:lang w:val="zh-CN"/>
        </w:rPr>
        <w:t>具备《政府采购法》第二十二条第一款规定的条件</w:t>
      </w:r>
      <w:r>
        <w:rPr>
          <w:rFonts w:hint="eastAsia"/>
          <w:szCs w:val="24"/>
        </w:rPr>
        <w:t>提供的材料</w:t>
      </w:r>
      <w:r>
        <w:rPr>
          <w:szCs w:val="24"/>
        </w:rPr>
        <w:t>…………………</w:t>
      </w:r>
      <w:r>
        <w:rPr>
          <w:rFonts w:hint="eastAsia"/>
          <w:szCs w:val="24"/>
        </w:rPr>
        <w:t>页码</w:t>
      </w:r>
    </w:p>
    <w:p>
      <w:pPr>
        <w:numPr>
          <w:ilvl w:val="0"/>
          <w:numId w:val="68"/>
        </w:numPr>
        <w:wordWrap w:val="0"/>
        <w:spacing w:line="360" w:lineRule="auto"/>
        <w:ind w:left="1134" w:hanging="532"/>
        <w:rPr>
          <w:lang w:val="zh-CN"/>
        </w:rPr>
      </w:pPr>
      <w:r>
        <w:rPr>
          <w:rFonts w:hint="eastAsia"/>
          <w:szCs w:val="24"/>
        </w:rPr>
        <w:t>法人</w:t>
      </w:r>
      <w:r>
        <w:rPr>
          <w:rFonts w:hint="eastAsia"/>
          <w:szCs w:val="24"/>
          <w:lang w:val="zh-CN"/>
        </w:rPr>
        <w:t>、其他组织的营业执照或执业许可证等证明文件，自然人的身份证明</w:t>
      </w:r>
      <w:r>
        <w:rPr>
          <w:szCs w:val="24"/>
          <w:lang w:val="zh-CN"/>
        </w:rPr>
        <w:t>…</w:t>
      </w:r>
      <w:r>
        <w:rPr>
          <w:szCs w:val="24"/>
        </w:rPr>
        <w:t>…</w:t>
      </w:r>
      <w:r>
        <w:rPr>
          <w:rFonts w:hint="eastAsia"/>
          <w:szCs w:val="24"/>
          <w:lang w:val="zh-CN"/>
        </w:rPr>
        <w:t>页码</w:t>
      </w:r>
    </w:p>
    <w:p>
      <w:pPr>
        <w:numPr>
          <w:ilvl w:val="0"/>
          <w:numId w:val="68"/>
        </w:numPr>
        <w:wordWrap w:val="0"/>
        <w:spacing w:line="360" w:lineRule="auto"/>
        <w:ind w:left="1134" w:hanging="532"/>
        <w:rPr>
          <w:szCs w:val="24"/>
        </w:rPr>
      </w:pPr>
      <w:r>
        <w:rPr>
          <w:rFonts w:hint="eastAsia"/>
          <w:szCs w:val="24"/>
        </w:rPr>
        <w:t>具备参与政府采购资格条件的声明</w:t>
      </w:r>
      <w:r>
        <w:rPr>
          <w:szCs w:val="24"/>
        </w:rPr>
        <w:t>…………………………………………………</w:t>
      </w:r>
      <w:r>
        <w:rPr>
          <w:rFonts w:hint="eastAsia"/>
          <w:szCs w:val="24"/>
        </w:rPr>
        <w:t>页码</w:t>
      </w:r>
    </w:p>
    <w:p>
      <w:pPr>
        <w:numPr>
          <w:ilvl w:val="0"/>
          <w:numId w:val="68"/>
        </w:numPr>
        <w:wordWrap w:val="0"/>
        <w:spacing w:line="360" w:lineRule="auto"/>
        <w:ind w:left="1134" w:hanging="532"/>
        <w:rPr>
          <w:lang w:val="zh-CN"/>
        </w:rPr>
      </w:pPr>
      <w:r>
        <w:rPr>
          <w:rFonts w:hint="eastAsia"/>
          <w:szCs w:val="24"/>
        </w:rPr>
        <w:t>国家</w:t>
      </w:r>
      <w:r>
        <w:rPr>
          <w:rFonts w:hint="eastAsia"/>
        </w:rPr>
        <w:t>对</w:t>
      </w:r>
      <w:r>
        <w:rPr>
          <w:rFonts w:hint="eastAsia"/>
          <w:lang w:val="zh-CN"/>
        </w:rPr>
        <w:t>生产</w:t>
      </w:r>
      <w:r>
        <w:rPr>
          <w:rFonts w:hint="eastAsia"/>
        </w:rPr>
        <w:t>和销售相关产品或提供相关服务有专门法律、行政法规规定的，则</w:t>
      </w:r>
      <w:r>
        <w:rPr>
          <w:rFonts w:hint="eastAsia"/>
          <w:szCs w:val="24"/>
        </w:rPr>
        <w:t>应</w:t>
      </w:r>
      <w:r>
        <w:rPr>
          <w:rFonts w:hint="eastAsia"/>
        </w:rPr>
        <w:t>提供取得国家有关主管部门行政许可的证明材料。</w:t>
      </w:r>
      <w:r>
        <w:t>…………………………</w:t>
      </w:r>
      <w:r>
        <w:rPr>
          <w:szCs w:val="24"/>
        </w:rPr>
        <w:t>…</w:t>
      </w:r>
      <w:r>
        <w:t>…</w:t>
      </w:r>
      <w:r>
        <w:rPr>
          <w:rFonts w:hint="eastAsia"/>
        </w:rPr>
        <w:t>页码</w:t>
      </w:r>
    </w:p>
    <w:p>
      <w:pPr>
        <w:numPr>
          <w:ilvl w:val="0"/>
          <w:numId w:val="67"/>
        </w:numPr>
        <w:wordWrap w:val="0"/>
        <w:spacing w:line="360" w:lineRule="auto"/>
        <w:rPr>
          <w:szCs w:val="24"/>
          <w:lang w:val="zh-CN"/>
        </w:rPr>
      </w:pPr>
      <w:r>
        <w:rPr>
          <w:rFonts w:hint="eastAsia"/>
          <w:szCs w:val="24"/>
          <w:lang w:val="zh-CN"/>
        </w:rPr>
        <w:t>未与有关系的其它投标人参加同一合同采购活动的声明函</w:t>
      </w:r>
      <w:r>
        <w:rPr>
          <w:szCs w:val="24"/>
          <w:lang w:val="zh-CN"/>
        </w:rPr>
        <w:t>………………………</w:t>
      </w:r>
      <w:r>
        <w:rPr>
          <w:rFonts w:hint="eastAsia"/>
          <w:szCs w:val="24"/>
          <w:lang w:val="zh-CN"/>
        </w:rPr>
        <w:t>页码</w:t>
      </w:r>
    </w:p>
    <w:p>
      <w:pPr>
        <w:wordWrap w:val="0"/>
        <w:spacing w:line="360" w:lineRule="auto"/>
        <w:ind w:left="426"/>
        <w:rPr>
          <w:szCs w:val="24"/>
          <w:lang w:val="zh-CN"/>
        </w:rPr>
      </w:pPr>
      <w:r>
        <w:rPr>
          <w:rFonts w:hint="eastAsia"/>
          <w:szCs w:val="24"/>
          <w:lang w:val="zh-CN"/>
        </w:rPr>
        <w:t>四、未为本项目提供相关服务的声明函</w:t>
      </w:r>
      <w:r>
        <w:t>…………………………………………………</w:t>
      </w:r>
      <w:r>
        <w:rPr>
          <w:rFonts w:hint="eastAsia"/>
        </w:rPr>
        <w:t>页码</w:t>
      </w:r>
    </w:p>
    <w:p>
      <w:pPr>
        <w:wordWrap w:val="0"/>
        <w:spacing w:line="360" w:lineRule="auto"/>
        <w:ind w:left="426"/>
        <w:rPr>
          <w:szCs w:val="24"/>
          <w:lang w:val="zh-CN"/>
        </w:rPr>
      </w:pPr>
      <w:r>
        <w:rPr>
          <w:rFonts w:hint="eastAsia"/>
          <w:szCs w:val="24"/>
          <w:lang w:val="zh-CN"/>
        </w:rPr>
        <w:t>五、未被列入违法失信行为记录名单的声明函</w:t>
      </w:r>
      <w:r>
        <w:t>…………………………………………</w:t>
      </w:r>
      <w:r>
        <w:rPr>
          <w:rFonts w:hint="eastAsia"/>
        </w:rPr>
        <w:t>页码</w:t>
      </w:r>
    </w:p>
    <w:p>
      <w:pPr>
        <w:wordWrap w:val="0"/>
        <w:spacing w:line="360" w:lineRule="auto"/>
        <w:ind w:left="426"/>
        <w:rPr>
          <w:szCs w:val="24"/>
          <w:lang w:val="zh-CN"/>
        </w:rPr>
      </w:pPr>
      <w:r>
        <w:rPr>
          <w:rFonts w:hint="eastAsia"/>
          <w:szCs w:val="24"/>
          <w:lang w:val="zh-CN"/>
        </w:rPr>
        <w:t>……</w:t>
      </w:r>
    </w:p>
    <w:p>
      <w:pPr>
        <w:wordWrap w:val="0"/>
        <w:spacing w:line="360" w:lineRule="auto"/>
        <w:ind w:left="426"/>
        <w:rPr>
          <w:szCs w:val="24"/>
          <w:lang w:val="zh-CN"/>
        </w:rPr>
      </w:pPr>
      <w:r>
        <w:rPr>
          <w:rFonts w:hint="eastAsia"/>
          <w:szCs w:val="24"/>
          <w:lang w:val="zh-CN"/>
        </w:rPr>
        <w:t>……</w:t>
      </w:r>
    </w:p>
    <w:p>
      <w:pPr>
        <w:spacing w:line="360" w:lineRule="auto"/>
        <w:ind w:firstLine="241" w:firstLineChars="100"/>
        <w:rPr>
          <w:lang w:val="zh-CN"/>
        </w:rPr>
      </w:pPr>
      <w:r>
        <w:rPr>
          <w:rFonts w:hint="eastAsia"/>
          <w:b/>
          <w:lang w:val="zh-CN"/>
        </w:rPr>
        <w:t>第二</w:t>
      </w:r>
      <w:r>
        <w:rPr>
          <w:b/>
          <w:lang w:val="zh-CN"/>
        </w:rPr>
        <w:t>部分</w:t>
      </w:r>
      <w:r>
        <w:rPr>
          <w:rFonts w:hint="eastAsia"/>
          <w:b/>
          <w:lang w:val="zh-CN"/>
        </w:rPr>
        <w:t xml:space="preserve"> 商务技术</w:t>
      </w:r>
      <w:r>
        <w:rPr>
          <w:b/>
          <w:lang w:val="zh-CN"/>
        </w:rPr>
        <w:t>文件</w:t>
      </w:r>
      <w:r>
        <w:rPr>
          <w:rFonts w:hint="eastAsia"/>
          <w:b/>
          <w:lang w:val="zh-CN"/>
        </w:rPr>
        <w:t>……………………………………………………………………页码</w:t>
      </w:r>
    </w:p>
    <w:p>
      <w:pPr>
        <w:numPr>
          <w:ilvl w:val="0"/>
          <w:numId w:val="69"/>
        </w:numPr>
        <w:tabs>
          <w:tab w:val="left" w:pos="966"/>
        </w:tabs>
        <w:wordWrap w:val="0"/>
        <w:autoSpaceDE w:val="0"/>
        <w:autoSpaceDN w:val="0"/>
        <w:adjustRightInd w:val="0"/>
        <w:spacing w:line="360" w:lineRule="auto"/>
        <w:ind w:left="1060" w:hanging="625"/>
        <w:rPr>
          <w:szCs w:val="32"/>
        </w:rPr>
      </w:pPr>
      <w:bookmarkStart w:id="630" w:name="_Toc107561297"/>
      <w:r>
        <w:rPr>
          <w:rFonts w:hint="eastAsia"/>
          <w:szCs w:val="32"/>
        </w:rPr>
        <w:t>符合性审查对照表</w:t>
      </w:r>
      <w:r>
        <w:rPr>
          <w:szCs w:val="32"/>
        </w:rPr>
        <w:t>……………………………………………………………………</w:t>
      </w:r>
      <w:r>
        <w:rPr>
          <w:rFonts w:hint="eastAsia"/>
          <w:szCs w:val="32"/>
        </w:rPr>
        <w:t>页码</w:t>
      </w:r>
    </w:p>
    <w:p>
      <w:pPr>
        <w:numPr>
          <w:ilvl w:val="0"/>
          <w:numId w:val="69"/>
        </w:numPr>
        <w:tabs>
          <w:tab w:val="left" w:pos="966"/>
        </w:tabs>
        <w:wordWrap w:val="0"/>
        <w:autoSpaceDE w:val="0"/>
        <w:autoSpaceDN w:val="0"/>
        <w:adjustRightInd w:val="0"/>
        <w:spacing w:line="360" w:lineRule="auto"/>
        <w:ind w:left="1060" w:hanging="625"/>
        <w:rPr>
          <w:szCs w:val="32"/>
        </w:rPr>
      </w:pPr>
      <w:r>
        <w:rPr>
          <w:rFonts w:hint="eastAsia"/>
          <w:szCs w:val="32"/>
        </w:rPr>
        <w:t>商务要求响应偏离说明表</w:t>
      </w:r>
      <w:r>
        <w:rPr>
          <w:szCs w:val="32"/>
        </w:rPr>
        <w:t>……………………………………………………………</w:t>
      </w:r>
      <w:r>
        <w:rPr>
          <w:rFonts w:hint="eastAsia"/>
          <w:szCs w:val="32"/>
        </w:rPr>
        <w:t>页码</w:t>
      </w:r>
    </w:p>
    <w:p>
      <w:pPr>
        <w:widowControl/>
        <w:numPr>
          <w:ilvl w:val="0"/>
          <w:numId w:val="69"/>
        </w:numPr>
        <w:tabs>
          <w:tab w:val="left" w:pos="966"/>
        </w:tabs>
        <w:wordWrap w:val="0"/>
        <w:autoSpaceDE w:val="0"/>
        <w:autoSpaceDN w:val="0"/>
        <w:adjustRightInd w:val="0"/>
        <w:spacing w:line="360" w:lineRule="auto"/>
        <w:ind w:left="1060" w:hanging="625"/>
        <w:jc w:val="left"/>
        <w:rPr>
          <w:szCs w:val="32"/>
        </w:rPr>
      </w:pPr>
      <w:r>
        <w:rPr>
          <w:rFonts w:hint="eastAsia"/>
          <w:szCs w:val="32"/>
        </w:rPr>
        <w:t>技术要求响应偏离说明表</w:t>
      </w:r>
      <w:r>
        <w:rPr>
          <w:szCs w:val="32"/>
        </w:rPr>
        <w:t>……………………………………………………………</w:t>
      </w:r>
      <w:r>
        <w:rPr>
          <w:rFonts w:hint="eastAsia"/>
          <w:szCs w:val="32"/>
        </w:rPr>
        <w:t>页码</w:t>
      </w:r>
    </w:p>
    <w:p>
      <w:pPr>
        <w:widowControl/>
        <w:numPr>
          <w:ilvl w:val="0"/>
          <w:numId w:val="69"/>
        </w:numPr>
        <w:tabs>
          <w:tab w:val="left" w:pos="966"/>
        </w:tabs>
        <w:wordWrap w:val="0"/>
        <w:autoSpaceDE w:val="0"/>
        <w:autoSpaceDN w:val="0"/>
        <w:adjustRightInd w:val="0"/>
        <w:spacing w:line="360" w:lineRule="auto"/>
        <w:ind w:left="1060" w:hanging="625"/>
        <w:jc w:val="left"/>
        <w:rPr>
          <w:szCs w:val="24"/>
          <w:lang w:val="zh-CN"/>
        </w:rPr>
      </w:pPr>
      <w:r>
        <w:rPr>
          <w:szCs w:val="32"/>
        </w:rPr>
        <w:t>商务</w:t>
      </w:r>
      <w:r>
        <w:rPr>
          <w:rFonts w:hint="eastAsia"/>
          <w:szCs w:val="32"/>
        </w:rPr>
        <w:t>评分</w:t>
      </w:r>
      <w:r>
        <w:rPr>
          <w:szCs w:val="32"/>
        </w:rPr>
        <w:t>对照表………………………………………………………………………</w:t>
      </w:r>
      <w:r>
        <w:rPr>
          <w:rFonts w:hint="eastAsia"/>
          <w:szCs w:val="32"/>
        </w:rPr>
        <w:t>页码</w:t>
      </w:r>
    </w:p>
    <w:p>
      <w:pPr>
        <w:widowControl/>
        <w:numPr>
          <w:ilvl w:val="0"/>
          <w:numId w:val="69"/>
        </w:numPr>
        <w:tabs>
          <w:tab w:val="left" w:pos="966"/>
        </w:tabs>
        <w:wordWrap w:val="0"/>
        <w:autoSpaceDE w:val="0"/>
        <w:autoSpaceDN w:val="0"/>
        <w:adjustRightInd w:val="0"/>
        <w:spacing w:line="360" w:lineRule="auto"/>
        <w:ind w:left="1060" w:hanging="625"/>
        <w:jc w:val="left"/>
        <w:rPr>
          <w:szCs w:val="24"/>
          <w:lang w:val="zh-CN"/>
        </w:rPr>
      </w:pPr>
      <w:r>
        <w:rPr>
          <w:rFonts w:hint="eastAsia"/>
          <w:szCs w:val="24"/>
          <w:lang w:val="zh-CN"/>
        </w:rPr>
        <w:t>技术</w:t>
      </w:r>
      <w:r>
        <w:rPr>
          <w:szCs w:val="24"/>
          <w:lang w:val="zh-CN"/>
        </w:rPr>
        <w:t>评分对照表………………………………………………………………………</w:t>
      </w:r>
      <w:r>
        <w:rPr>
          <w:rFonts w:hint="eastAsia"/>
          <w:szCs w:val="24"/>
          <w:lang w:val="zh-CN"/>
        </w:rPr>
        <w:t>页码</w:t>
      </w:r>
    </w:p>
    <w:p>
      <w:pPr>
        <w:widowControl/>
        <w:numPr>
          <w:ilvl w:val="0"/>
          <w:numId w:val="69"/>
        </w:numPr>
        <w:tabs>
          <w:tab w:val="left" w:pos="966"/>
        </w:tabs>
        <w:wordWrap w:val="0"/>
        <w:autoSpaceDE w:val="0"/>
        <w:autoSpaceDN w:val="0"/>
        <w:adjustRightInd w:val="0"/>
        <w:spacing w:line="360" w:lineRule="auto"/>
        <w:ind w:left="1060" w:hanging="625"/>
        <w:jc w:val="left"/>
        <w:rPr>
          <w:szCs w:val="24"/>
          <w:lang w:val="zh-CN"/>
        </w:rPr>
      </w:pPr>
      <w:r>
        <w:rPr>
          <w:rFonts w:hint="eastAsia"/>
          <w:szCs w:val="24"/>
          <w:lang w:val="zh-CN"/>
        </w:rPr>
        <w:t>投标</w:t>
      </w:r>
      <w:r>
        <w:rPr>
          <w:szCs w:val="24"/>
          <w:lang w:val="zh-CN"/>
        </w:rPr>
        <w:t>书…………………………………………………………………………………</w:t>
      </w:r>
      <w:r>
        <w:rPr>
          <w:rFonts w:hint="eastAsia"/>
          <w:szCs w:val="24"/>
          <w:lang w:val="zh-CN"/>
        </w:rPr>
        <w:t>页码</w:t>
      </w:r>
    </w:p>
    <w:p>
      <w:pPr>
        <w:widowControl/>
        <w:numPr>
          <w:ilvl w:val="0"/>
          <w:numId w:val="69"/>
        </w:numPr>
        <w:tabs>
          <w:tab w:val="left" w:pos="966"/>
        </w:tabs>
        <w:wordWrap w:val="0"/>
        <w:autoSpaceDE w:val="0"/>
        <w:autoSpaceDN w:val="0"/>
        <w:adjustRightInd w:val="0"/>
        <w:spacing w:line="360" w:lineRule="auto"/>
        <w:ind w:left="1060" w:hanging="625"/>
        <w:jc w:val="left"/>
        <w:rPr>
          <w:szCs w:val="24"/>
          <w:lang w:val="zh-CN"/>
        </w:rPr>
      </w:pPr>
      <w:r>
        <w:rPr>
          <w:rFonts w:hint="eastAsia"/>
          <w:szCs w:val="24"/>
          <w:lang w:val="zh-CN"/>
        </w:rPr>
        <w:t>开标</w:t>
      </w:r>
      <w:r>
        <w:rPr>
          <w:szCs w:val="24"/>
          <w:lang w:val="zh-CN"/>
        </w:rPr>
        <w:t>一</w:t>
      </w:r>
      <w:r>
        <w:rPr>
          <w:rFonts w:hint="eastAsia"/>
          <w:szCs w:val="24"/>
          <w:lang w:val="zh-CN"/>
        </w:rPr>
        <w:t>览</w:t>
      </w:r>
      <w:r>
        <w:rPr>
          <w:szCs w:val="24"/>
          <w:lang w:val="zh-CN"/>
        </w:rPr>
        <w:t>表……………………………………………………………………………</w:t>
      </w:r>
      <w:r>
        <w:rPr>
          <w:rFonts w:hint="eastAsia"/>
          <w:szCs w:val="24"/>
          <w:lang w:val="zh-CN"/>
        </w:rPr>
        <w:t>页码</w:t>
      </w:r>
    </w:p>
    <w:p>
      <w:pPr>
        <w:widowControl/>
        <w:numPr>
          <w:ilvl w:val="0"/>
          <w:numId w:val="69"/>
        </w:numPr>
        <w:tabs>
          <w:tab w:val="left" w:pos="966"/>
        </w:tabs>
        <w:wordWrap w:val="0"/>
        <w:autoSpaceDE w:val="0"/>
        <w:autoSpaceDN w:val="0"/>
        <w:adjustRightInd w:val="0"/>
        <w:spacing w:line="360" w:lineRule="auto"/>
        <w:ind w:left="1060" w:hanging="625"/>
        <w:jc w:val="left"/>
        <w:rPr>
          <w:szCs w:val="24"/>
          <w:lang w:val="zh-CN"/>
        </w:rPr>
      </w:pPr>
      <w:r>
        <w:rPr>
          <w:rFonts w:hint="eastAsia"/>
          <w:szCs w:val="24"/>
          <w:lang w:val="zh-CN"/>
        </w:rPr>
        <w:t>法定代表人身份证明</w:t>
      </w:r>
      <w:r>
        <w:rPr>
          <w:szCs w:val="24"/>
          <w:lang w:val="zh-CN"/>
        </w:rPr>
        <w:t>…………………………………………………………………</w:t>
      </w:r>
      <w:r>
        <w:rPr>
          <w:rFonts w:hint="eastAsia"/>
          <w:szCs w:val="24"/>
          <w:lang w:val="zh-CN"/>
        </w:rPr>
        <w:t>页码</w:t>
      </w:r>
    </w:p>
    <w:p>
      <w:pPr>
        <w:widowControl/>
        <w:numPr>
          <w:ilvl w:val="0"/>
          <w:numId w:val="69"/>
        </w:numPr>
        <w:tabs>
          <w:tab w:val="left" w:pos="966"/>
        </w:tabs>
        <w:wordWrap w:val="0"/>
        <w:autoSpaceDE w:val="0"/>
        <w:autoSpaceDN w:val="0"/>
        <w:adjustRightInd w:val="0"/>
        <w:spacing w:line="360" w:lineRule="auto"/>
        <w:ind w:left="1060" w:hanging="625"/>
        <w:jc w:val="left"/>
        <w:rPr>
          <w:lang w:val="zh-CN"/>
        </w:rPr>
      </w:pPr>
      <w:r>
        <w:rPr>
          <w:rFonts w:hint="eastAsia"/>
          <w:szCs w:val="24"/>
          <w:lang w:val="zh-CN"/>
        </w:rPr>
        <w:t>法定代表人授权书</w:t>
      </w:r>
      <w:r>
        <w:rPr>
          <w:szCs w:val="24"/>
          <w:lang w:val="zh-CN"/>
        </w:rPr>
        <w:t>……………………………………………………………………</w:t>
      </w:r>
      <w:r>
        <w:rPr>
          <w:rFonts w:hint="eastAsia"/>
          <w:szCs w:val="24"/>
          <w:lang w:val="zh-CN"/>
        </w:rPr>
        <w:t>页码</w:t>
      </w:r>
    </w:p>
    <w:p>
      <w:pPr>
        <w:wordWrap w:val="0"/>
        <w:spacing w:line="360" w:lineRule="auto"/>
        <w:ind w:left="426"/>
        <w:rPr>
          <w:szCs w:val="24"/>
          <w:lang w:val="zh-CN"/>
        </w:rPr>
      </w:pPr>
      <w:r>
        <w:rPr>
          <w:szCs w:val="24"/>
          <w:lang w:val="zh-CN"/>
        </w:rPr>
        <w:t>……</w:t>
      </w:r>
    </w:p>
    <w:p>
      <w:pPr>
        <w:wordWrap w:val="0"/>
        <w:spacing w:line="360" w:lineRule="auto"/>
        <w:ind w:left="426"/>
        <w:rPr>
          <w:bCs/>
        </w:rPr>
      </w:pPr>
      <w:r>
        <w:rPr>
          <w:rFonts w:hint="eastAsia"/>
          <w:szCs w:val="24"/>
          <w:lang w:val="zh-CN"/>
        </w:rPr>
        <w:t>……</w:t>
      </w:r>
    </w:p>
    <w:p>
      <w:bookmarkStart w:id="631" w:name="_Toc107561296"/>
      <w:bookmarkStart w:id="632" w:name="_Toc117244376"/>
      <w:bookmarkStart w:id="633" w:name="_Toc117244491"/>
      <w:r>
        <w:rPr>
          <w:rFonts w:hint="eastAsia"/>
        </w:rPr>
        <w:br w:type="page"/>
      </w:r>
    </w:p>
    <w:p>
      <w:pPr>
        <w:pStyle w:val="3"/>
        <w:tabs>
          <w:tab w:val="left" w:pos="567"/>
        </w:tabs>
        <w:spacing w:before="0" w:after="0" w:line="360" w:lineRule="auto"/>
        <w:ind w:left="420"/>
        <w:jc w:val="center"/>
        <w:rPr>
          <w:rFonts w:ascii="宋体" w:hAnsi="宋体" w:eastAsia="宋体" w:cs="Times New Roman"/>
          <w:bCs w:val="0"/>
        </w:rPr>
      </w:pPr>
      <w:bookmarkStart w:id="634" w:name="_Toc19745"/>
      <w:bookmarkStart w:id="635" w:name="_Toc30943"/>
      <w:r>
        <w:rPr>
          <w:rFonts w:hint="eastAsia" w:ascii="宋体" w:hAnsi="宋体" w:eastAsia="宋体" w:cs="Times New Roman"/>
          <w:bCs w:val="0"/>
        </w:rPr>
        <w:t>第</w:t>
      </w:r>
      <w:r>
        <w:rPr>
          <w:rFonts w:ascii="宋体" w:hAnsi="宋体" w:eastAsia="宋体" w:cs="Times New Roman"/>
          <w:bCs w:val="0"/>
        </w:rPr>
        <w:t>一部分</w:t>
      </w:r>
      <w:r>
        <w:rPr>
          <w:rFonts w:hint="eastAsia" w:ascii="宋体" w:hAnsi="宋体" w:eastAsia="宋体" w:cs="Times New Roman"/>
          <w:bCs w:val="0"/>
        </w:rPr>
        <w:t xml:space="preserve"> 资格</w:t>
      </w:r>
      <w:r>
        <w:rPr>
          <w:rFonts w:ascii="宋体" w:hAnsi="宋体" w:eastAsia="宋体" w:cs="Times New Roman"/>
          <w:bCs w:val="0"/>
        </w:rPr>
        <w:t>证明文件</w:t>
      </w:r>
      <w:bookmarkEnd w:id="634"/>
      <w:bookmarkEnd w:id="635"/>
    </w:p>
    <w:p>
      <w:pPr>
        <w:pStyle w:val="3"/>
        <w:numPr>
          <w:ilvl w:val="0"/>
          <w:numId w:val="70"/>
        </w:numPr>
        <w:tabs>
          <w:tab w:val="left" w:pos="567"/>
        </w:tabs>
        <w:spacing w:before="0" w:after="0" w:line="360" w:lineRule="auto"/>
        <w:jc w:val="left"/>
        <w:rPr>
          <w:rFonts w:ascii="宋体" w:hAnsi="宋体" w:eastAsia="宋体" w:cs="Times New Roman"/>
          <w:bCs w:val="0"/>
          <w:sz w:val="24"/>
          <w:szCs w:val="24"/>
        </w:rPr>
      </w:pPr>
      <w:bookmarkStart w:id="636" w:name="_Toc4585"/>
      <w:bookmarkStart w:id="637" w:name="_Toc4166"/>
      <w:r>
        <w:rPr>
          <w:rFonts w:hint="eastAsia" w:ascii="宋体" w:hAnsi="宋体" w:eastAsia="宋体" w:cs="Times New Roman"/>
          <w:bCs w:val="0"/>
          <w:sz w:val="24"/>
          <w:szCs w:val="24"/>
        </w:rPr>
        <w:t>资格审查对照表</w:t>
      </w:r>
      <w:bookmarkEnd w:id="631"/>
      <w:bookmarkEnd w:id="632"/>
      <w:bookmarkEnd w:id="633"/>
      <w:bookmarkEnd w:id="636"/>
      <w:bookmarkEnd w:id="637"/>
    </w:p>
    <w:p>
      <w:pPr>
        <w:wordWrap w:val="0"/>
        <w:spacing w:line="360" w:lineRule="auto"/>
        <w:jc w:val="left"/>
        <w:rPr>
          <w:b/>
        </w:rPr>
      </w:pPr>
      <w:r>
        <w:rPr>
          <w:rFonts w:hint="eastAsia"/>
          <w:b/>
        </w:rPr>
        <w:t>投 标 人：</w:t>
      </w:r>
      <w:r>
        <w:rPr>
          <w:rFonts w:hint="eastAsia"/>
          <w:b/>
          <w:szCs w:val="21"/>
          <w:u w:val="single"/>
          <w:lang w:val="zh-CN"/>
        </w:rPr>
        <w:t xml:space="preserve">                     </w:t>
      </w:r>
      <w:r>
        <w:rPr>
          <w:rFonts w:hint="eastAsia"/>
          <w:b/>
          <w:szCs w:val="21"/>
          <w:lang w:val="zh-CN"/>
        </w:rPr>
        <w:t xml:space="preserve"> </w:t>
      </w:r>
    </w:p>
    <w:p>
      <w:pPr>
        <w:wordWrap w:val="0"/>
        <w:spacing w:line="360" w:lineRule="auto"/>
        <w:jc w:val="left"/>
        <w:rPr>
          <w:b/>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w:t>
      </w:r>
      <w:r>
        <w:rPr>
          <w:b/>
          <w:bCs/>
          <w:szCs w:val="21"/>
          <w:lang w:val="zh-CN"/>
        </w:rPr>
        <w:t xml:space="preserve">     </w:t>
      </w:r>
      <w:r>
        <w:rPr>
          <w:rFonts w:hint="eastAsia"/>
          <w:b/>
          <w:bCs/>
          <w:szCs w:val="21"/>
          <w:lang w:val="zh-CN"/>
        </w:rPr>
        <w:t>包号：</w:t>
      </w:r>
      <w:r>
        <w:rPr>
          <w:rFonts w:hint="eastAsia"/>
          <w:b/>
          <w:bCs/>
          <w:szCs w:val="21"/>
          <w:u w:val="single"/>
          <w:lang w:val="zh-CN"/>
        </w:rPr>
        <w:t xml:space="preserve">           </w:t>
      </w:r>
    </w:p>
    <w:tbl>
      <w:tblPr>
        <w:tblStyle w:val="29"/>
        <w:tblW w:w="4773"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07"/>
        <w:gridCol w:w="3814"/>
        <w:gridCol w:w="3829"/>
        <w:gridCol w:w="115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56" w:hRule="atLeast"/>
          <w:jc w:val="center"/>
        </w:trPr>
        <w:tc>
          <w:tcPr>
            <w:tcW w:w="2350" w:type="pct"/>
            <w:gridSpan w:val="2"/>
            <w:tcBorders>
              <w:bottom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招标文件资格审查标准</w:t>
            </w:r>
          </w:p>
        </w:tc>
        <w:tc>
          <w:tcPr>
            <w:tcW w:w="2035" w:type="pct"/>
            <w:vMerge w:val="restart"/>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投标文件响应的内容</w:t>
            </w:r>
          </w:p>
        </w:tc>
        <w:tc>
          <w:tcPr>
            <w:tcW w:w="615" w:type="pct"/>
            <w:vMerge w:val="restart"/>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投标文件对应页码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1" w:hRule="atLeast"/>
          <w:jc w:val="center"/>
        </w:trPr>
        <w:tc>
          <w:tcPr>
            <w:tcW w:w="323" w:type="pct"/>
            <w:tcBorders>
              <w:top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120" w:leftChars="-50" w:right="-120" w:rightChars="-50"/>
              <w:jc w:val="center"/>
              <w:rPr>
                <w:rFonts w:cs="仿宋_GB2312"/>
                <w:szCs w:val="24"/>
              </w:rPr>
            </w:pPr>
            <w:r>
              <w:rPr>
                <w:rFonts w:hint="eastAsia" w:cs="仿宋_GB2312"/>
                <w:szCs w:val="24"/>
              </w:rPr>
              <w:t>序号</w:t>
            </w:r>
          </w:p>
        </w:tc>
        <w:tc>
          <w:tcPr>
            <w:tcW w:w="2027" w:type="pct"/>
            <w:tcBorders>
              <w:top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right="-60" w:rightChars="-25"/>
              <w:jc w:val="center"/>
              <w:rPr>
                <w:rFonts w:cs="仿宋_GB2312"/>
                <w:szCs w:val="24"/>
              </w:rPr>
            </w:pPr>
            <w:r>
              <w:rPr>
                <w:rFonts w:hint="eastAsia" w:cs="仿宋_GB2312"/>
                <w:szCs w:val="24"/>
              </w:rPr>
              <w:t>审查内容</w:t>
            </w:r>
          </w:p>
        </w:tc>
        <w:tc>
          <w:tcPr>
            <w:tcW w:w="2035" w:type="pct"/>
            <w:vMerge w:val="continue"/>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p>
        </w:tc>
        <w:tc>
          <w:tcPr>
            <w:tcW w:w="615" w:type="pct"/>
            <w:vMerge w:val="continue"/>
            <w:shd w:val="pct10" w:color="C3BD96" w:themeColor="background2" w:themeShade="BF" w:fill="DDD9C4" w:themeFill="background2" w:themeFillShade="E6"/>
          </w:tcPr>
          <w:p>
            <w:pPr>
              <w:wordWrap w:val="0"/>
              <w:spacing w:before="100" w:beforeAutospacing="1" w:after="100" w:afterAutospacing="1" w:line="360" w:lineRule="auto"/>
              <w:ind w:left="-60" w:leftChars="-25" w:right="-60" w:rightChars="-25"/>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8" w:hRule="atLeast"/>
          <w:jc w:val="center"/>
        </w:trPr>
        <w:tc>
          <w:tcPr>
            <w:tcW w:w="323" w:type="pct"/>
            <w:vAlign w:val="center"/>
          </w:tcPr>
          <w:p>
            <w:pPr>
              <w:numPr>
                <w:ilvl w:val="0"/>
                <w:numId w:val="71"/>
              </w:numPr>
              <w:tabs>
                <w:tab w:val="left" w:pos="61"/>
              </w:tabs>
              <w:wordWrap w:val="0"/>
              <w:adjustRightInd w:val="0"/>
              <w:snapToGrid w:val="0"/>
              <w:spacing w:line="360" w:lineRule="auto"/>
              <w:ind w:left="-72" w:leftChars="-30" w:firstLine="0"/>
              <w:jc w:val="center"/>
            </w:pPr>
          </w:p>
        </w:tc>
        <w:tc>
          <w:tcPr>
            <w:tcW w:w="2027" w:type="pct"/>
            <w:vAlign w:val="center"/>
          </w:tcPr>
          <w:p>
            <w:pPr>
              <w:wordWrap w:val="0"/>
              <w:spacing w:line="360" w:lineRule="auto"/>
              <w:jc w:val="center"/>
              <w:rPr>
                <w:rFonts w:cs="仿宋_GB2312"/>
                <w:szCs w:val="24"/>
              </w:rPr>
            </w:pPr>
          </w:p>
        </w:tc>
        <w:tc>
          <w:tcPr>
            <w:tcW w:w="2035" w:type="pct"/>
            <w:vAlign w:val="center"/>
          </w:tcPr>
          <w:p>
            <w:pPr>
              <w:wordWrap w:val="0"/>
              <w:spacing w:line="360" w:lineRule="auto"/>
              <w:jc w:val="center"/>
              <w:rPr>
                <w:rFonts w:cs="仿宋_GB2312"/>
                <w:szCs w:val="24"/>
              </w:rPr>
            </w:pPr>
          </w:p>
        </w:tc>
        <w:tc>
          <w:tcPr>
            <w:tcW w:w="615" w:type="pct"/>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62" w:hRule="atLeast"/>
          <w:jc w:val="center"/>
        </w:trPr>
        <w:tc>
          <w:tcPr>
            <w:tcW w:w="323" w:type="pct"/>
            <w:vAlign w:val="center"/>
          </w:tcPr>
          <w:p>
            <w:pPr>
              <w:numPr>
                <w:ilvl w:val="0"/>
                <w:numId w:val="71"/>
              </w:numPr>
              <w:tabs>
                <w:tab w:val="left" w:pos="61"/>
              </w:tabs>
              <w:wordWrap w:val="0"/>
              <w:adjustRightInd w:val="0"/>
              <w:snapToGrid w:val="0"/>
              <w:spacing w:line="360" w:lineRule="auto"/>
              <w:ind w:left="-72" w:leftChars="-30" w:firstLine="0"/>
              <w:jc w:val="center"/>
            </w:pPr>
          </w:p>
        </w:tc>
        <w:tc>
          <w:tcPr>
            <w:tcW w:w="2027" w:type="pct"/>
            <w:vAlign w:val="center"/>
          </w:tcPr>
          <w:p>
            <w:pPr>
              <w:wordWrap w:val="0"/>
              <w:spacing w:line="360" w:lineRule="auto"/>
              <w:jc w:val="center"/>
              <w:rPr>
                <w:rFonts w:cs="仿宋_GB2312"/>
                <w:szCs w:val="24"/>
              </w:rPr>
            </w:pPr>
          </w:p>
        </w:tc>
        <w:tc>
          <w:tcPr>
            <w:tcW w:w="2035" w:type="pct"/>
            <w:vAlign w:val="center"/>
          </w:tcPr>
          <w:p>
            <w:pPr>
              <w:wordWrap w:val="0"/>
              <w:spacing w:line="360" w:lineRule="auto"/>
              <w:jc w:val="center"/>
              <w:rPr>
                <w:rFonts w:cs="仿宋_GB2312"/>
                <w:szCs w:val="24"/>
              </w:rPr>
            </w:pPr>
          </w:p>
        </w:tc>
        <w:tc>
          <w:tcPr>
            <w:tcW w:w="615" w:type="pct"/>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5" w:hRule="atLeast"/>
          <w:jc w:val="center"/>
        </w:trPr>
        <w:tc>
          <w:tcPr>
            <w:tcW w:w="323" w:type="pct"/>
            <w:vAlign w:val="center"/>
          </w:tcPr>
          <w:p>
            <w:pPr>
              <w:numPr>
                <w:ilvl w:val="0"/>
                <w:numId w:val="71"/>
              </w:numPr>
              <w:tabs>
                <w:tab w:val="left" w:pos="61"/>
              </w:tabs>
              <w:wordWrap w:val="0"/>
              <w:adjustRightInd w:val="0"/>
              <w:snapToGrid w:val="0"/>
              <w:spacing w:line="360" w:lineRule="auto"/>
              <w:ind w:left="-72" w:leftChars="-30" w:firstLine="0"/>
              <w:jc w:val="center"/>
            </w:pPr>
          </w:p>
        </w:tc>
        <w:tc>
          <w:tcPr>
            <w:tcW w:w="2027" w:type="pct"/>
            <w:vAlign w:val="center"/>
          </w:tcPr>
          <w:p>
            <w:pPr>
              <w:wordWrap w:val="0"/>
              <w:spacing w:line="360" w:lineRule="auto"/>
              <w:jc w:val="center"/>
              <w:rPr>
                <w:rFonts w:cs="仿宋_GB2312"/>
                <w:szCs w:val="24"/>
              </w:rPr>
            </w:pPr>
          </w:p>
        </w:tc>
        <w:tc>
          <w:tcPr>
            <w:tcW w:w="2035" w:type="pct"/>
            <w:vAlign w:val="center"/>
          </w:tcPr>
          <w:p>
            <w:pPr>
              <w:wordWrap w:val="0"/>
              <w:spacing w:line="360" w:lineRule="auto"/>
              <w:jc w:val="center"/>
              <w:rPr>
                <w:rFonts w:cs="仿宋_GB2312"/>
                <w:szCs w:val="24"/>
              </w:rPr>
            </w:pPr>
          </w:p>
        </w:tc>
        <w:tc>
          <w:tcPr>
            <w:tcW w:w="615" w:type="pct"/>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jc w:val="center"/>
        </w:trPr>
        <w:tc>
          <w:tcPr>
            <w:tcW w:w="323" w:type="pct"/>
            <w:vAlign w:val="center"/>
          </w:tcPr>
          <w:p>
            <w:pPr>
              <w:wordWrap w:val="0"/>
              <w:spacing w:line="360" w:lineRule="auto"/>
              <w:jc w:val="center"/>
              <w:rPr>
                <w:rFonts w:cs="仿宋_GB2312"/>
                <w:szCs w:val="24"/>
              </w:rPr>
            </w:pPr>
            <w:r>
              <w:rPr>
                <w:rFonts w:hint="eastAsia" w:cs="仿宋_GB2312"/>
                <w:szCs w:val="24"/>
              </w:rPr>
              <w:t>…</w:t>
            </w:r>
          </w:p>
        </w:tc>
        <w:tc>
          <w:tcPr>
            <w:tcW w:w="2027" w:type="pct"/>
            <w:vAlign w:val="center"/>
          </w:tcPr>
          <w:p>
            <w:pPr>
              <w:wordWrap w:val="0"/>
              <w:spacing w:line="360" w:lineRule="auto"/>
              <w:jc w:val="center"/>
              <w:rPr>
                <w:rFonts w:cs="仿宋_GB2312"/>
                <w:szCs w:val="24"/>
              </w:rPr>
            </w:pPr>
          </w:p>
        </w:tc>
        <w:tc>
          <w:tcPr>
            <w:tcW w:w="2035" w:type="pct"/>
            <w:vAlign w:val="center"/>
          </w:tcPr>
          <w:p>
            <w:pPr>
              <w:wordWrap w:val="0"/>
              <w:spacing w:line="360" w:lineRule="auto"/>
              <w:jc w:val="center"/>
              <w:rPr>
                <w:rFonts w:cs="仿宋_GB2312"/>
                <w:szCs w:val="24"/>
              </w:rPr>
            </w:pPr>
            <w:r>
              <w:rPr>
                <w:rFonts w:hint="eastAsia" w:cs="宋体"/>
                <w:szCs w:val="24"/>
              </w:rPr>
              <w:t>……</w:t>
            </w:r>
          </w:p>
        </w:tc>
        <w:tc>
          <w:tcPr>
            <w:tcW w:w="615" w:type="pct"/>
            <w:vAlign w:val="center"/>
          </w:tcPr>
          <w:p>
            <w:pPr>
              <w:wordWrap w:val="0"/>
              <w:spacing w:line="360" w:lineRule="auto"/>
              <w:jc w:val="center"/>
              <w:rPr>
                <w:rFonts w:cs="仿宋_GB2312"/>
                <w:szCs w:val="24"/>
              </w:rPr>
            </w:pPr>
            <w:r>
              <w:rPr>
                <w:rFonts w:hint="eastAsia" w:cs="宋体"/>
                <w:szCs w:val="24"/>
              </w:rPr>
              <w:t>……</w:t>
            </w:r>
          </w:p>
        </w:tc>
      </w:tr>
    </w:tbl>
    <w:p>
      <w:pPr>
        <w:wordWrap w:val="0"/>
        <w:spacing w:line="360" w:lineRule="auto"/>
        <w:ind w:left="1132" w:hanging="1132" w:hangingChars="470"/>
        <w:jc w:val="left"/>
        <w:rPr>
          <w:b/>
          <w:szCs w:val="24"/>
        </w:rPr>
      </w:pPr>
      <w:r>
        <w:rPr>
          <w:rFonts w:hint="eastAsia"/>
          <w:b/>
          <w:szCs w:val="24"/>
        </w:rPr>
        <w:t>说明</w:t>
      </w:r>
      <w:r>
        <w:rPr>
          <w:rFonts w:hint="eastAsia" w:cs="Corbel"/>
          <w:b/>
          <w:szCs w:val="24"/>
        </w:rPr>
        <w:t>：</w:t>
      </w:r>
      <w:r>
        <w:rPr>
          <w:rFonts w:hint="eastAsia" w:cs="Corbel"/>
          <w:szCs w:val="24"/>
        </w:rPr>
        <w:t>1</w:t>
      </w:r>
      <w:r>
        <w:rPr>
          <w:rFonts w:hint="eastAsia"/>
          <w:szCs w:val="24"/>
        </w:rPr>
        <w:t>.</w:t>
      </w:r>
      <w:r>
        <w:rPr>
          <w:rFonts w:hint="eastAsia" w:cs="Corbel"/>
          <w:szCs w:val="24"/>
        </w:rPr>
        <w:t>应按招标文件“第四章 资格审查”中</w:t>
      </w:r>
      <w:r>
        <w:rPr>
          <w:rFonts w:cs="Corbel"/>
          <w:szCs w:val="24"/>
        </w:rPr>
        <w:t>“资格审查标准”</w:t>
      </w:r>
      <w:r>
        <w:rPr>
          <w:rFonts w:hint="eastAsia" w:cs="Corbel"/>
          <w:szCs w:val="24"/>
        </w:rPr>
        <w:t>逐项在“投标文件响应的内容”栏中进行响应说明。未按照要求填写此表或在“投标文件响应的内容”栏中仅注明“符合”、“满足”的，导致的后果由投标人自行承担</w:t>
      </w:r>
      <w:r>
        <w:rPr>
          <w:rFonts w:hint="eastAsia"/>
          <w:szCs w:val="24"/>
        </w:rPr>
        <w:t>。</w:t>
      </w:r>
    </w:p>
    <w:p>
      <w:pPr>
        <w:wordWrap w:val="0"/>
        <w:spacing w:line="360" w:lineRule="auto"/>
        <w:ind w:left="1133" w:leftChars="299" w:hanging="415" w:hangingChars="173"/>
        <w:jc w:val="left"/>
        <w:rPr>
          <w:b/>
          <w:szCs w:val="24"/>
        </w:rPr>
      </w:pPr>
      <w:r>
        <w:rPr>
          <w:rFonts w:hint="eastAsia" w:cs="Corbel"/>
          <w:szCs w:val="24"/>
        </w:rPr>
        <w:t>2.</w:t>
      </w:r>
      <w:r>
        <w:rPr>
          <w:rFonts w:hint="eastAsia"/>
          <w:szCs w:val="24"/>
        </w:rPr>
        <w:t>应将对应</w:t>
      </w:r>
      <w:r>
        <w:rPr>
          <w:rFonts w:hint="eastAsia" w:cs="Corbel"/>
          <w:szCs w:val="24"/>
        </w:rPr>
        <w:t>响</w:t>
      </w:r>
      <w:r>
        <w:rPr>
          <w:rFonts w:hint="eastAsia"/>
          <w:szCs w:val="24"/>
        </w:rPr>
        <w:t>应内容的页码（多页的，起码和止码）填写到上表“投标文件对应页码”栏中。未提供准确页码或对应内容不一致的，导致的后果由投标人自行承担。</w:t>
      </w:r>
    </w:p>
    <w:p>
      <w:pPr>
        <w:wordWrap w:val="0"/>
        <w:spacing w:before="100" w:beforeAutospacing="1" w:after="100" w:afterAutospacing="1" w:line="360" w:lineRule="auto"/>
        <w:ind w:firstLine="3316" w:firstLineChars="1382"/>
        <w:rPr>
          <w:bCs/>
          <w:u w:val="single"/>
        </w:rPr>
      </w:pPr>
      <w:r>
        <w:rPr>
          <w:rFonts w:hint="eastAsia"/>
          <w:bCs/>
        </w:rPr>
        <w:t>投标人（公章）：</w:t>
      </w:r>
      <w:r>
        <w:rPr>
          <w:rFonts w:hint="eastAsia"/>
          <w:bCs/>
          <w:u w:val="single"/>
        </w:rPr>
        <w:t xml:space="preserve">                              </w:t>
      </w:r>
    </w:p>
    <w:p>
      <w:pPr>
        <w:wordWrap w:val="0"/>
        <w:spacing w:before="100" w:beforeAutospacing="1" w:after="100" w:afterAutospacing="1" w:line="360" w:lineRule="auto"/>
        <w:ind w:firstLine="3316" w:firstLineChars="1382"/>
        <w:rPr>
          <w:bCs/>
          <w:u w:val="single"/>
        </w:rPr>
      </w:pPr>
      <w:r>
        <w:rPr>
          <w:rFonts w:hint="eastAsia"/>
          <w:szCs w:val="24"/>
        </w:rPr>
        <w:t>日   期：</w:t>
      </w:r>
      <w:r>
        <w:rPr>
          <w:rFonts w:hint="eastAsia"/>
          <w:bCs/>
          <w:u w:val="single"/>
        </w:rPr>
        <w:t xml:space="preserve">                                   </w:t>
      </w:r>
    </w:p>
    <w:p>
      <w:pPr>
        <w:pStyle w:val="3"/>
        <w:numPr>
          <w:ilvl w:val="0"/>
          <w:numId w:val="70"/>
        </w:numPr>
        <w:tabs>
          <w:tab w:val="left" w:pos="567"/>
        </w:tabs>
        <w:spacing w:before="0" w:after="0" w:line="360" w:lineRule="auto"/>
        <w:jc w:val="left"/>
        <w:rPr>
          <w:rFonts w:ascii="宋体" w:hAnsi="宋体" w:eastAsia="宋体" w:cs="Times New Roman"/>
          <w:sz w:val="24"/>
          <w:szCs w:val="24"/>
          <w:lang w:val="zh-CN"/>
        </w:rPr>
      </w:pPr>
      <w:bookmarkStart w:id="638" w:name="_Toc28261"/>
      <w:bookmarkStart w:id="639" w:name="_Toc117244492"/>
      <w:bookmarkStart w:id="640" w:name="_Toc117244377"/>
      <w:bookmarkStart w:id="641" w:name="_Toc1340"/>
      <w:r>
        <w:rPr>
          <w:rFonts w:hint="eastAsia" w:ascii="宋体" w:hAnsi="宋体" w:eastAsia="宋体" w:cs="Times New Roman"/>
          <w:sz w:val="24"/>
          <w:szCs w:val="24"/>
          <w:lang w:val="zh-CN"/>
        </w:rPr>
        <w:t>具备《政府采购法》第二十二条第一款规定的条件</w:t>
      </w:r>
      <w:r>
        <w:rPr>
          <w:rFonts w:hint="eastAsia" w:ascii="宋体" w:hAnsi="宋体" w:eastAsia="宋体"/>
          <w:sz w:val="24"/>
          <w:szCs w:val="24"/>
        </w:rPr>
        <w:t>提供的材料</w:t>
      </w:r>
      <w:bookmarkEnd w:id="638"/>
      <w:bookmarkEnd w:id="639"/>
      <w:bookmarkEnd w:id="640"/>
      <w:bookmarkEnd w:id="641"/>
    </w:p>
    <w:p>
      <w:pPr>
        <w:pStyle w:val="43"/>
        <w:numPr>
          <w:ilvl w:val="0"/>
          <w:numId w:val="72"/>
        </w:numPr>
        <w:wordWrap w:val="0"/>
        <w:spacing w:line="360" w:lineRule="auto"/>
        <w:ind w:left="1134" w:hanging="566" w:firstLineChars="0"/>
        <w:outlineLvl w:val="2"/>
        <w:rPr>
          <w:b/>
          <w:szCs w:val="24"/>
          <w:lang w:val="zh-CN"/>
        </w:rPr>
      </w:pPr>
      <w:r>
        <w:rPr>
          <w:rFonts w:hint="eastAsia"/>
          <w:b/>
          <w:szCs w:val="24"/>
          <w:lang w:val="zh-CN"/>
        </w:rPr>
        <w:t>法人、其他组织的营业执照或执业许可证等证明文件，自然人的身份证明</w:t>
      </w:r>
    </w:p>
    <w:p>
      <w:pPr>
        <w:spacing w:line="360" w:lineRule="auto"/>
        <w:ind w:firstLine="960" w:firstLineChars="400"/>
        <w:rPr>
          <w:rFonts w:ascii="楷体" w:hAnsi="楷体" w:eastAsia="楷体"/>
          <w:b/>
          <w:szCs w:val="24"/>
          <w:lang w:val="zh-CN"/>
        </w:rPr>
      </w:pPr>
      <w:r>
        <w:rPr>
          <w:rFonts w:hint="eastAsia" w:ascii="楷体" w:hAnsi="楷体" w:eastAsia="楷体"/>
          <w:szCs w:val="24"/>
          <w:lang w:val="zh-CN"/>
        </w:rPr>
        <w:t>（按投标</w:t>
      </w:r>
      <w:r>
        <w:rPr>
          <w:rFonts w:ascii="楷体" w:hAnsi="楷体" w:eastAsia="楷体"/>
          <w:szCs w:val="24"/>
          <w:lang w:val="zh-CN"/>
        </w:rPr>
        <w:t>人</w:t>
      </w:r>
      <w:r>
        <w:rPr>
          <w:rFonts w:hint="eastAsia" w:ascii="楷体" w:hAnsi="楷体" w:eastAsia="楷体"/>
          <w:szCs w:val="24"/>
          <w:lang w:val="zh-CN"/>
        </w:rPr>
        <w:t>自身</w:t>
      </w:r>
      <w:r>
        <w:rPr>
          <w:rFonts w:ascii="楷体" w:hAnsi="楷体" w:eastAsia="楷体"/>
          <w:bCs/>
          <w:szCs w:val="24"/>
        </w:rPr>
        <w:t>实际</w:t>
      </w:r>
      <w:r>
        <w:rPr>
          <w:rFonts w:hint="eastAsia" w:ascii="楷体" w:hAnsi="楷体" w:eastAsia="楷体"/>
          <w:bCs/>
          <w:szCs w:val="24"/>
        </w:rPr>
        <w:t>情况</w:t>
      </w:r>
      <w:r>
        <w:rPr>
          <w:rFonts w:hint="eastAsia" w:ascii="楷体" w:hAnsi="楷体" w:eastAsia="楷体"/>
          <w:szCs w:val="24"/>
          <w:lang w:val="zh-CN"/>
        </w:rPr>
        <w:t>自行编写）</w:t>
      </w:r>
    </w:p>
    <w:p>
      <w:pPr>
        <w:pStyle w:val="43"/>
        <w:spacing w:line="360" w:lineRule="auto"/>
        <w:ind w:left="1591" w:leftChars="413" w:hanging="600" w:hangingChars="250"/>
        <w:jc w:val="left"/>
        <w:rPr>
          <w:szCs w:val="24"/>
        </w:rPr>
      </w:pPr>
      <w:r>
        <w:rPr>
          <w:rFonts w:hint="eastAsia"/>
          <w:szCs w:val="24"/>
        </w:rPr>
        <w:t>（1）企业法人（包括合伙企业）提供工商部门注册的有效“企业法人营业执照”或“营业执照”；</w:t>
      </w:r>
    </w:p>
    <w:p>
      <w:pPr>
        <w:pStyle w:val="43"/>
        <w:spacing w:line="360" w:lineRule="auto"/>
        <w:ind w:left="993" w:firstLine="0" w:firstLineChars="0"/>
        <w:jc w:val="left"/>
        <w:rPr>
          <w:szCs w:val="24"/>
        </w:rPr>
      </w:pPr>
      <w:r>
        <w:rPr>
          <w:rFonts w:hint="eastAsia"/>
          <w:szCs w:val="24"/>
        </w:rPr>
        <w:t>（2）事业单位法人应提供有效的“事业单位法人证书”；</w:t>
      </w:r>
    </w:p>
    <w:p>
      <w:pPr>
        <w:pStyle w:val="43"/>
        <w:spacing w:line="360" w:lineRule="auto"/>
        <w:ind w:left="993" w:firstLine="0" w:firstLineChars="0"/>
        <w:jc w:val="left"/>
        <w:rPr>
          <w:szCs w:val="24"/>
        </w:rPr>
      </w:pPr>
      <w:r>
        <w:rPr>
          <w:rFonts w:hint="eastAsia"/>
          <w:szCs w:val="24"/>
        </w:rPr>
        <w:t>（3）非企业专业服务机构应提供执业许可证等证明文件；</w:t>
      </w:r>
    </w:p>
    <w:p>
      <w:pPr>
        <w:pStyle w:val="43"/>
        <w:spacing w:line="360" w:lineRule="auto"/>
        <w:ind w:left="993" w:firstLine="0" w:firstLineChars="0"/>
        <w:jc w:val="left"/>
        <w:rPr>
          <w:szCs w:val="24"/>
        </w:rPr>
      </w:pPr>
      <w:r>
        <w:rPr>
          <w:rFonts w:hint="eastAsia"/>
          <w:szCs w:val="24"/>
        </w:rPr>
        <w:t>（4）个体工商户应提供有效的“个体工商户营业执照”；</w:t>
      </w:r>
    </w:p>
    <w:p>
      <w:pPr>
        <w:pStyle w:val="43"/>
        <w:spacing w:line="360" w:lineRule="auto"/>
        <w:ind w:left="993" w:firstLine="0" w:firstLineChars="0"/>
        <w:jc w:val="left"/>
        <w:rPr>
          <w:lang w:val="zh-CN"/>
        </w:rPr>
      </w:pPr>
      <w:r>
        <w:rPr>
          <w:rFonts w:hint="eastAsia"/>
          <w:szCs w:val="24"/>
        </w:rPr>
        <w:t>（5）自然人应</w:t>
      </w:r>
      <w:r>
        <w:rPr>
          <w:rFonts w:hint="eastAsia"/>
          <w:lang w:val="zh-CN"/>
        </w:rPr>
        <w:t>提供有效的自然人身份证明（仅限中国公民）。</w:t>
      </w:r>
    </w:p>
    <w:p>
      <w:pPr>
        <w:pStyle w:val="43"/>
        <w:spacing w:line="360" w:lineRule="auto"/>
        <w:ind w:left="993" w:firstLine="0" w:firstLineChars="0"/>
        <w:jc w:val="left"/>
        <w:rPr>
          <w:lang w:val="zh-CN"/>
        </w:rPr>
      </w:pPr>
    </w:p>
    <w:p>
      <w:pPr>
        <w:widowControl/>
        <w:jc w:val="left"/>
        <w:rPr>
          <w:b/>
          <w:szCs w:val="24"/>
          <w:lang w:val="zh-CN"/>
        </w:rPr>
      </w:pPr>
      <w:r>
        <w:rPr>
          <w:b/>
          <w:szCs w:val="24"/>
          <w:lang w:val="zh-CN"/>
        </w:rPr>
        <w:br w:type="page"/>
      </w:r>
    </w:p>
    <w:bookmarkEnd w:id="630"/>
    <w:p>
      <w:pPr>
        <w:pStyle w:val="43"/>
        <w:numPr>
          <w:ilvl w:val="0"/>
          <w:numId w:val="72"/>
        </w:numPr>
        <w:wordWrap w:val="0"/>
        <w:spacing w:line="360" w:lineRule="auto"/>
        <w:ind w:left="1134" w:hanging="566" w:firstLineChars="0"/>
        <w:outlineLvl w:val="2"/>
        <w:rPr>
          <w:b/>
          <w:bCs/>
          <w:szCs w:val="24"/>
        </w:rPr>
      </w:pPr>
      <w:r>
        <w:rPr>
          <w:rFonts w:hint="eastAsia"/>
          <w:b/>
          <w:szCs w:val="24"/>
        </w:rPr>
        <w:t>具备参与政府采购资格条件的书面声明函</w:t>
      </w:r>
    </w:p>
    <w:p>
      <w:pPr>
        <w:spacing w:line="360" w:lineRule="auto"/>
        <w:ind w:firstLine="960" w:firstLineChars="400"/>
        <w:rPr>
          <w:rFonts w:ascii="楷体" w:hAnsi="楷体" w:eastAsia="楷体"/>
          <w:b/>
          <w:bCs/>
          <w:szCs w:val="24"/>
        </w:rPr>
      </w:pPr>
      <w:r>
        <w:rPr>
          <w:rFonts w:hint="eastAsia" w:ascii="楷体" w:hAnsi="楷体" w:eastAsia="楷体"/>
          <w:bCs/>
          <w:szCs w:val="24"/>
        </w:rPr>
        <w:t>（</w:t>
      </w:r>
      <w:r>
        <w:rPr>
          <w:rFonts w:hint="eastAsia" w:ascii="楷体" w:hAnsi="楷体" w:eastAsia="楷体"/>
          <w:szCs w:val="24"/>
        </w:rPr>
        <w:t>可不再提供其它证明材料</w:t>
      </w:r>
      <w:r>
        <w:rPr>
          <w:rFonts w:hint="eastAsia" w:ascii="楷体" w:hAnsi="楷体" w:eastAsia="楷体"/>
          <w:bCs/>
          <w:szCs w:val="24"/>
        </w:rPr>
        <w:t>）</w:t>
      </w:r>
    </w:p>
    <w:p>
      <w:pPr>
        <w:wordWrap w:val="0"/>
        <w:spacing w:line="360" w:lineRule="auto"/>
        <w:rPr>
          <w:szCs w:val="24"/>
        </w:rPr>
      </w:pPr>
      <w:r>
        <w:rPr>
          <w:rFonts w:hint="eastAsia"/>
          <w:szCs w:val="24"/>
        </w:rPr>
        <w:t>黄冈市政府采购中心：</w:t>
      </w:r>
    </w:p>
    <w:p>
      <w:pPr>
        <w:wordWrap w:val="0"/>
        <w:spacing w:line="360" w:lineRule="auto"/>
        <w:ind w:firstLine="480" w:firstLineChars="200"/>
        <w:rPr>
          <w:szCs w:val="24"/>
        </w:rPr>
      </w:pPr>
      <w:r>
        <w:rPr>
          <w:rFonts w:hint="eastAsia"/>
          <w:szCs w:val="24"/>
        </w:rPr>
        <w:t>我公司已认真阅读《中华人民共和国政府采购法》和本项目采购文件中关于申请人（投标人/供应商）的资格要求，知悉参加政府采购活动应当具备的资格条件。本次提交的投标人资格证明材料，已经我公司认真核对和检查，全部内容真实、合法、准确、完整，我公司对此负责，并愿承担由此引起的法律责任。在此，我公司郑重声明如下：</w:t>
      </w:r>
    </w:p>
    <w:p>
      <w:pPr>
        <w:wordWrap w:val="0"/>
        <w:spacing w:line="360" w:lineRule="auto"/>
        <w:ind w:firstLine="480" w:firstLineChars="200"/>
        <w:rPr>
          <w:szCs w:val="24"/>
        </w:rPr>
      </w:pPr>
      <w:r>
        <w:rPr>
          <w:rFonts w:hint="eastAsia"/>
          <w:szCs w:val="24"/>
        </w:rPr>
        <w:t>一、我公司具备《中华人民共和国政府采购法》第二十二条规定的资格条件，即：具有独立承担民事责任的能力、具有良好的商业信誉和健全的财务会计制度、具有履行合同所必需的设备和专业技术能力、有依法交纳税收和社会保障资金的良好记录、参加政府采购活动前三年内，在经营活动中没有重大违法记录。</w:t>
      </w:r>
    </w:p>
    <w:p>
      <w:pPr>
        <w:wordWrap w:val="0"/>
        <w:spacing w:line="360" w:lineRule="auto"/>
        <w:ind w:firstLine="480" w:firstLineChars="200"/>
        <w:rPr>
          <w:szCs w:val="24"/>
        </w:rPr>
      </w:pPr>
      <w:r>
        <w:rPr>
          <w:rFonts w:hint="eastAsia"/>
          <w:szCs w:val="24"/>
        </w:rPr>
        <w:t>二、我公司参加本项目政府采购活动前三年内，未因违法经营受到刑事处罚或者责令停产停业、吊销许可证或者执照、较大数额罚款等行政处罚，未受到过全国各级人民政府财政部门依法作出的禁止参加政府采购活动等行政处罚决定。</w:t>
      </w:r>
    </w:p>
    <w:p>
      <w:pPr>
        <w:wordWrap w:val="0"/>
        <w:spacing w:line="360" w:lineRule="auto"/>
        <w:ind w:firstLine="480" w:firstLineChars="200"/>
        <w:rPr>
          <w:szCs w:val="24"/>
        </w:rPr>
      </w:pPr>
      <w:r>
        <w:rPr>
          <w:rFonts w:hint="eastAsia"/>
          <w:szCs w:val="24"/>
        </w:rPr>
        <w:t>三、我公司在递交投标（响应）文件截止时间前，未被“信用中国”网站（www.creditchina.gov.cn）、“中国政府采购网”（www.ccgp.gov.cn）列入失信被执行人、重大税收违法案件当事人名单、政府采购严重违法失信行为记录名单。</w:t>
      </w:r>
    </w:p>
    <w:p>
      <w:pPr>
        <w:wordWrap w:val="0"/>
        <w:spacing w:line="360" w:lineRule="auto"/>
        <w:ind w:firstLine="480" w:firstLineChars="200"/>
        <w:rPr>
          <w:szCs w:val="24"/>
        </w:rPr>
      </w:pPr>
      <w:r>
        <w:rPr>
          <w:rFonts w:hint="eastAsia"/>
          <w:szCs w:val="24"/>
        </w:rPr>
        <w:t>四、如上述声明内容不实，本单位自愿接受政府采购监管部门按照《中华人民共和国政府采购法》关于提供虚假材料的规定给予处罚，并承担一切法律后果。</w:t>
      </w:r>
    </w:p>
    <w:p>
      <w:pPr>
        <w:wordWrap w:val="0"/>
        <w:spacing w:before="100" w:beforeAutospacing="1" w:after="100" w:afterAutospacing="1" w:line="360" w:lineRule="auto"/>
        <w:ind w:firstLine="3316" w:firstLineChars="1382"/>
        <w:rPr>
          <w:bCs/>
          <w:szCs w:val="21"/>
          <w:u w:val="single"/>
          <w:lang w:val="zh-CN"/>
        </w:rPr>
      </w:pPr>
      <w:r>
        <w:rPr>
          <w:rFonts w:hint="eastAsia"/>
          <w:bCs/>
          <w:szCs w:val="21"/>
          <w:lang w:val="zh-CN"/>
        </w:rPr>
        <w:t>投标人（公章）：</w:t>
      </w:r>
      <w:r>
        <w:rPr>
          <w:rFonts w:hint="eastAsia"/>
          <w:bCs/>
          <w:szCs w:val="21"/>
          <w:u w:val="single"/>
          <w:lang w:val="zh-CN"/>
        </w:rPr>
        <w:t xml:space="preserve">                                </w:t>
      </w:r>
    </w:p>
    <w:p>
      <w:pPr>
        <w:widowControl/>
        <w:wordWrap w:val="0"/>
        <w:spacing w:line="360" w:lineRule="auto"/>
        <w:ind w:firstLine="3360" w:firstLineChars="1400"/>
        <w:jc w:val="left"/>
        <w:rPr>
          <w:bCs/>
          <w:szCs w:val="21"/>
          <w:u w:val="single"/>
          <w:lang w:val="zh-CN"/>
        </w:rPr>
      </w:pPr>
      <w:r>
        <w:rPr>
          <w:rFonts w:hint="eastAsia"/>
          <w:szCs w:val="24"/>
        </w:rPr>
        <w:t>日    期：</w:t>
      </w:r>
      <w:r>
        <w:rPr>
          <w:rFonts w:hint="eastAsia"/>
          <w:bCs/>
          <w:szCs w:val="21"/>
          <w:u w:val="single"/>
          <w:lang w:val="zh-CN"/>
        </w:rPr>
        <w:t xml:space="preserve">                                     </w:t>
      </w:r>
    </w:p>
    <w:p>
      <w:pPr>
        <w:pStyle w:val="43"/>
        <w:wordWrap w:val="0"/>
        <w:spacing w:line="360" w:lineRule="auto"/>
        <w:ind w:left="988" w:firstLine="0" w:firstLineChars="0"/>
        <w:rPr>
          <w:sz w:val="28"/>
          <w:szCs w:val="28"/>
          <w:lang w:val="zh-CN"/>
        </w:rPr>
      </w:pPr>
      <w:bookmarkStart w:id="642" w:name="_Toc107561298"/>
    </w:p>
    <w:bookmarkEnd w:id="642"/>
    <w:p>
      <w:pPr>
        <w:pStyle w:val="43"/>
        <w:numPr>
          <w:ilvl w:val="0"/>
          <w:numId w:val="72"/>
        </w:numPr>
        <w:wordWrap w:val="0"/>
        <w:spacing w:line="360" w:lineRule="auto"/>
        <w:ind w:left="1134" w:hanging="566" w:firstLineChars="0"/>
        <w:outlineLvl w:val="2"/>
        <w:rPr>
          <w:szCs w:val="24"/>
          <w:lang w:val="zh-CN"/>
        </w:rPr>
      </w:pPr>
      <w:r>
        <w:rPr>
          <w:rFonts w:hint="eastAsia"/>
          <w:b/>
          <w:szCs w:val="24"/>
        </w:rPr>
        <w:t>国家对</w:t>
      </w:r>
      <w:r>
        <w:rPr>
          <w:rFonts w:hint="eastAsia"/>
          <w:b/>
          <w:szCs w:val="24"/>
          <w:lang w:val="zh-CN"/>
        </w:rPr>
        <w:t>生产</w:t>
      </w:r>
      <w:r>
        <w:rPr>
          <w:rFonts w:hint="eastAsia"/>
          <w:b/>
          <w:szCs w:val="24"/>
        </w:rPr>
        <w:t>和销售相关产品或提供相关服务有专门法律、行政法规规定的，则应提供取得国家有关主管部门行政许可的证明材料。</w:t>
      </w:r>
    </w:p>
    <w:p>
      <w:pPr>
        <w:wordWrap w:val="0"/>
        <w:spacing w:line="360" w:lineRule="auto"/>
        <w:ind w:firstLine="720" w:firstLineChars="300"/>
        <w:rPr>
          <w:szCs w:val="24"/>
          <w:lang w:val="zh-CN"/>
        </w:rPr>
      </w:pPr>
      <w:r>
        <w:rPr>
          <w:rFonts w:hint="eastAsia" w:ascii="楷体" w:hAnsi="楷体" w:eastAsia="楷体"/>
          <w:szCs w:val="24"/>
        </w:rPr>
        <w:t>（自行编写，若有规定，应提供相关证明材料；若无规定，可不提供）</w:t>
      </w:r>
      <w:r>
        <w:rPr>
          <w:szCs w:val="24"/>
          <w:lang w:val="zh-CN"/>
        </w:rPr>
        <w:br w:type="page"/>
      </w:r>
    </w:p>
    <w:p>
      <w:pPr>
        <w:pStyle w:val="3"/>
        <w:numPr>
          <w:ilvl w:val="0"/>
          <w:numId w:val="70"/>
        </w:numPr>
        <w:tabs>
          <w:tab w:val="left" w:pos="567"/>
        </w:tabs>
        <w:spacing w:before="0" w:after="0" w:line="360" w:lineRule="auto"/>
        <w:jc w:val="left"/>
        <w:rPr>
          <w:rFonts w:ascii="宋体" w:hAnsi="宋体" w:eastAsia="宋体" w:cs="Times New Roman"/>
          <w:bCs w:val="0"/>
          <w:sz w:val="24"/>
          <w:szCs w:val="24"/>
        </w:rPr>
      </w:pPr>
      <w:bookmarkStart w:id="643" w:name="_Toc32423"/>
      <w:bookmarkStart w:id="644" w:name="_Toc107561299"/>
      <w:bookmarkStart w:id="645" w:name="_Toc117244493"/>
      <w:bookmarkStart w:id="646" w:name="_Toc117244378"/>
      <w:bookmarkStart w:id="647" w:name="_Toc69"/>
      <w:r>
        <w:rPr>
          <w:rFonts w:hint="eastAsia" w:ascii="宋体" w:hAnsi="宋体" w:eastAsia="宋体" w:cs="Times New Roman"/>
          <w:bCs w:val="0"/>
          <w:sz w:val="24"/>
          <w:szCs w:val="24"/>
        </w:rPr>
        <w:t>未与有关系的其它投标人参加同一合同采购活动的声明函</w:t>
      </w:r>
      <w:bookmarkEnd w:id="643"/>
      <w:bookmarkEnd w:id="644"/>
      <w:bookmarkEnd w:id="645"/>
      <w:bookmarkEnd w:id="646"/>
      <w:bookmarkEnd w:id="647"/>
    </w:p>
    <w:p>
      <w:pPr>
        <w:wordWrap w:val="0"/>
        <w:spacing w:line="360" w:lineRule="auto"/>
        <w:ind w:firstLine="480" w:firstLineChars="200"/>
        <w:rPr>
          <w:bCs/>
          <w:szCs w:val="24"/>
        </w:rPr>
      </w:pPr>
      <w:r>
        <w:rPr>
          <w:rFonts w:hint="eastAsia"/>
          <w:bCs/>
          <w:szCs w:val="24"/>
        </w:rPr>
        <w:t>本公司参加贵中心组织的</w:t>
      </w:r>
      <w:r>
        <w:rPr>
          <w:rFonts w:hint="eastAsia"/>
          <w:bCs/>
          <w:szCs w:val="24"/>
          <w:u w:val="single"/>
        </w:rPr>
        <w:t xml:space="preserve"> </w:t>
      </w:r>
      <w:r>
        <w:rPr>
          <w:rFonts w:hint="eastAsia"/>
          <w:i/>
          <w:szCs w:val="24"/>
          <w:u w:val="single"/>
        </w:rPr>
        <w:t>（项目名称）</w:t>
      </w:r>
      <w:r>
        <w:rPr>
          <w:rFonts w:hint="eastAsia"/>
          <w:bCs/>
          <w:szCs w:val="24"/>
          <w:u w:val="single"/>
        </w:rPr>
        <w:t xml:space="preserve"> </w:t>
      </w:r>
      <w:r>
        <w:rPr>
          <w:rFonts w:hint="eastAsia"/>
          <w:bCs/>
          <w:szCs w:val="24"/>
        </w:rPr>
        <w:t>项目（项目编号：</w:t>
      </w:r>
      <w:r>
        <w:rPr>
          <w:rFonts w:hint="eastAsia"/>
          <w:bCs/>
          <w:szCs w:val="24"/>
          <w:u w:val="single"/>
        </w:rPr>
        <w:t xml:space="preserve">          </w:t>
      </w:r>
      <w:r>
        <w:rPr>
          <w:rFonts w:hint="eastAsia"/>
          <w:bCs/>
          <w:szCs w:val="24"/>
        </w:rPr>
        <w:t>）的政府采购活动，根据招标文件的规定提交相关资格证明文件。并郑重声明如下：</w:t>
      </w:r>
    </w:p>
    <w:p>
      <w:pPr>
        <w:numPr>
          <w:ilvl w:val="0"/>
          <w:numId w:val="73"/>
        </w:numPr>
        <w:tabs>
          <w:tab w:val="left" w:pos="0"/>
        </w:tabs>
        <w:wordWrap w:val="0"/>
        <w:spacing w:line="360" w:lineRule="auto"/>
        <w:ind w:left="709" w:hanging="227"/>
        <w:rPr>
          <w:szCs w:val="24"/>
        </w:rPr>
      </w:pPr>
      <w:r>
        <w:rPr>
          <w:rFonts w:hint="eastAsia"/>
          <w:szCs w:val="24"/>
        </w:rPr>
        <w:t>未与单位负责人为同一人或者存在直接控股、管理关系的其它投标人</w:t>
      </w:r>
      <w:r>
        <w:rPr>
          <w:rFonts w:hint="eastAsia" w:ascii="楷体" w:hAnsi="楷体" w:eastAsia="楷体"/>
          <w:bCs/>
          <w:szCs w:val="24"/>
        </w:rPr>
        <w:t>（含专门面向中小企业预留的采购项目或采购包，组成联合体或者接受分包合同的中小企业与联合体内其它企业、分包企业之间）</w:t>
      </w:r>
      <w:r>
        <w:rPr>
          <w:rFonts w:hint="eastAsia"/>
          <w:szCs w:val="24"/>
        </w:rPr>
        <w:t>，参加本项目同一合同项下的政府采购活动；</w:t>
      </w:r>
    </w:p>
    <w:p>
      <w:pPr>
        <w:numPr>
          <w:ilvl w:val="0"/>
          <w:numId w:val="73"/>
        </w:numPr>
        <w:tabs>
          <w:tab w:val="left" w:pos="0"/>
        </w:tabs>
        <w:wordWrap w:val="0"/>
        <w:spacing w:line="360" w:lineRule="auto"/>
        <w:ind w:left="709" w:hanging="227"/>
        <w:rPr>
          <w:szCs w:val="24"/>
        </w:rPr>
      </w:pPr>
      <w:r>
        <w:rPr>
          <w:rFonts w:hint="eastAsia"/>
          <w:szCs w:val="24"/>
        </w:rPr>
        <w:t>对上述声明内容的真实性负责。如有虚假，将依法承担相应责任。</w:t>
      </w:r>
    </w:p>
    <w:p>
      <w:pPr>
        <w:wordWrap w:val="0"/>
        <w:spacing w:before="100" w:beforeAutospacing="1" w:after="100" w:afterAutospacing="1" w:line="360" w:lineRule="auto"/>
        <w:ind w:left="2880" w:leftChars="1200" w:firstLine="436" w:firstLineChars="182"/>
        <w:rPr>
          <w:bCs/>
          <w:szCs w:val="21"/>
          <w:u w:val="single"/>
          <w:lang w:val="zh-CN"/>
        </w:rPr>
      </w:pPr>
      <w:r>
        <w:rPr>
          <w:rFonts w:hint="eastAsia"/>
          <w:bCs/>
          <w:szCs w:val="21"/>
          <w:lang w:val="zh-CN"/>
        </w:rPr>
        <w:t>投标人（公章）：</w:t>
      </w:r>
      <w:r>
        <w:rPr>
          <w:rFonts w:hint="eastAsia"/>
          <w:bCs/>
          <w:szCs w:val="21"/>
          <w:u w:val="single"/>
          <w:lang w:val="zh-CN"/>
        </w:rPr>
        <w:t xml:space="preserve">                                </w:t>
      </w:r>
    </w:p>
    <w:p>
      <w:pPr>
        <w:wordWrap w:val="0"/>
        <w:spacing w:before="100" w:beforeAutospacing="1" w:after="100" w:afterAutospacing="1" w:line="360" w:lineRule="auto"/>
        <w:ind w:left="2880" w:leftChars="1200" w:firstLine="436" w:firstLineChars="182"/>
        <w:rPr>
          <w:lang w:val="zh-CN"/>
        </w:rPr>
      </w:pPr>
      <w:r>
        <w:rPr>
          <w:rFonts w:hint="eastAsia"/>
          <w:szCs w:val="24"/>
        </w:rPr>
        <w:t>日   期：</w:t>
      </w:r>
      <w:r>
        <w:rPr>
          <w:rFonts w:hint="eastAsia"/>
          <w:bCs/>
          <w:szCs w:val="21"/>
          <w:u w:val="single"/>
          <w:lang w:val="zh-CN"/>
        </w:rPr>
        <w:t xml:space="preserve">                                     </w:t>
      </w:r>
    </w:p>
    <w:p>
      <w:pPr>
        <w:pStyle w:val="3"/>
        <w:numPr>
          <w:ilvl w:val="0"/>
          <w:numId w:val="70"/>
        </w:numPr>
        <w:tabs>
          <w:tab w:val="left" w:pos="567"/>
        </w:tabs>
        <w:spacing w:before="0" w:after="0" w:line="360" w:lineRule="auto"/>
        <w:jc w:val="left"/>
        <w:rPr>
          <w:rFonts w:ascii="宋体" w:hAnsi="宋体" w:eastAsia="宋体" w:cs="Times New Roman"/>
          <w:bCs w:val="0"/>
          <w:sz w:val="24"/>
          <w:szCs w:val="24"/>
        </w:rPr>
      </w:pPr>
      <w:bookmarkStart w:id="648" w:name="_Toc10801"/>
      <w:bookmarkStart w:id="649" w:name="_Toc7960"/>
      <w:bookmarkStart w:id="650" w:name="_Toc117244379"/>
      <w:bookmarkStart w:id="651" w:name="_Toc107561300"/>
      <w:bookmarkStart w:id="652" w:name="_Toc117244494"/>
      <w:r>
        <w:rPr>
          <w:rFonts w:hint="eastAsia" w:ascii="宋体" w:hAnsi="宋体" w:eastAsia="宋体" w:cs="Times New Roman"/>
          <w:bCs w:val="0"/>
          <w:sz w:val="24"/>
          <w:szCs w:val="24"/>
        </w:rPr>
        <w:t>未为本项目提供相关服务的声明函</w:t>
      </w:r>
      <w:bookmarkEnd w:id="648"/>
      <w:bookmarkEnd w:id="649"/>
      <w:bookmarkEnd w:id="650"/>
      <w:bookmarkEnd w:id="651"/>
      <w:bookmarkEnd w:id="652"/>
      <w:r>
        <w:rPr>
          <w:rFonts w:hint="eastAsia" w:ascii="宋体" w:hAnsi="宋体" w:eastAsia="宋体" w:cs="Times New Roman"/>
          <w:bCs w:val="0"/>
          <w:sz w:val="24"/>
          <w:szCs w:val="24"/>
        </w:rPr>
        <w:t xml:space="preserve"> </w:t>
      </w:r>
    </w:p>
    <w:p>
      <w:pPr>
        <w:wordWrap w:val="0"/>
        <w:spacing w:line="360" w:lineRule="auto"/>
        <w:ind w:firstLine="480" w:firstLineChars="200"/>
        <w:rPr>
          <w:bCs/>
          <w:szCs w:val="24"/>
        </w:rPr>
      </w:pPr>
      <w:r>
        <w:rPr>
          <w:rFonts w:hint="eastAsia"/>
          <w:bCs/>
          <w:szCs w:val="24"/>
        </w:rPr>
        <w:t>本公司参加贵中心组织的</w:t>
      </w:r>
      <w:r>
        <w:rPr>
          <w:rFonts w:hint="eastAsia"/>
          <w:bCs/>
          <w:szCs w:val="24"/>
          <w:u w:val="single"/>
        </w:rPr>
        <w:t xml:space="preserve"> </w:t>
      </w:r>
      <w:r>
        <w:rPr>
          <w:rFonts w:hint="eastAsia"/>
          <w:i/>
          <w:szCs w:val="24"/>
          <w:u w:val="single"/>
        </w:rPr>
        <w:t>（项目名称）</w:t>
      </w:r>
      <w:r>
        <w:rPr>
          <w:rFonts w:hint="eastAsia"/>
          <w:bCs/>
          <w:szCs w:val="24"/>
          <w:u w:val="single"/>
        </w:rPr>
        <w:t xml:space="preserve"> </w:t>
      </w:r>
      <w:r>
        <w:rPr>
          <w:rFonts w:hint="eastAsia"/>
          <w:bCs/>
          <w:szCs w:val="24"/>
        </w:rPr>
        <w:t>项目（项目编号：</w:t>
      </w:r>
      <w:r>
        <w:rPr>
          <w:rFonts w:hint="eastAsia"/>
          <w:bCs/>
          <w:szCs w:val="24"/>
          <w:u w:val="single"/>
        </w:rPr>
        <w:t xml:space="preserve">          </w:t>
      </w:r>
      <w:r>
        <w:rPr>
          <w:rFonts w:hint="eastAsia"/>
          <w:bCs/>
          <w:szCs w:val="24"/>
        </w:rPr>
        <w:t>）的政府采购活动，根据招标文件的规定提交相关资格证明文件。并郑重声明如下：</w:t>
      </w:r>
    </w:p>
    <w:p>
      <w:pPr>
        <w:numPr>
          <w:ilvl w:val="0"/>
          <w:numId w:val="74"/>
        </w:numPr>
        <w:tabs>
          <w:tab w:val="left" w:pos="0"/>
        </w:tabs>
        <w:wordWrap w:val="0"/>
        <w:spacing w:line="360" w:lineRule="auto"/>
        <w:ind w:left="709" w:hanging="227"/>
        <w:rPr>
          <w:bCs/>
          <w:szCs w:val="24"/>
        </w:rPr>
      </w:pPr>
      <w:r>
        <w:rPr>
          <w:rFonts w:hint="eastAsia"/>
          <w:bCs/>
          <w:szCs w:val="24"/>
        </w:rPr>
        <w:t>未为本</w:t>
      </w:r>
      <w:r>
        <w:rPr>
          <w:rFonts w:hint="eastAsia"/>
          <w:szCs w:val="24"/>
        </w:rPr>
        <w:t>采购</w:t>
      </w:r>
      <w:r>
        <w:rPr>
          <w:rFonts w:hint="eastAsia"/>
          <w:bCs/>
          <w:szCs w:val="24"/>
        </w:rPr>
        <w:t>项目提供整体设计、规范编制或者项目管理、监理、检测等服务；</w:t>
      </w:r>
    </w:p>
    <w:p>
      <w:pPr>
        <w:numPr>
          <w:ilvl w:val="0"/>
          <w:numId w:val="74"/>
        </w:numPr>
        <w:tabs>
          <w:tab w:val="left" w:pos="0"/>
        </w:tabs>
        <w:wordWrap w:val="0"/>
        <w:spacing w:line="360" w:lineRule="auto"/>
        <w:ind w:left="709" w:hanging="227"/>
        <w:rPr>
          <w:bCs/>
          <w:szCs w:val="24"/>
        </w:rPr>
      </w:pPr>
      <w:r>
        <w:rPr>
          <w:rFonts w:hint="eastAsia"/>
          <w:bCs/>
          <w:szCs w:val="24"/>
        </w:rPr>
        <w:t>对上述声明内容的真实性负责。如有虚假，将依法承担相应责任。</w:t>
      </w:r>
    </w:p>
    <w:p>
      <w:pPr>
        <w:wordWrap w:val="0"/>
        <w:spacing w:before="100" w:beforeAutospacing="1" w:after="100" w:afterAutospacing="1" w:line="360" w:lineRule="auto"/>
        <w:ind w:firstLine="3316" w:firstLineChars="1382"/>
        <w:rPr>
          <w:bCs/>
          <w:szCs w:val="21"/>
          <w:u w:val="single"/>
          <w:lang w:val="zh-CN"/>
        </w:rPr>
      </w:pPr>
      <w:r>
        <w:rPr>
          <w:rFonts w:hint="eastAsia"/>
          <w:bCs/>
          <w:szCs w:val="21"/>
          <w:lang w:val="zh-CN"/>
        </w:rPr>
        <w:t>投标人（公章）：</w:t>
      </w:r>
      <w:r>
        <w:rPr>
          <w:rFonts w:hint="eastAsia"/>
          <w:bCs/>
          <w:szCs w:val="21"/>
          <w:u w:val="single"/>
          <w:lang w:val="zh-CN"/>
        </w:rPr>
        <w:t xml:space="preserve">                                </w:t>
      </w:r>
    </w:p>
    <w:p>
      <w:pPr>
        <w:wordWrap w:val="0"/>
        <w:spacing w:before="100" w:beforeAutospacing="1" w:after="100" w:afterAutospacing="1" w:line="360" w:lineRule="auto"/>
        <w:ind w:firstLine="3316" w:firstLineChars="1382"/>
        <w:rPr>
          <w:bCs/>
          <w:szCs w:val="21"/>
          <w:u w:val="single"/>
          <w:lang w:val="zh-CN"/>
        </w:rPr>
      </w:pPr>
      <w:r>
        <w:rPr>
          <w:rFonts w:hint="eastAsia"/>
          <w:szCs w:val="24"/>
        </w:rPr>
        <w:t>日   期：</w:t>
      </w:r>
      <w:r>
        <w:rPr>
          <w:rFonts w:hint="eastAsia"/>
          <w:bCs/>
          <w:szCs w:val="21"/>
          <w:u w:val="single"/>
          <w:lang w:val="zh-CN"/>
        </w:rPr>
        <w:t xml:space="preserve">                                     </w:t>
      </w:r>
    </w:p>
    <w:p>
      <w:pPr>
        <w:pStyle w:val="3"/>
        <w:numPr>
          <w:ilvl w:val="0"/>
          <w:numId w:val="70"/>
        </w:numPr>
        <w:tabs>
          <w:tab w:val="left" w:pos="567"/>
        </w:tabs>
        <w:spacing w:before="0" w:after="0" w:line="360" w:lineRule="auto"/>
        <w:jc w:val="left"/>
        <w:rPr>
          <w:rFonts w:cs="Times New Roman" w:asciiTheme="majorEastAsia" w:hAnsiTheme="majorEastAsia"/>
          <w:bCs w:val="0"/>
          <w:sz w:val="28"/>
          <w:szCs w:val="28"/>
        </w:rPr>
      </w:pPr>
      <w:bookmarkStart w:id="653" w:name="_Toc107561301"/>
      <w:bookmarkStart w:id="654" w:name="_Toc27213"/>
      <w:bookmarkStart w:id="655" w:name="_Toc31177"/>
      <w:bookmarkStart w:id="656" w:name="_Toc117244495"/>
      <w:bookmarkStart w:id="657" w:name="_Toc117244380"/>
      <w:r>
        <w:rPr>
          <w:rFonts w:hint="eastAsia" w:ascii="宋体" w:hAnsi="宋体" w:eastAsia="宋体" w:cs="Times New Roman"/>
          <w:bCs w:val="0"/>
          <w:sz w:val="24"/>
          <w:szCs w:val="24"/>
        </w:rPr>
        <w:t>未被列入违法失信行为记录名单的声明函</w:t>
      </w:r>
      <w:bookmarkEnd w:id="653"/>
      <w:bookmarkEnd w:id="654"/>
      <w:bookmarkEnd w:id="655"/>
    </w:p>
    <w:p>
      <w:pPr>
        <w:wordWrap w:val="0"/>
        <w:spacing w:line="360" w:lineRule="auto"/>
        <w:ind w:firstLine="480" w:firstLineChars="200"/>
        <w:rPr>
          <w:rFonts w:ascii="楷体" w:hAnsi="楷体" w:eastAsia="楷体"/>
          <w:bCs/>
          <w:sz w:val="28"/>
          <w:szCs w:val="28"/>
        </w:rPr>
      </w:pPr>
      <w:r>
        <w:rPr>
          <w:rFonts w:hint="eastAsia" w:ascii="楷体" w:hAnsi="楷体" w:eastAsia="楷体"/>
          <w:szCs w:val="24"/>
        </w:rPr>
        <w:t>（可不再提供其它证明材料）</w:t>
      </w:r>
      <w:bookmarkEnd w:id="656"/>
      <w:bookmarkEnd w:id="657"/>
    </w:p>
    <w:p>
      <w:pPr>
        <w:wordWrap w:val="0"/>
        <w:spacing w:line="360" w:lineRule="auto"/>
        <w:ind w:firstLine="480" w:firstLineChars="200"/>
        <w:rPr>
          <w:bCs/>
          <w:szCs w:val="24"/>
        </w:rPr>
      </w:pPr>
      <w:r>
        <w:rPr>
          <w:rFonts w:hint="eastAsia"/>
          <w:bCs/>
          <w:szCs w:val="24"/>
        </w:rPr>
        <w:t>本公司参加贵中心组织的</w:t>
      </w:r>
      <w:r>
        <w:rPr>
          <w:rFonts w:hint="eastAsia"/>
          <w:bCs/>
          <w:szCs w:val="24"/>
          <w:u w:val="single"/>
        </w:rPr>
        <w:t xml:space="preserve"> </w:t>
      </w:r>
      <w:r>
        <w:rPr>
          <w:rFonts w:hint="eastAsia"/>
          <w:i/>
          <w:szCs w:val="24"/>
          <w:u w:val="single"/>
        </w:rPr>
        <w:t>（项目名称）</w:t>
      </w:r>
      <w:r>
        <w:rPr>
          <w:rFonts w:hint="eastAsia"/>
          <w:bCs/>
          <w:szCs w:val="24"/>
          <w:u w:val="single"/>
        </w:rPr>
        <w:t xml:space="preserve"> </w:t>
      </w:r>
      <w:r>
        <w:rPr>
          <w:rFonts w:hint="eastAsia"/>
          <w:bCs/>
          <w:szCs w:val="24"/>
        </w:rPr>
        <w:t>项目（项目编号：</w:t>
      </w:r>
      <w:r>
        <w:rPr>
          <w:rFonts w:hint="eastAsia"/>
          <w:bCs/>
          <w:szCs w:val="24"/>
          <w:u w:val="single"/>
        </w:rPr>
        <w:t xml:space="preserve">          </w:t>
      </w:r>
      <w:r>
        <w:rPr>
          <w:rFonts w:hint="eastAsia"/>
          <w:bCs/>
          <w:szCs w:val="24"/>
        </w:rPr>
        <w:t>）的政府采购活动，根据招标文件的规定提交相关资格证明文件。并郑重声明如下：</w:t>
      </w:r>
    </w:p>
    <w:p>
      <w:pPr>
        <w:numPr>
          <w:ilvl w:val="0"/>
          <w:numId w:val="75"/>
        </w:numPr>
        <w:tabs>
          <w:tab w:val="left" w:pos="0"/>
        </w:tabs>
        <w:wordWrap w:val="0"/>
        <w:spacing w:line="360" w:lineRule="auto"/>
        <w:ind w:left="709" w:hanging="227"/>
        <w:rPr>
          <w:szCs w:val="24"/>
        </w:rPr>
      </w:pPr>
      <w:r>
        <w:rPr>
          <w:rFonts w:hint="eastAsia"/>
          <w:szCs w:val="24"/>
        </w:rPr>
        <w:t>未被“信用中国”网站（www.creditchina.gov.cn） 、“中国政府采购网”（www.ccgp.gov.cn）列入失信被执行人、重大税收违法案件当事人名单、政府采购严重违法失信行为记录名单；</w:t>
      </w:r>
    </w:p>
    <w:p>
      <w:pPr>
        <w:numPr>
          <w:ilvl w:val="0"/>
          <w:numId w:val="75"/>
        </w:numPr>
        <w:tabs>
          <w:tab w:val="left" w:pos="0"/>
        </w:tabs>
        <w:wordWrap w:val="0"/>
        <w:spacing w:line="360" w:lineRule="auto"/>
        <w:ind w:left="709" w:hanging="227"/>
        <w:rPr>
          <w:szCs w:val="24"/>
        </w:rPr>
      </w:pPr>
      <w:r>
        <w:rPr>
          <w:rFonts w:hint="eastAsia"/>
          <w:szCs w:val="24"/>
        </w:rPr>
        <w:t>对上述声明内容的真实性负责。如有虚假，将依法承担相应责任。</w:t>
      </w:r>
    </w:p>
    <w:p>
      <w:pPr>
        <w:wordWrap w:val="0"/>
        <w:spacing w:before="100" w:beforeAutospacing="1" w:after="100" w:afterAutospacing="1" w:line="360" w:lineRule="auto"/>
        <w:ind w:firstLine="3316" w:firstLineChars="1382"/>
        <w:rPr>
          <w:bCs/>
          <w:szCs w:val="21"/>
          <w:u w:val="single"/>
          <w:lang w:val="zh-CN"/>
        </w:rPr>
      </w:pPr>
      <w:r>
        <w:rPr>
          <w:rFonts w:hint="eastAsia"/>
          <w:bCs/>
          <w:szCs w:val="21"/>
          <w:lang w:val="zh-CN"/>
        </w:rPr>
        <w:t>投标人（公章）：</w:t>
      </w:r>
      <w:r>
        <w:rPr>
          <w:rFonts w:hint="eastAsia"/>
          <w:bCs/>
          <w:szCs w:val="21"/>
          <w:u w:val="single"/>
          <w:lang w:val="zh-CN"/>
        </w:rPr>
        <w:t xml:space="preserve">                                </w:t>
      </w:r>
    </w:p>
    <w:p>
      <w:pPr>
        <w:wordWrap w:val="0"/>
        <w:spacing w:before="100" w:beforeAutospacing="1" w:after="100" w:afterAutospacing="1" w:line="360" w:lineRule="auto"/>
        <w:ind w:firstLine="3316" w:firstLineChars="1382"/>
        <w:rPr>
          <w:bCs/>
          <w:szCs w:val="21"/>
          <w:lang w:val="zh-CN"/>
        </w:rPr>
      </w:pPr>
      <w:r>
        <w:rPr>
          <w:rFonts w:hint="eastAsia"/>
          <w:szCs w:val="24"/>
        </w:rPr>
        <w:t>日   期：</w:t>
      </w:r>
      <w:r>
        <w:rPr>
          <w:rFonts w:hint="eastAsia"/>
          <w:bCs/>
          <w:szCs w:val="21"/>
          <w:u w:val="single"/>
          <w:lang w:val="zh-CN"/>
        </w:rPr>
        <w:t xml:space="preserve">             </w:t>
      </w:r>
      <w:r>
        <w:rPr>
          <w:bCs/>
          <w:szCs w:val="21"/>
          <w:u w:val="single"/>
          <w:lang w:val="zh-CN"/>
        </w:rPr>
        <w:br w:type="page"/>
      </w:r>
    </w:p>
    <w:p>
      <w:pPr>
        <w:pStyle w:val="3"/>
        <w:numPr>
          <w:ilvl w:val="0"/>
          <w:numId w:val="70"/>
        </w:numPr>
        <w:tabs>
          <w:tab w:val="left" w:pos="567"/>
        </w:tabs>
        <w:spacing w:before="0" w:after="0" w:line="360" w:lineRule="auto"/>
        <w:jc w:val="left"/>
        <w:rPr>
          <w:rFonts w:ascii="宋体" w:hAnsi="宋体" w:eastAsia="宋体" w:cs="Times New Roman"/>
          <w:bCs w:val="0"/>
          <w:sz w:val="28"/>
          <w:szCs w:val="28"/>
        </w:rPr>
      </w:pPr>
      <w:bookmarkStart w:id="658" w:name="_Toc107561302"/>
      <w:r>
        <w:rPr>
          <w:rFonts w:hint="eastAsia" w:ascii="宋体" w:hAnsi="宋体" w:eastAsia="宋体" w:cs="Times New Roman"/>
          <w:bCs w:val="0"/>
          <w:sz w:val="24"/>
          <w:szCs w:val="24"/>
        </w:rPr>
        <w:tab/>
      </w:r>
      <w:bookmarkStart w:id="659" w:name="_Toc20331"/>
      <w:bookmarkStart w:id="660" w:name="_Toc6846"/>
      <w:bookmarkStart w:id="661" w:name="_Toc117244496"/>
      <w:bookmarkStart w:id="662" w:name="_Toc117244381"/>
      <w:r>
        <w:rPr>
          <w:rFonts w:hint="eastAsia" w:ascii="宋体" w:hAnsi="宋体" w:eastAsia="宋体" w:cs="Times New Roman"/>
          <w:bCs w:val="0"/>
          <w:sz w:val="24"/>
          <w:szCs w:val="24"/>
        </w:rPr>
        <w:t>落实政府采购政策应提供的资料</w:t>
      </w:r>
      <w:bookmarkEnd w:id="659"/>
      <w:bookmarkEnd w:id="660"/>
    </w:p>
    <w:p>
      <w:pPr>
        <w:pStyle w:val="27"/>
        <w:wordWrap w:val="0"/>
        <w:adjustRightInd w:val="0"/>
        <w:snapToGrid w:val="0"/>
        <w:spacing w:before="0" w:beforeAutospacing="0" w:after="0" w:afterAutospacing="0" w:line="360" w:lineRule="auto"/>
        <w:ind w:firstLine="480"/>
        <w:rPr>
          <w:rFonts w:ascii="楷体" w:hAnsi="楷体" w:eastAsia="楷体" w:cs="Times New Roman"/>
          <w:bCs/>
        </w:rPr>
      </w:pPr>
      <w:r>
        <w:rPr>
          <w:rFonts w:hint="eastAsia" w:ascii="楷体" w:hAnsi="楷体" w:eastAsia="楷体" w:cs="Times New Roman"/>
        </w:rPr>
        <w:t>（若有，根据项目要求提供）</w:t>
      </w:r>
      <w:bookmarkEnd w:id="661"/>
      <w:bookmarkEnd w:id="662"/>
    </w:p>
    <w:p>
      <w:pPr>
        <w:pStyle w:val="4"/>
        <w:numPr>
          <w:ilvl w:val="0"/>
          <w:numId w:val="76"/>
        </w:numPr>
        <w:adjustRightInd w:val="0"/>
        <w:snapToGrid w:val="0"/>
        <w:spacing w:before="0" w:after="0" w:line="360" w:lineRule="auto"/>
        <w:ind w:left="569" w:hanging="569" w:hangingChars="236"/>
        <w:rPr>
          <w:bCs w:val="0"/>
          <w:sz w:val="24"/>
          <w:szCs w:val="24"/>
        </w:rPr>
      </w:pPr>
      <w:r>
        <w:rPr>
          <w:bCs w:val="0"/>
          <w:sz w:val="24"/>
          <w:szCs w:val="24"/>
        </w:rPr>
        <w:t>联合协议书</w:t>
      </w:r>
      <w:bookmarkEnd w:id="658"/>
    </w:p>
    <w:p>
      <w:pPr>
        <w:pStyle w:val="27"/>
        <w:wordWrap w:val="0"/>
        <w:adjustRightInd w:val="0"/>
        <w:snapToGrid w:val="0"/>
        <w:spacing w:before="0" w:beforeAutospacing="0" w:after="0" w:afterAutospacing="0" w:line="360" w:lineRule="auto"/>
        <w:ind w:firstLine="480"/>
        <w:rPr>
          <w:rFonts w:ascii="楷体" w:hAnsi="楷体" w:eastAsia="楷体"/>
          <w:bCs/>
        </w:rPr>
      </w:pPr>
      <w:r>
        <w:rPr>
          <w:rFonts w:hint="eastAsia" w:ascii="楷体" w:hAnsi="楷体" w:eastAsia="楷体"/>
        </w:rPr>
        <w:t>（</w:t>
      </w:r>
      <w:r>
        <w:rPr>
          <w:rFonts w:hint="eastAsia" w:ascii="楷体" w:hAnsi="楷体" w:eastAsia="楷体" w:cs="Tahoma"/>
        </w:rPr>
        <w:t>联合体</w:t>
      </w:r>
      <w:r>
        <w:rPr>
          <w:rFonts w:hint="eastAsia" w:ascii="楷体" w:hAnsi="楷体" w:eastAsia="楷体"/>
        </w:rPr>
        <w:t>投标时应提供，非联合体不用提供）</w:t>
      </w:r>
    </w:p>
    <w:p>
      <w:pPr>
        <w:pStyle w:val="27"/>
        <w:wordWrap w:val="0"/>
        <w:adjustRightInd w:val="0"/>
        <w:snapToGrid w:val="0"/>
        <w:spacing w:before="0" w:beforeAutospacing="0" w:after="0" w:afterAutospacing="0" w:line="360" w:lineRule="auto"/>
        <w:rPr>
          <w:rFonts w:cs="Tahoma"/>
        </w:rPr>
      </w:pPr>
      <w:r>
        <w:rPr>
          <w:rFonts w:hint="eastAsia" w:cs="Tahoma"/>
          <w:u w:val="single"/>
        </w:rPr>
        <w:t xml:space="preserve">    </w:t>
      </w:r>
      <w:r>
        <w:rPr>
          <w:rFonts w:hint="eastAsia" w:cs="Tahoma"/>
          <w:i/>
          <w:u w:val="single"/>
        </w:rPr>
        <w:t>（甲公司名称）</w:t>
      </w:r>
      <w:r>
        <w:rPr>
          <w:rFonts w:hint="eastAsia" w:cs="Tahoma"/>
          <w:u w:val="single"/>
        </w:rPr>
        <w:t xml:space="preserve">    </w:t>
      </w:r>
      <w:r>
        <w:rPr>
          <w:rFonts w:hint="eastAsia" w:cs="Tahoma"/>
        </w:rPr>
        <w:t>（以下简称甲方）</w:t>
      </w:r>
    </w:p>
    <w:p>
      <w:pPr>
        <w:pStyle w:val="27"/>
        <w:wordWrap w:val="0"/>
        <w:adjustRightInd w:val="0"/>
        <w:snapToGrid w:val="0"/>
        <w:spacing w:before="0" w:beforeAutospacing="0" w:after="0" w:afterAutospacing="0" w:line="360" w:lineRule="auto"/>
        <w:rPr>
          <w:rFonts w:cs="Tahoma"/>
        </w:rPr>
      </w:pPr>
      <w:r>
        <w:rPr>
          <w:rFonts w:hint="eastAsia" w:cs="Tahoma"/>
          <w:u w:val="single"/>
        </w:rPr>
        <w:t xml:space="preserve">    </w:t>
      </w:r>
      <w:r>
        <w:rPr>
          <w:rFonts w:hint="eastAsia" w:cs="Tahoma"/>
          <w:i/>
          <w:u w:val="single"/>
        </w:rPr>
        <w:t>（乙公司名称）</w:t>
      </w:r>
      <w:r>
        <w:rPr>
          <w:rFonts w:hint="eastAsia" w:cs="Tahoma"/>
          <w:u w:val="single"/>
        </w:rPr>
        <w:t xml:space="preserve">    </w:t>
      </w:r>
      <w:r>
        <w:rPr>
          <w:rFonts w:hint="eastAsia" w:cs="Tahoma"/>
        </w:rPr>
        <w:t>（以下简称乙方）</w:t>
      </w:r>
    </w:p>
    <w:p>
      <w:pPr>
        <w:pStyle w:val="27"/>
        <w:wordWrap w:val="0"/>
        <w:adjustRightInd w:val="0"/>
        <w:snapToGrid w:val="0"/>
        <w:spacing w:before="0" w:beforeAutospacing="0" w:after="0" w:afterAutospacing="0" w:line="360" w:lineRule="auto"/>
        <w:ind w:firstLine="480"/>
        <w:rPr>
          <w:rFonts w:cs="Tahoma"/>
        </w:rPr>
      </w:pPr>
      <w:r>
        <w:rPr>
          <w:rFonts w:hint="eastAsia" w:cs="Tahoma"/>
        </w:rPr>
        <w:t>……</w:t>
      </w:r>
      <w:r>
        <w:rPr>
          <w:rFonts w:hint="eastAsia" w:ascii="楷体" w:hAnsi="楷体" w:eastAsia="楷体" w:cs="Tahoma"/>
        </w:rPr>
        <w:t>（多家企业的以甲、乙、丙、丁……描述）</w:t>
      </w:r>
    </w:p>
    <w:p>
      <w:pPr>
        <w:pStyle w:val="27"/>
        <w:wordWrap w:val="0"/>
        <w:adjustRightInd w:val="0"/>
        <w:snapToGrid w:val="0"/>
        <w:spacing w:before="0" w:beforeAutospacing="0" w:after="0" w:afterAutospacing="0" w:line="360" w:lineRule="auto"/>
        <w:ind w:firstLine="480"/>
        <w:rPr>
          <w:rFonts w:cs="Tahoma"/>
        </w:rPr>
      </w:pPr>
      <w:r>
        <w:rPr>
          <w:rFonts w:hint="eastAsia" w:cs="Tahoma"/>
        </w:rPr>
        <w:t>以上各方</w:t>
      </w:r>
      <w:r>
        <w:rPr>
          <w:rFonts w:cs="Tahoma"/>
        </w:rPr>
        <w:t>自愿组成联合体，参加</w:t>
      </w:r>
      <w:r>
        <w:rPr>
          <w:rFonts w:hint="eastAsia" w:cs="Tahoma"/>
          <w:u w:val="single"/>
        </w:rPr>
        <w:t xml:space="preserve">  </w:t>
      </w:r>
      <w:r>
        <w:rPr>
          <w:rFonts w:hint="eastAsia" w:cs="Tahoma"/>
          <w:i/>
          <w:u w:val="single"/>
        </w:rPr>
        <w:t>（项目名称）</w:t>
      </w:r>
      <w:r>
        <w:rPr>
          <w:rFonts w:hint="eastAsia" w:cs="Tahoma"/>
          <w:u w:val="single"/>
        </w:rPr>
        <w:t xml:space="preserve">  </w:t>
      </w:r>
      <w:r>
        <w:rPr>
          <w:rFonts w:hint="eastAsia" w:cs="Tahoma"/>
        </w:rPr>
        <w:t>的</w:t>
      </w:r>
      <w:r>
        <w:rPr>
          <w:rFonts w:cs="Tahoma"/>
        </w:rPr>
        <w:t>投标</w:t>
      </w:r>
      <w:r>
        <w:rPr>
          <w:rFonts w:hint="eastAsia" w:cs="Tahoma"/>
        </w:rPr>
        <w:t>，不再单独参加或者与其他投标人另外组成联合体参加本项目的采购活动。</w:t>
      </w:r>
      <w:r>
        <w:rPr>
          <w:rFonts w:cs="Tahoma"/>
        </w:rPr>
        <w:t>现就有关事宜订立协议如下：</w:t>
      </w:r>
    </w:p>
    <w:p>
      <w:pPr>
        <w:pStyle w:val="27"/>
        <w:wordWrap w:val="0"/>
        <w:adjustRightInd w:val="0"/>
        <w:snapToGrid w:val="0"/>
        <w:spacing w:before="0" w:beforeAutospacing="0" w:after="0" w:afterAutospacing="0" w:line="360" w:lineRule="auto"/>
        <w:ind w:firstLine="480"/>
        <w:rPr>
          <w:rFonts w:cs="Tahoma"/>
        </w:rPr>
      </w:pPr>
      <w:r>
        <w:rPr>
          <w:rFonts w:hint="eastAsia" w:cs="Tahoma"/>
        </w:rPr>
        <w:t>1.</w:t>
      </w:r>
      <w:r>
        <w:rPr>
          <w:rFonts w:hint="eastAsia" w:cs="Tahoma"/>
          <w:u w:val="single"/>
        </w:rPr>
        <w:t xml:space="preserve"> </w:t>
      </w:r>
      <w:r>
        <w:rPr>
          <w:rFonts w:hint="eastAsia" w:cs="Tahoma"/>
          <w:i/>
          <w:u w:val="single"/>
        </w:rPr>
        <w:t>（甲方）</w:t>
      </w:r>
      <w:r>
        <w:rPr>
          <w:rFonts w:hint="eastAsia" w:cs="Tahoma"/>
          <w:u w:val="single"/>
        </w:rPr>
        <w:t xml:space="preserve"> </w:t>
      </w:r>
      <w:r>
        <w:rPr>
          <w:rFonts w:cs="Tahoma"/>
        </w:rPr>
        <w:t>为联合体</w:t>
      </w:r>
      <w:r>
        <w:rPr>
          <w:rFonts w:hint="eastAsia" w:cs="Tahoma"/>
        </w:rPr>
        <w:t>主体，其它各方为联合体成员。</w:t>
      </w:r>
    </w:p>
    <w:p>
      <w:pPr>
        <w:pStyle w:val="27"/>
        <w:wordWrap w:val="0"/>
        <w:adjustRightInd w:val="0"/>
        <w:snapToGrid w:val="0"/>
        <w:spacing w:before="0" w:beforeAutospacing="0" w:after="0" w:afterAutospacing="0" w:line="360" w:lineRule="auto"/>
        <w:ind w:firstLine="480"/>
        <w:rPr>
          <w:rFonts w:cs="Tahoma"/>
        </w:rPr>
      </w:pPr>
      <w:r>
        <w:rPr>
          <w:rFonts w:hint="eastAsia" w:cs="Tahoma"/>
        </w:rPr>
        <w:t>2.</w:t>
      </w:r>
      <w:r>
        <w:rPr>
          <w:rFonts w:cs="Tahoma"/>
        </w:rPr>
        <w:t>联合体将严格按照</w:t>
      </w:r>
      <w:r>
        <w:fldChar w:fldCharType="begin"/>
      </w:r>
      <w:r>
        <w:instrText xml:space="preserve"> HYPERLINK "https://www.66law.cn/special/zb/" \t "_blank" \o "招标" </w:instrText>
      </w:r>
      <w:r>
        <w:fldChar w:fldCharType="separate"/>
      </w:r>
      <w:r>
        <w:rPr>
          <w:rStyle w:val="34"/>
          <w:rFonts w:cs="Tahoma"/>
          <w:color w:val="auto"/>
        </w:rPr>
        <w:t>招标</w:t>
      </w:r>
      <w:r>
        <w:rPr>
          <w:rStyle w:val="34"/>
          <w:rFonts w:cs="Tahoma"/>
          <w:color w:val="auto"/>
        </w:rPr>
        <w:fldChar w:fldCharType="end"/>
      </w:r>
      <w:r>
        <w:rPr>
          <w:rFonts w:cs="Tahoma"/>
        </w:rPr>
        <w:t>文件的各项要求办理投标事宜，投标文件中的所有承诺均代表了联合体各成员</w:t>
      </w:r>
      <w:r>
        <w:rPr>
          <w:rFonts w:hint="eastAsia" w:cs="Tahoma"/>
        </w:rPr>
        <w:t>，联合体各成员共同承担相应的法律责任</w:t>
      </w:r>
      <w:r>
        <w:rPr>
          <w:rFonts w:cs="Tahoma"/>
        </w:rPr>
        <w:t>。</w:t>
      </w:r>
    </w:p>
    <w:p>
      <w:pPr>
        <w:pStyle w:val="27"/>
        <w:wordWrap w:val="0"/>
        <w:adjustRightInd w:val="0"/>
        <w:snapToGrid w:val="0"/>
        <w:spacing w:before="0" w:beforeAutospacing="0" w:after="0" w:afterAutospacing="0" w:line="360" w:lineRule="auto"/>
        <w:ind w:firstLine="480"/>
        <w:rPr>
          <w:rFonts w:cs="Tahoma"/>
        </w:rPr>
      </w:pPr>
      <w:r>
        <w:rPr>
          <w:rFonts w:hint="eastAsia" w:cs="Tahoma"/>
        </w:rPr>
        <w:t>3.</w:t>
      </w:r>
      <w:r>
        <w:rPr>
          <w:rFonts w:cs="Tahoma"/>
        </w:rPr>
        <w:t>联合体分工：</w:t>
      </w:r>
      <w:r>
        <w:rPr>
          <w:rFonts w:hint="eastAsia" w:cs="Tahoma"/>
        </w:rPr>
        <w:t xml:space="preserve"> </w:t>
      </w:r>
    </w:p>
    <w:p>
      <w:pPr>
        <w:pStyle w:val="27"/>
        <w:wordWrap w:val="0"/>
        <w:adjustRightInd w:val="0"/>
        <w:snapToGrid w:val="0"/>
        <w:spacing w:before="0" w:beforeAutospacing="0" w:after="0" w:afterAutospacing="0" w:line="360" w:lineRule="auto"/>
        <w:ind w:firstLine="480"/>
        <w:rPr>
          <w:rFonts w:cs="Tahoma"/>
        </w:rPr>
      </w:pPr>
      <w:r>
        <w:rPr>
          <w:rFonts w:hint="eastAsia" w:cs="Tahoma"/>
          <w:u w:val="single"/>
        </w:rPr>
        <w:t>（</w:t>
      </w:r>
      <w:r>
        <w:rPr>
          <w:rFonts w:hint="eastAsia" w:cs="Tahoma"/>
          <w:i/>
          <w:u w:val="single"/>
        </w:rPr>
        <w:t>甲方</w:t>
      </w:r>
      <w:r>
        <w:rPr>
          <w:rFonts w:hint="eastAsia" w:cs="Tahoma"/>
          <w:u w:val="single"/>
        </w:rPr>
        <w:t xml:space="preserve">） </w:t>
      </w:r>
      <w:r>
        <w:rPr>
          <w:rFonts w:hint="eastAsia" w:cs="Tahoma"/>
        </w:rPr>
        <w:t>承担项目采购合同金额的</w:t>
      </w:r>
      <w:r>
        <w:rPr>
          <w:rFonts w:hint="eastAsia" w:cs="Tahoma"/>
          <w:u w:val="single"/>
        </w:rPr>
        <w:t xml:space="preserve">     %</w:t>
      </w:r>
      <w:r>
        <w:rPr>
          <w:rFonts w:hint="eastAsia" w:cs="Tahoma"/>
        </w:rPr>
        <w:t>，</w:t>
      </w:r>
      <w:r>
        <w:rPr>
          <w:rFonts w:cs="Tahoma"/>
        </w:rPr>
        <w:t>负责</w:t>
      </w:r>
      <w:r>
        <w:rPr>
          <w:rFonts w:hint="eastAsia" w:cs="Tahoma"/>
        </w:rPr>
        <w:t>的工作为：</w:t>
      </w:r>
      <w:r>
        <w:rPr>
          <w:rFonts w:hint="eastAsia" w:cs="Tahoma"/>
          <w:i/>
          <w:u w:val="single"/>
        </w:rPr>
        <w:t xml:space="preserve">                     </w:t>
      </w:r>
      <w:r>
        <w:rPr>
          <w:rFonts w:hint="eastAsia" w:cs="Tahoma"/>
        </w:rPr>
        <w:t>；</w:t>
      </w:r>
    </w:p>
    <w:p>
      <w:pPr>
        <w:pStyle w:val="27"/>
        <w:wordWrap w:val="0"/>
        <w:adjustRightInd w:val="0"/>
        <w:snapToGrid w:val="0"/>
        <w:spacing w:before="0" w:beforeAutospacing="0" w:after="0" w:afterAutospacing="0" w:line="360" w:lineRule="auto"/>
        <w:ind w:firstLine="480"/>
        <w:rPr>
          <w:rFonts w:cs="Tahoma"/>
        </w:rPr>
      </w:pPr>
      <w:r>
        <w:rPr>
          <w:rFonts w:hint="eastAsia" w:cs="Tahoma"/>
          <w:i/>
          <w:u w:val="single"/>
        </w:rPr>
        <w:t>（乙方）</w:t>
      </w:r>
      <w:r>
        <w:rPr>
          <w:rFonts w:hint="eastAsia" w:cs="Tahoma"/>
          <w:u w:val="single"/>
        </w:rPr>
        <w:t xml:space="preserve"> </w:t>
      </w:r>
      <w:r>
        <w:rPr>
          <w:rFonts w:hint="eastAsia" w:cs="Tahoma"/>
        </w:rPr>
        <w:t>承担项目采购合同金额的</w:t>
      </w:r>
      <w:r>
        <w:rPr>
          <w:rFonts w:hint="eastAsia" w:cs="Tahoma"/>
          <w:u w:val="single"/>
        </w:rPr>
        <w:t xml:space="preserve">     %</w:t>
      </w:r>
      <w:r>
        <w:rPr>
          <w:rFonts w:hint="eastAsia" w:cs="Tahoma"/>
        </w:rPr>
        <w:t>，负责的工作为：</w:t>
      </w:r>
      <w:r>
        <w:rPr>
          <w:rFonts w:hint="eastAsia" w:cs="Tahoma"/>
          <w:u w:val="single"/>
        </w:rPr>
        <w:t xml:space="preserve">                     </w:t>
      </w:r>
      <w:r>
        <w:rPr>
          <w:rFonts w:hint="eastAsia" w:cs="Tahoma"/>
        </w:rPr>
        <w:t>；</w:t>
      </w:r>
    </w:p>
    <w:p>
      <w:pPr>
        <w:pStyle w:val="27"/>
        <w:wordWrap w:val="0"/>
        <w:adjustRightInd w:val="0"/>
        <w:snapToGrid w:val="0"/>
        <w:spacing w:before="0" w:beforeAutospacing="0" w:after="0" w:afterAutospacing="0" w:line="360" w:lineRule="auto"/>
        <w:ind w:firstLine="480"/>
        <w:rPr>
          <w:rFonts w:cs="Tahoma"/>
        </w:rPr>
      </w:pPr>
      <w:r>
        <w:rPr>
          <w:rFonts w:hint="eastAsia" w:cs="Tahoma"/>
        </w:rPr>
        <w:t>……</w:t>
      </w:r>
    </w:p>
    <w:p>
      <w:pPr>
        <w:pStyle w:val="27"/>
        <w:wordWrap w:val="0"/>
        <w:adjustRightInd w:val="0"/>
        <w:snapToGrid w:val="0"/>
        <w:spacing w:before="0" w:beforeAutospacing="0" w:after="0" w:afterAutospacing="0" w:line="360" w:lineRule="auto"/>
        <w:ind w:firstLine="480"/>
        <w:rPr>
          <w:rFonts w:cs="Tahoma"/>
        </w:rPr>
      </w:pPr>
      <w:r>
        <w:rPr>
          <w:rFonts w:hint="eastAsia" w:cs="Tahoma"/>
        </w:rPr>
        <w:t>4.若</w:t>
      </w:r>
      <w:r>
        <w:rPr>
          <w:rFonts w:cs="Tahoma"/>
        </w:rPr>
        <w:t>中标，联合体成员共同与</w:t>
      </w:r>
      <w:r>
        <w:rPr>
          <w:rFonts w:hint="eastAsia" w:cs="Tahoma"/>
        </w:rPr>
        <w:t>采购人</w:t>
      </w:r>
      <w:r>
        <w:rPr>
          <w:rFonts w:cs="Tahoma"/>
        </w:rPr>
        <w:t>签订</w:t>
      </w:r>
      <w:r>
        <w:rPr>
          <w:rFonts w:hint="eastAsia" w:cs="Tahoma"/>
        </w:rPr>
        <w:t>采购合同（本协议应作为采购合同的组成部分）</w:t>
      </w:r>
      <w:r>
        <w:rPr>
          <w:rFonts w:cs="Tahoma"/>
        </w:rPr>
        <w:t>，</w:t>
      </w:r>
      <w:r>
        <w:rPr>
          <w:rFonts w:hint="eastAsia" w:cs="Tahoma"/>
        </w:rPr>
        <w:t>就采购合同约定的事项对采购人承担连带责任，联合体主体负主要责任。</w:t>
      </w:r>
    </w:p>
    <w:p>
      <w:pPr>
        <w:pStyle w:val="27"/>
        <w:wordWrap w:val="0"/>
        <w:adjustRightInd w:val="0"/>
        <w:snapToGrid w:val="0"/>
        <w:spacing w:before="0" w:beforeAutospacing="0" w:after="0" w:afterAutospacing="0" w:line="360" w:lineRule="auto"/>
        <w:ind w:firstLine="480"/>
        <w:rPr>
          <w:rFonts w:cs="Tahoma"/>
        </w:rPr>
      </w:pPr>
      <w:r>
        <w:rPr>
          <w:rFonts w:hint="eastAsia" w:cs="Tahoma"/>
        </w:rPr>
        <w:t>5.其他：</w:t>
      </w:r>
      <w:r>
        <w:rPr>
          <w:rFonts w:cs="Tahoma"/>
        </w:rPr>
        <w:t>……</w:t>
      </w:r>
    </w:p>
    <w:p>
      <w:pPr>
        <w:pStyle w:val="27"/>
        <w:wordWrap w:val="0"/>
        <w:adjustRightInd w:val="0"/>
        <w:snapToGrid w:val="0"/>
        <w:spacing w:before="0" w:beforeAutospacing="0" w:after="0" w:afterAutospacing="0" w:line="360" w:lineRule="auto"/>
        <w:ind w:firstLine="480"/>
        <w:rPr>
          <w:rFonts w:cs="Tahoma"/>
        </w:rPr>
      </w:pPr>
      <w:r>
        <w:rPr>
          <w:rFonts w:hint="eastAsia" w:cs="Tahoma"/>
        </w:rPr>
        <w:t>6.本协议书自签署之日起生效，若未中标，自本次投标有效期结束后自行失效；若中标，自合同书规定的期限之后自行失效。</w:t>
      </w:r>
    </w:p>
    <w:p>
      <w:pPr>
        <w:pStyle w:val="27"/>
        <w:wordWrap w:val="0"/>
        <w:adjustRightInd w:val="0"/>
        <w:snapToGrid w:val="0"/>
        <w:spacing w:before="0" w:beforeAutospacing="0" w:after="0" w:afterAutospacing="0" w:line="360" w:lineRule="auto"/>
        <w:ind w:left="274" w:leftChars="114" w:firstLine="240" w:firstLineChars="100"/>
        <w:rPr>
          <w:rFonts w:cs="Tahoma"/>
        </w:rPr>
      </w:pPr>
      <w:r>
        <w:rPr>
          <w:rFonts w:hint="eastAsia" w:cs="Tahoma"/>
        </w:rPr>
        <w:t>7.</w:t>
      </w:r>
      <w:r>
        <w:rPr>
          <w:rFonts w:cs="Tahoma"/>
        </w:rPr>
        <w:t>本协议书正本一式</w:t>
      </w:r>
      <w:r>
        <w:rPr>
          <w:rFonts w:hint="eastAsia" w:cs="Tahoma"/>
          <w:u w:val="single"/>
        </w:rPr>
        <w:t xml:space="preserve">    </w:t>
      </w:r>
      <w:r>
        <w:rPr>
          <w:rFonts w:cs="Tahoma"/>
        </w:rPr>
        <w:t>份，联合体成员各</w:t>
      </w:r>
      <w:r>
        <w:rPr>
          <w:rFonts w:hint="eastAsia" w:cs="Tahoma"/>
        </w:rPr>
        <w:t>执</w:t>
      </w:r>
      <w:r>
        <w:rPr>
          <w:rFonts w:hint="eastAsia" w:cs="Tahoma"/>
          <w:u w:val="single"/>
        </w:rPr>
        <w:t xml:space="preserve">    </w:t>
      </w:r>
      <w:r>
        <w:rPr>
          <w:rFonts w:cs="Tahoma"/>
        </w:rPr>
        <w:t>份；副本一式</w:t>
      </w:r>
      <w:r>
        <w:rPr>
          <w:rFonts w:hint="eastAsia" w:cs="Tahoma"/>
          <w:u w:val="single"/>
        </w:rPr>
        <w:t xml:space="preserve">    </w:t>
      </w:r>
      <w:r>
        <w:rPr>
          <w:rFonts w:cs="Tahoma"/>
        </w:rPr>
        <w:t>份，联合体成员各执</w:t>
      </w:r>
      <w:r>
        <w:rPr>
          <w:rFonts w:hint="eastAsia" w:cs="Tahoma"/>
          <w:u w:val="single"/>
        </w:rPr>
        <w:t xml:space="preserve">     </w:t>
      </w:r>
      <w:r>
        <w:rPr>
          <w:rFonts w:cs="Tahoma"/>
        </w:rPr>
        <w:t>份。</w:t>
      </w:r>
    </w:p>
    <w:p>
      <w:pPr>
        <w:pStyle w:val="27"/>
        <w:wordWrap w:val="0"/>
        <w:adjustRightInd w:val="0"/>
        <w:snapToGrid w:val="0"/>
        <w:spacing w:before="0" w:beforeAutospacing="0" w:after="0" w:afterAutospacing="0" w:line="360" w:lineRule="auto"/>
        <w:ind w:firstLine="3600" w:firstLineChars="1500"/>
        <w:rPr>
          <w:rFonts w:cs="Tahoma"/>
        </w:rPr>
      </w:pPr>
      <w:r>
        <w:rPr>
          <w:rFonts w:hint="eastAsia" w:cs="Tahoma"/>
        </w:rPr>
        <w:t>甲  方（公章）：</w:t>
      </w:r>
      <w:r>
        <w:rPr>
          <w:rFonts w:hint="eastAsia" w:cs="Tahoma"/>
          <w:u w:val="single"/>
        </w:rPr>
        <w:t xml:space="preserve">                             </w:t>
      </w:r>
    </w:p>
    <w:p>
      <w:pPr>
        <w:pStyle w:val="27"/>
        <w:wordWrap w:val="0"/>
        <w:adjustRightInd w:val="0"/>
        <w:snapToGrid w:val="0"/>
        <w:spacing w:before="0" w:beforeAutospacing="0" w:after="0" w:afterAutospacing="0" w:line="360" w:lineRule="auto"/>
        <w:ind w:firstLine="3600" w:firstLineChars="1500"/>
        <w:rPr>
          <w:rFonts w:cs="Tahoma"/>
        </w:rPr>
      </w:pPr>
      <w:r>
        <w:rPr>
          <w:rFonts w:hint="eastAsia" w:cs="Tahoma"/>
        </w:rPr>
        <w:t>法定代表人（签字或签章）：</w:t>
      </w:r>
      <w:r>
        <w:rPr>
          <w:rFonts w:hint="eastAsia" w:cs="Tahoma"/>
          <w:u w:val="single"/>
        </w:rPr>
        <w:t xml:space="preserve">                   </w:t>
      </w:r>
    </w:p>
    <w:p>
      <w:pPr>
        <w:pStyle w:val="27"/>
        <w:wordWrap w:val="0"/>
        <w:adjustRightInd w:val="0"/>
        <w:snapToGrid w:val="0"/>
        <w:spacing w:before="0" w:beforeAutospacing="0" w:after="0" w:afterAutospacing="0" w:line="360" w:lineRule="auto"/>
        <w:ind w:firstLine="3600" w:firstLineChars="1500"/>
        <w:rPr>
          <w:rFonts w:cs="Tahoma"/>
        </w:rPr>
      </w:pPr>
      <w:r>
        <w:rPr>
          <w:rFonts w:hint="eastAsia" w:cs="Tahoma"/>
        </w:rPr>
        <w:t>乙  方（公章）：</w:t>
      </w:r>
      <w:r>
        <w:rPr>
          <w:rFonts w:hint="eastAsia" w:cs="Tahoma"/>
          <w:u w:val="single"/>
        </w:rPr>
        <w:t xml:space="preserve">                             </w:t>
      </w:r>
    </w:p>
    <w:p>
      <w:pPr>
        <w:pStyle w:val="27"/>
        <w:wordWrap w:val="0"/>
        <w:adjustRightInd w:val="0"/>
        <w:snapToGrid w:val="0"/>
        <w:spacing w:before="0" w:beforeAutospacing="0" w:after="0" w:afterAutospacing="0" w:line="360" w:lineRule="auto"/>
        <w:ind w:firstLine="3600" w:firstLineChars="1500"/>
        <w:rPr>
          <w:rFonts w:cs="Tahoma"/>
        </w:rPr>
      </w:pPr>
      <w:r>
        <w:rPr>
          <w:rFonts w:hint="eastAsia" w:cs="Tahoma"/>
        </w:rPr>
        <w:t>法定代表人（签字或签章）：</w:t>
      </w:r>
      <w:r>
        <w:rPr>
          <w:rFonts w:hint="eastAsia" w:cs="Tahoma"/>
          <w:u w:val="single"/>
        </w:rPr>
        <w:t xml:space="preserve">                   </w:t>
      </w:r>
      <w:r>
        <w:rPr>
          <w:rFonts w:hint="eastAsia" w:cs="Tahoma"/>
        </w:rPr>
        <w:t xml:space="preserve"> </w:t>
      </w:r>
    </w:p>
    <w:p>
      <w:pPr>
        <w:pStyle w:val="27"/>
        <w:wordWrap w:val="0"/>
        <w:adjustRightInd w:val="0"/>
        <w:snapToGrid w:val="0"/>
        <w:spacing w:before="0" w:beforeAutospacing="0" w:after="0" w:afterAutospacing="0" w:line="360" w:lineRule="auto"/>
        <w:ind w:firstLine="3720" w:firstLineChars="1550"/>
        <w:rPr>
          <w:rFonts w:cs="Tahoma"/>
        </w:rPr>
      </w:pPr>
      <w:r>
        <w:rPr>
          <w:rFonts w:hint="eastAsia" w:cs="Tahoma"/>
        </w:rPr>
        <w:t xml:space="preserve">……            </w:t>
      </w:r>
    </w:p>
    <w:p>
      <w:pPr>
        <w:pStyle w:val="27"/>
        <w:wordWrap w:val="0"/>
        <w:adjustRightInd w:val="0"/>
        <w:snapToGrid w:val="0"/>
        <w:spacing w:before="0" w:beforeAutospacing="0" w:after="0" w:afterAutospacing="0" w:line="360" w:lineRule="auto"/>
        <w:ind w:firstLine="3480" w:firstLineChars="1450"/>
        <w:rPr>
          <w:rFonts w:cs="Tahoma"/>
        </w:rPr>
      </w:pPr>
      <w:r>
        <w:rPr>
          <w:rFonts w:hint="eastAsia" w:cs="Tahoma"/>
        </w:rPr>
        <w:t xml:space="preserve"> 签订日期: </w:t>
      </w:r>
      <w:r>
        <w:rPr>
          <w:rFonts w:hint="eastAsia" w:cs="Tahoma"/>
          <w:u w:val="single"/>
        </w:rPr>
        <w:t xml:space="preserve">                                   </w:t>
      </w:r>
      <w:r>
        <w:rPr>
          <w:rFonts w:cs="Tahoma"/>
          <w:u w:val="single"/>
        </w:rPr>
        <w:br w:type="page"/>
      </w:r>
    </w:p>
    <w:p>
      <w:pPr>
        <w:pStyle w:val="4"/>
        <w:numPr>
          <w:ilvl w:val="0"/>
          <w:numId w:val="76"/>
        </w:numPr>
        <w:spacing w:before="0" w:after="0" w:line="360" w:lineRule="auto"/>
        <w:ind w:left="569" w:hanging="569" w:hangingChars="236"/>
        <w:rPr>
          <w:bCs w:val="0"/>
          <w:sz w:val="24"/>
          <w:szCs w:val="24"/>
        </w:rPr>
      </w:pPr>
      <w:bookmarkStart w:id="663" w:name="_Toc107561303"/>
      <w:r>
        <w:rPr>
          <w:rFonts w:hint="eastAsia"/>
          <w:bCs w:val="0"/>
          <w:sz w:val="24"/>
          <w:szCs w:val="24"/>
        </w:rPr>
        <w:t>分包意</w:t>
      </w:r>
      <w:r>
        <w:rPr>
          <w:rFonts w:hint="eastAsia"/>
          <w:sz w:val="24"/>
          <w:szCs w:val="24"/>
        </w:rPr>
        <w:t>向</w:t>
      </w:r>
      <w:r>
        <w:rPr>
          <w:rFonts w:hint="eastAsia"/>
          <w:bCs w:val="0"/>
          <w:sz w:val="24"/>
          <w:szCs w:val="24"/>
        </w:rPr>
        <w:t>协议书</w:t>
      </w:r>
      <w:bookmarkEnd w:id="663"/>
    </w:p>
    <w:p>
      <w:pPr>
        <w:pStyle w:val="27"/>
        <w:wordWrap w:val="0"/>
        <w:adjustRightInd w:val="0"/>
        <w:snapToGrid w:val="0"/>
        <w:spacing w:before="0" w:beforeAutospacing="0" w:after="0" w:afterAutospacing="0" w:line="360" w:lineRule="auto"/>
        <w:ind w:firstLine="360" w:firstLineChars="150"/>
        <w:rPr>
          <w:rFonts w:ascii="楷体" w:hAnsi="楷体" w:eastAsia="楷体"/>
          <w:bCs/>
        </w:rPr>
      </w:pPr>
      <w:r>
        <w:rPr>
          <w:rFonts w:hint="eastAsia" w:ascii="楷体" w:hAnsi="楷体" w:eastAsia="楷体"/>
        </w:rPr>
        <w:t>（拟中标后合同分包的应提供，未分包的不用提供）</w:t>
      </w:r>
    </w:p>
    <w:p>
      <w:pPr>
        <w:pStyle w:val="27"/>
        <w:wordWrap w:val="0"/>
        <w:adjustRightInd w:val="0"/>
        <w:snapToGrid w:val="0"/>
        <w:spacing w:before="0" w:beforeAutospacing="0" w:after="0" w:afterAutospacing="0" w:line="360" w:lineRule="auto"/>
        <w:rPr>
          <w:rFonts w:cs="Tahoma"/>
        </w:rPr>
      </w:pPr>
      <w:r>
        <w:rPr>
          <w:rFonts w:hint="eastAsia" w:cs="Tahoma"/>
          <w:u w:val="single"/>
        </w:rPr>
        <w:t xml:space="preserve">    </w:t>
      </w:r>
      <w:r>
        <w:rPr>
          <w:rFonts w:hint="eastAsia" w:cs="Tahoma"/>
          <w:i/>
          <w:u w:val="single"/>
        </w:rPr>
        <w:t>（甲公司名称）</w:t>
      </w:r>
      <w:r>
        <w:rPr>
          <w:rFonts w:hint="eastAsia" w:cs="Tahoma"/>
          <w:u w:val="single"/>
        </w:rPr>
        <w:t xml:space="preserve">    </w:t>
      </w:r>
      <w:r>
        <w:rPr>
          <w:rFonts w:hint="eastAsia" w:cs="Tahoma"/>
        </w:rPr>
        <w:t>（以下简称甲方）</w:t>
      </w:r>
    </w:p>
    <w:p>
      <w:pPr>
        <w:pStyle w:val="27"/>
        <w:wordWrap w:val="0"/>
        <w:adjustRightInd w:val="0"/>
        <w:snapToGrid w:val="0"/>
        <w:spacing w:before="0" w:beforeAutospacing="0" w:after="0" w:afterAutospacing="0" w:line="360" w:lineRule="auto"/>
        <w:rPr>
          <w:rFonts w:cs="Tahoma"/>
        </w:rPr>
      </w:pPr>
      <w:r>
        <w:rPr>
          <w:rFonts w:hint="eastAsia" w:cs="Tahoma"/>
          <w:u w:val="single"/>
        </w:rPr>
        <w:t xml:space="preserve">    </w:t>
      </w:r>
      <w:r>
        <w:rPr>
          <w:rFonts w:hint="eastAsia" w:cs="Tahoma"/>
          <w:i/>
          <w:u w:val="single"/>
        </w:rPr>
        <w:t>（乙公司名称）</w:t>
      </w:r>
      <w:r>
        <w:rPr>
          <w:rFonts w:hint="eastAsia" w:cs="Tahoma"/>
          <w:u w:val="single"/>
        </w:rPr>
        <w:t xml:space="preserve">    </w:t>
      </w:r>
      <w:r>
        <w:rPr>
          <w:rFonts w:hint="eastAsia" w:cs="Tahoma"/>
        </w:rPr>
        <w:t>（以下简称乙方）</w:t>
      </w:r>
    </w:p>
    <w:p>
      <w:pPr>
        <w:pStyle w:val="27"/>
        <w:wordWrap w:val="0"/>
        <w:adjustRightInd w:val="0"/>
        <w:snapToGrid w:val="0"/>
        <w:spacing w:before="0" w:beforeAutospacing="0" w:after="0" w:afterAutospacing="0" w:line="360" w:lineRule="auto"/>
        <w:ind w:firstLine="480"/>
        <w:rPr>
          <w:rFonts w:cs="Tahoma"/>
        </w:rPr>
      </w:pPr>
      <w:r>
        <w:rPr>
          <w:rFonts w:hint="eastAsia" w:cs="Tahoma"/>
        </w:rPr>
        <w:t xml:space="preserve">……  </w:t>
      </w:r>
      <w:r>
        <w:rPr>
          <w:rFonts w:hint="eastAsia" w:ascii="楷体" w:hAnsi="楷体" w:eastAsia="楷体" w:cs="Tahoma"/>
        </w:rPr>
        <w:t>（多家企业的以甲、乙、丙、丁……描述）</w:t>
      </w:r>
      <w:r>
        <w:rPr>
          <w:rFonts w:hint="eastAsia" w:cs="Tahoma"/>
        </w:rPr>
        <w:t xml:space="preserve">                          </w:t>
      </w:r>
    </w:p>
    <w:p>
      <w:pPr>
        <w:pStyle w:val="27"/>
        <w:wordWrap w:val="0"/>
        <w:adjustRightInd w:val="0"/>
        <w:snapToGrid w:val="0"/>
        <w:spacing w:before="0" w:beforeAutospacing="0" w:after="0" w:afterAutospacing="0" w:line="360" w:lineRule="auto"/>
        <w:ind w:firstLine="480"/>
        <w:rPr>
          <w:rFonts w:cs="Tahoma"/>
        </w:rPr>
      </w:pPr>
      <w:r>
        <w:rPr>
          <w:rFonts w:hint="eastAsia" w:cs="Tahoma"/>
        </w:rPr>
        <w:t>甲方就</w:t>
      </w:r>
      <w:r>
        <w:rPr>
          <w:rFonts w:hint="eastAsia" w:cs="Tahoma"/>
          <w:u w:val="single"/>
        </w:rPr>
        <w:t xml:space="preserve">  </w:t>
      </w:r>
      <w:r>
        <w:rPr>
          <w:rFonts w:hint="eastAsia" w:cs="Tahoma"/>
          <w:i/>
          <w:u w:val="single"/>
        </w:rPr>
        <w:t>（项目名称）</w:t>
      </w:r>
      <w:r>
        <w:rPr>
          <w:rFonts w:hint="eastAsia" w:cs="Tahoma"/>
          <w:u w:val="single"/>
        </w:rPr>
        <w:t xml:space="preserve">  </w:t>
      </w:r>
      <w:r>
        <w:rPr>
          <w:rFonts w:hint="eastAsia" w:cs="Tahoma"/>
        </w:rPr>
        <w:t>与其它各方通过友好协商达成如下分包意向协议：</w:t>
      </w:r>
    </w:p>
    <w:p>
      <w:pPr>
        <w:pStyle w:val="27"/>
        <w:wordWrap w:val="0"/>
        <w:adjustRightInd w:val="0"/>
        <w:snapToGrid w:val="0"/>
        <w:spacing w:before="0" w:beforeAutospacing="0" w:after="0" w:afterAutospacing="0" w:line="360" w:lineRule="auto"/>
        <w:ind w:firstLine="480"/>
        <w:rPr>
          <w:rFonts w:cs="Tahoma"/>
        </w:rPr>
      </w:pPr>
      <w:r>
        <w:rPr>
          <w:rFonts w:hint="eastAsia" w:cs="Tahoma"/>
        </w:rPr>
        <w:t>1.在本次投标有效期内，其它各方同意甲方代理投标事宜。</w:t>
      </w:r>
    </w:p>
    <w:p>
      <w:pPr>
        <w:pStyle w:val="27"/>
        <w:wordWrap w:val="0"/>
        <w:adjustRightInd w:val="0"/>
        <w:snapToGrid w:val="0"/>
        <w:spacing w:before="0" w:beforeAutospacing="0" w:after="0" w:afterAutospacing="0" w:line="360" w:lineRule="auto"/>
        <w:ind w:firstLine="480"/>
        <w:rPr>
          <w:rFonts w:cs="Tahoma"/>
        </w:rPr>
      </w:pPr>
      <w:r>
        <w:rPr>
          <w:rFonts w:hint="eastAsia" w:cs="Tahoma"/>
        </w:rPr>
        <w:t>2.其它各方合同金额及负责的工作:</w:t>
      </w:r>
    </w:p>
    <w:p>
      <w:pPr>
        <w:pStyle w:val="27"/>
        <w:wordWrap w:val="0"/>
        <w:adjustRightInd w:val="0"/>
        <w:snapToGrid w:val="0"/>
        <w:spacing w:before="0" w:beforeAutospacing="0" w:after="0" w:afterAutospacing="0" w:line="360" w:lineRule="auto"/>
        <w:ind w:firstLine="480"/>
        <w:rPr>
          <w:rFonts w:cs="Tahoma"/>
        </w:rPr>
      </w:pPr>
      <w:r>
        <w:rPr>
          <w:rFonts w:hint="eastAsia" w:cs="Tahoma"/>
        </w:rPr>
        <w:t>乙方承担的分包合同金额为项目采购合同金额的</w:t>
      </w:r>
      <w:r>
        <w:rPr>
          <w:rFonts w:cs="Tahoma"/>
          <w:u w:val="single"/>
        </w:rPr>
        <w:t xml:space="preserve">    %</w:t>
      </w:r>
      <w:r>
        <w:rPr>
          <w:rFonts w:hint="eastAsia" w:cs="Tahoma"/>
        </w:rPr>
        <w:t>，负责的工作为：</w:t>
      </w:r>
      <w:r>
        <w:rPr>
          <w:rFonts w:hint="eastAsia" w:cs="Tahoma"/>
          <w:u w:val="single"/>
        </w:rPr>
        <w:t xml:space="preserve">           </w:t>
      </w:r>
      <w:r>
        <w:rPr>
          <w:rFonts w:hint="eastAsia" w:cs="Tahoma"/>
        </w:rPr>
        <w:t>。</w:t>
      </w:r>
    </w:p>
    <w:p>
      <w:pPr>
        <w:pStyle w:val="27"/>
        <w:wordWrap w:val="0"/>
        <w:adjustRightInd w:val="0"/>
        <w:snapToGrid w:val="0"/>
        <w:spacing w:before="0" w:beforeAutospacing="0" w:after="0" w:afterAutospacing="0" w:line="360" w:lineRule="auto"/>
        <w:ind w:firstLine="480"/>
        <w:rPr>
          <w:rFonts w:cs="Tahoma"/>
        </w:rPr>
      </w:pPr>
      <w:r>
        <w:rPr>
          <w:rFonts w:hint="eastAsia" w:cs="Tahoma"/>
        </w:rPr>
        <w:t>……</w:t>
      </w:r>
    </w:p>
    <w:p>
      <w:pPr>
        <w:pStyle w:val="27"/>
        <w:wordWrap w:val="0"/>
        <w:adjustRightInd w:val="0"/>
        <w:snapToGrid w:val="0"/>
        <w:spacing w:before="0" w:beforeAutospacing="0" w:after="0" w:afterAutospacing="0" w:line="360" w:lineRule="auto"/>
        <w:ind w:firstLine="480"/>
        <w:rPr>
          <w:rFonts w:cs="Tahoma"/>
        </w:rPr>
      </w:pPr>
      <w:r>
        <w:rPr>
          <w:rFonts w:hint="eastAsia" w:cs="Tahoma"/>
        </w:rPr>
        <w:t>3.各方责任和义务：</w:t>
      </w:r>
    </w:p>
    <w:p>
      <w:pPr>
        <w:pStyle w:val="27"/>
        <w:wordWrap w:val="0"/>
        <w:adjustRightInd w:val="0"/>
        <w:snapToGrid w:val="0"/>
        <w:spacing w:before="0" w:beforeAutospacing="0" w:after="0" w:afterAutospacing="0" w:line="360" w:lineRule="auto"/>
        <w:ind w:firstLine="480"/>
        <w:rPr>
          <w:rFonts w:cs="Tahoma"/>
        </w:rPr>
      </w:pPr>
      <w:r>
        <w:rPr>
          <w:rFonts w:hint="eastAsia" w:cs="Tahoma"/>
        </w:rPr>
        <w:t>（</w:t>
      </w:r>
      <w:r>
        <w:rPr>
          <w:rFonts w:cs="Tahoma"/>
        </w:rPr>
        <w:t>1</w:t>
      </w:r>
      <w:r>
        <w:rPr>
          <w:rFonts w:hint="eastAsia" w:cs="Tahoma"/>
        </w:rPr>
        <w:t>）其它方按甲方的要求，负责提供分包负责工作量的相关资料；（包括资质、报价、技术文件等资料）；</w:t>
      </w:r>
    </w:p>
    <w:p>
      <w:pPr>
        <w:pStyle w:val="27"/>
        <w:wordWrap w:val="0"/>
        <w:adjustRightInd w:val="0"/>
        <w:snapToGrid w:val="0"/>
        <w:spacing w:before="0" w:beforeAutospacing="0" w:after="0" w:afterAutospacing="0" w:line="360" w:lineRule="auto"/>
        <w:ind w:firstLine="480"/>
        <w:rPr>
          <w:rFonts w:cs="Tahoma"/>
        </w:rPr>
      </w:pPr>
      <w:r>
        <w:rPr>
          <w:rFonts w:hint="eastAsia" w:cs="Tahoma"/>
        </w:rPr>
        <w:t>（2）甲方负责提供招标文件中规定的除其它方应提供的资料外的所有资料，并组织、汇编投标文件、参与投标；甲方未经其它方同意不得擅自提高或降低其它方所提供的报价；</w:t>
      </w:r>
    </w:p>
    <w:p>
      <w:pPr>
        <w:pStyle w:val="27"/>
        <w:wordWrap w:val="0"/>
        <w:adjustRightInd w:val="0"/>
        <w:snapToGrid w:val="0"/>
        <w:spacing w:before="0" w:beforeAutospacing="0" w:after="0" w:afterAutospacing="0" w:line="360" w:lineRule="auto"/>
        <w:ind w:firstLine="480"/>
        <w:rPr>
          <w:rFonts w:cs="Tahoma"/>
        </w:rPr>
      </w:pPr>
      <w:r>
        <w:rPr>
          <w:rFonts w:hint="eastAsia" w:cs="Tahoma"/>
        </w:rPr>
        <w:t>（3）若中标，其它方应各自承担全部分包内容的工作量，并对所承担工作的质量、工期向甲方负责；甲方不得将其它方各自负责的工作量全部或部分转让给另外的供应商。</w:t>
      </w:r>
    </w:p>
    <w:p>
      <w:pPr>
        <w:pStyle w:val="27"/>
        <w:wordWrap w:val="0"/>
        <w:adjustRightInd w:val="0"/>
        <w:snapToGrid w:val="0"/>
        <w:spacing w:before="0" w:beforeAutospacing="0" w:after="0" w:afterAutospacing="0" w:line="360" w:lineRule="auto"/>
        <w:ind w:firstLine="480"/>
        <w:rPr>
          <w:rFonts w:cs="Tahoma"/>
        </w:rPr>
      </w:pPr>
      <w:r>
        <w:rPr>
          <w:rFonts w:hint="eastAsia" w:cs="Tahoma"/>
        </w:rPr>
        <w:t>4.若中标，甲方与采购人签订采购合同，就采购合同约定的事项对采购人负责，同时本协议应作为采购合同的组成部分。</w:t>
      </w:r>
    </w:p>
    <w:p>
      <w:pPr>
        <w:pStyle w:val="27"/>
        <w:wordWrap w:val="0"/>
        <w:adjustRightInd w:val="0"/>
        <w:snapToGrid w:val="0"/>
        <w:spacing w:before="0" w:beforeAutospacing="0" w:after="0" w:afterAutospacing="0" w:line="360" w:lineRule="auto"/>
        <w:ind w:firstLine="480"/>
        <w:rPr>
          <w:rFonts w:cs="Tahoma"/>
        </w:rPr>
      </w:pPr>
      <w:r>
        <w:rPr>
          <w:rFonts w:hint="eastAsia" w:cs="Tahoma"/>
        </w:rPr>
        <w:t>5.其他:</w:t>
      </w:r>
      <w:r>
        <w:rPr>
          <w:rFonts w:cs="Tahoma"/>
        </w:rPr>
        <w:t>……</w:t>
      </w:r>
    </w:p>
    <w:p>
      <w:pPr>
        <w:pStyle w:val="27"/>
        <w:wordWrap w:val="0"/>
        <w:adjustRightInd w:val="0"/>
        <w:snapToGrid w:val="0"/>
        <w:spacing w:before="0" w:beforeAutospacing="0" w:after="0" w:afterAutospacing="0" w:line="360" w:lineRule="auto"/>
        <w:ind w:firstLine="480"/>
        <w:rPr>
          <w:rFonts w:cs="Tahoma"/>
        </w:rPr>
      </w:pPr>
      <w:r>
        <w:rPr>
          <w:rFonts w:hint="eastAsia" w:cs="Tahoma"/>
        </w:rPr>
        <w:t>6.本协议书自签署之日起生效，若未中标，自本次投标有效期结束后自行失效；若中标，自项目合同书规定的期限之后自行失效。</w:t>
      </w:r>
    </w:p>
    <w:p>
      <w:pPr>
        <w:pStyle w:val="27"/>
        <w:wordWrap w:val="0"/>
        <w:adjustRightInd w:val="0"/>
        <w:snapToGrid w:val="0"/>
        <w:spacing w:before="0" w:beforeAutospacing="0" w:after="0" w:afterAutospacing="0" w:line="360" w:lineRule="auto"/>
        <w:ind w:firstLine="480"/>
        <w:rPr>
          <w:rFonts w:cs="Tahoma"/>
        </w:rPr>
      </w:pPr>
      <w:r>
        <w:rPr>
          <w:rFonts w:hint="eastAsia" w:cs="Tahoma"/>
        </w:rPr>
        <w:t>7.</w:t>
      </w:r>
      <w:r>
        <w:rPr>
          <w:rFonts w:cs="Tahoma"/>
        </w:rPr>
        <w:t>本协议书正本一式</w:t>
      </w:r>
      <w:r>
        <w:rPr>
          <w:rFonts w:hint="eastAsia" w:cs="Tahoma"/>
          <w:u w:val="single"/>
        </w:rPr>
        <w:t xml:space="preserve">   </w:t>
      </w:r>
      <w:r>
        <w:rPr>
          <w:rFonts w:cs="Tahoma"/>
        </w:rPr>
        <w:t>份，</w:t>
      </w:r>
      <w:r>
        <w:rPr>
          <w:rFonts w:hint="eastAsia" w:cs="Tahoma"/>
        </w:rPr>
        <w:t>甲方与其它方</w:t>
      </w:r>
      <w:r>
        <w:rPr>
          <w:rFonts w:cs="Tahoma"/>
        </w:rPr>
        <w:t>各</w:t>
      </w:r>
      <w:r>
        <w:rPr>
          <w:rFonts w:hint="eastAsia" w:cs="Tahoma"/>
        </w:rPr>
        <w:t>执</w:t>
      </w:r>
      <w:r>
        <w:rPr>
          <w:rFonts w:hint="eastAsia" w:cs="Tahoma"/>
          <w:u w:val="single"/>
        </w:rPr>
        <w:t xml:space="preserve">   </w:t>
      </w:r>
      <w:r>
        <w:rPr>
          <w:rFonts w:cs="Tahoma"/>
        </w:rPr>
        <w:t>份；副本一式</w:t>
      </w:r>
      <w:r>
        <w:rPr>
          <w:rFonts w:hint="eastAsia" w:cs="Tahoma"/>
          <w:u w:val="single"/>
        </w:rPr>
        <w:t xml:space="preserve">   </w:t>
      </w:r>
      <w:r>
        <w:rPr>
          <w:rFonts w:cs="Tahoma"/>
        </w:rPr>
        <w:t>份，</w:t>
      </w:r>
      <w:r>
        <w:rPr>
          <w:rFonts w:hint="eastAsia" w:cs="Tahoma"/>
        </w:rPr>
        <w:t>甲方与其它方</w:t>
      </w:r>
      <w:r>
        <w:rPr>
          <w:rFonts w:cs="Tahoma"/>
        </w:rPr>
        <w:t>各执</w:t>
      </w:r>
      <w:r>
        <w:rPr>
          <w:rFonts w:hint="eastAsia" w:cs="Tahoma"/>
          <w:u w:val="single"/>
        </w:rPr>
        <w:t xml:space="preserve">   </w:t>
      </w:r>
      <w:r>
        <w:rPr>
          <w:rFonts w:cs="Tahoma"/>
        </w:rPr>
        <w:t>份。</w:t>
      </w:r>
    </w:p>
    <w:p>
      <w:pPr>
        <w:pStyle w:val="27"/>
        <w:wordWrap w:val="0"/>
        <w:adjustRightInd w:val="0"/>
        <w:snapToGrid w:val="0"/>
        <w:spacing w:before="0" w:beforeAutospacing="0" w:after="0" w:afterAutospacing="0" w:line="360" w:lineRule="auto"/>
        <w:ind w:firstLine="3600" w:firstLineChars="1500"/>
        <w:rPr>
          <w:rFonts w:cs="Tahoma"/>
        </w:rPr>
      </w:pPr>
      <w:r>
        <w:rPr>
          <w:rFonts w:hint="eastAsia" w:cs="Tahoma"/>
        </w:rPr>
        <w:t>甲  方（公章）：</w:t>
      </w:r>
      <w:r>
        <w:rPr>
          <w:rFonts w:hint="eastAsia" w:cs="Tahoma"/>
          <w:u w:val="single"/>
        </w:rPr>
        <w:t xml:space="preserve">                             </w:t>
      </w:r>
    </w:p>
    <w:p>
      <w:pPr>
        <w:pStyle w:val="27"/>
        <w:wordWrap w:val="0"/>
        <w:adjustRightInd w:val="0"/>
        <w:snapToGrid w:val="0"/>
        <w:spacing w:before="0" w:beforeAutospacing="0" w:after="0" w:afterAutospacing="0" w:line="360" w:lineRule="auto"/>
        <w:ind w:firstLine="3600" w:firstLineChars="1500"/>
        <w:rPr>
          <w:rFonts w:cs="Tahoma"/>
        </w:rPr>
      </w:pPr>
      <w:r>
        <w:rPr>
          <w:rFonts w:hint="eastAsia" w:cs="Tahoma"/>
        </w:rPr>
        <w:t>法定代表人（签字或签章）：</w:t>
      </w:r>
      <w:r>
        <w:rPr>
          <w:rFonts w:hint="eastAsia" w:cs="Tahoma"/>
          <w:u w:val="single"/>
        </w:rPr>
        <w:t xml:space="preserve">                   </w:t>
      </w:r>
    </w:p>
    <w:p>
      <w:pPr>
        <w:pStyle w:val="27"/>
        <w:wordWrap w:val="0"/>
        <w:adjustRightInd w:val="0"/>
        <w:snapToGrid w:val="0"/>
        <w:spacing w:before="0" w:beforeAutospacing="0" w:after="0" w:afterAutospacing="0" w:line="360" w:lineRule="auto"/>
        <w:ind w:firstLine="3600" w:firstLineChars="1500"/>
        <w:rPr>
          <w:rFonts w:cs="Tahoma"/>
        </w:rPr>
      </w:pPr>
      <w:r>
        <w:rPr>
          <w:rFonts w:hint="eastAsia" w:cs="Tahoma"/>
        </w:rPr>
        <w:t>乙  方（公章）：</w:t>
      </w:r>
      <w:r>
        <w:rPr>
          <w:rFonts w:hint="eastAsia" w:cs="Tahoma"/>
          <w:u w:val="single"/>
        </w:rPr>
        <w:t xml:space="preserve">                             </w:t>
      </w:r>
    </w:p>
    <w:p>
      <w:pPr>
        <w:pStyle w:val="27"/>
        <w:wordWrap w:val="0"/>
        <w:adjustRightInd w:val="0"/>
        <w:snapToGrid w:val="0"/>
        <w:spacing w:before="0" w:beforeAutospacing="0" w:after="0" w:afterAutospacing="0" w:line="360" w:lineRule="auto"/>
        <w:ind w:firstLine="3600" w:firstLineChars="1500"/>
        <w:rPr>
          <w:rFonts w:cs="Tahoma"/>
        </w:rPr>
      </w:pPr>
      <w:r>
        <w:rPr>
          <w:rFonts w:hint="eastAsia" w:cs="Tahoma"/>
        </w:rPr>
        <w:t>法定代表人（签字或签章）：</w:t>
      </w:r>
      <w:r>
        <w:rPr>
          <w:rFonts w:hint="eastAsia" w:cs="Tahoma"/>
          <w:u w:val="single"/>
        </w:rPr>
        <w:t xml:space="preserve">                   </w:t>
      </w:r>
      <w:r>
        <w:rPr>
          <w:rFonts w:hint="eastAsia" w:cs="Tahoma"/>
        </w:rPr>
        <w:t xml:space="preserve"> </w:t>
      </w:r>
    </w:p>
    <w:p>
      <w:pPr>
        <w:pStyle w:val="27"/>
        <w:wordWrap w:val="0"/>
        <w:adjustRightInd w:val="0"/>
        <w:snapToGrid w:val="0"/>
        <w:spacing w:before="0" w:beforeAutospacing="0" w:after="0" w:afterAutospacing="0" w:line="360" w:lineRule="auto"/>
        <w:ind w:firstLine="3720" w:firstLineChars="1550"/>
        <w:rPr>
          <w:rFonts w:cs="Tahoma"/>
        </w:rPr>
      </w:pPr>
      <w:r>
        <w:rPr>
          <w:rFonts w:hint="eastAsia" w:cs="Tahoma"/>
        </w:rPr>
        <w:t xml:space="preserve">……             </w:t>
      </w:r>
    </w:p>
    <w:p>
      <w:pPr>
        <w:wordWrap w:val="0"/>
        <w:spacing w:line="360" w:lineRule="auto"/>
        <w:ind w:firstLine="4200" w:firstLineChars="1750"/>
        <w:rPr>
          <w:rFonts w:cs="Tahoma"/>
          <w:u w:val="single"/>
        </w:rPr>
      </w:pPr>
      <w:r>
        <w:rPr>
          <w:rFonts w:hint="eastAsia" w:cs="Tahoma"/>
        </w:rPr>
        <w:t xml:space="preserve">签订日期: </w:t>
      </w:r>
      <w:r>
        <w:rPr>
          <w:rFonts w:hint="eastAsia" w:cs="Tahoma"/>
          <w:u w:val="single"/>
        </w:rPr>
        <w:t xml:space="preserve">                              </w:t>
      </w:r>
      <w:r>
        <w:rPr>
          <w:rFonts w:cs="Tahoma"/>
          <w:u w:val="single"/>
        </w:rPr>
        <w:br w:type="page"/>
      </w:r>
    </w:p>
    <w:p>
      <w:pPr>
        <w:pStyle w:val="11"/>
        <w:spacing w:line="360" w:lineRule="auto"/>
        <w:sectPr>
          <w:pgSz w:w="11906" w:h="16838"/>
          <w:pgMar w:top="1134" w:right="1134" w:bottom="1134" w:left="1134" w:header="851" w:footer="992" w:gutter="0"/>
          <w:pgBorders>
            <w:top w:val="none" w:sz="0" w:space="0"/>
            <w:left w:val="none" w:sz="0" w:space="0"/>
            <w:bottom w:val="none" w:sz="0" w:space="0"/>
            <w:right w:val="none" w:sz="0" w:space="0"/>
          </w:pgBorders>
          <w:cols w:space="425" w:num="1"/>
          <w:docGrid w:type="lines" w:linePitch="312" w:charSpace="0"/>
        </w:sectPr>
      </w:pPr>
    </w:p>
    <w:p>
      <w:pPr>
        <w:pStyle w:val="4"/>
        <w:numPr>
          <w:ilvl w:val="0"/>
          <w:numId w:val="76"/>
        </w:numPr>
        <w:spacing w:line="360" w:lineRule="auto"/>
        <w:ind w:left="567" w:hanging="567"/>
        <w:rPr>
          <w:bCs w:val="0"/>
          <w:sz w:val="24"/>
          <w:szCs w:val="24"/>
        </w:rPr>
      </w:pPr>
      <w:bookmarkStart w:id="664" w:name="_Toc106962849"/>
      <w:bookmarkStart w:id="665" w:name="_Toc107561304"/>
      <w:r>
        <w:rPr>
          <w:rFonts w:hint="eastAsia"/>
          <w:bCs w:val="0"/>
          <w:sz w:val="24"/>
          <w:szCs w:val="24"/>
        </w:rPr>
        <w:t>中小企业声明函</w:t>
      </w:r>
      <w:bookmarkEnd w:id="664"/>
      <w:bookmarkEnd w:id="665"/>
    </w:p>
    <w:p>
      <w:pPr>
        <w:wordWrap w:val="0"/>
        <w:spacing w:line="360" w:lineRule="auto"/>
        <w:ind w:firstLine="480" w:firstLineChars="200"/>
        <w:rPr>
          <w:szCs w:val="24"/>
        </w:rPr>
      </w:pPr>
      <w:r>
        <w:rPr>
          <w:rFonts w:hint="eastAsia"/>
          <w:szCs w:val="24"/>
        </w:rPr>
        <w:t>（</w:t>
      </w:r>
      <w:r>
        <w:rPr>
          <w:rFonts w:hint="eastAsia" w:ascii="楷体" w:hAnsi="楷体" w:eastAsia="楷体"/>
          <w:szCs w:val="24"/>
        </w:rPr>
        <w:t>符合条件的可选择提供，专门面向或部分预留给中小企业采购的项目或采购包,承担预留份额的应选择提供</w:t>
      </w:r>
      <w:r>
        <w:rPr>
          <w:rFonts w:hint="eastAsia"/>
          <w:szCs w:val="24"/>
        </w:rPr>
        <w:t>）</w:t>
      </w:r>
    </w:p>
    <w:p>
      <w:pPr>
        <w:pStyle w:val="5"/>
        <w:spacing w:before="260" w:after="260" w:line="360" w:lineRule="auto"/>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.3-</w:t>
      </w:r>
      <w:r>
        <w:rPr>
          <w:rFonts w:hint="eastAsia" w:ascii="宋体" w:hAnsi="宋体" w:eastAsia="宋体"/>
          <w:sz w:val="24"/>
          <w:szCs w:val="24"/>
        </w:rPr>
        <w:t>1：中小企业声明函（货物）</w:t>
      </w:r>
    </w:p>
    <w:p>
      <w:pPr>
        <w:wordWrap w:val="0"/>
        <w:spacing w:line="360" w:lineRule="auto"/>
        <w:ind w:firstLine="480" w:firstLineChars="200"/>
        <w:rPr>
          <w:szCs w:val="24"/>
        </w:rPr>
      </w:pPr>
      <w:r>
        <w:rPr>
          <w:rFonts w:hint="eastAsia"/>
          <w:szCs w:val="24"/>
        </w:rPr>
        <w:t>本公司（联合体）郑重声明，根据《政府采购促进中小企业发展管理办法》（财库〔</w:t>
      </w:r>
      <w:r>
        <w:rPr>
          <w:szCs w:val="24"/>
        </w:rPr>
        <w:t>2020〕</w:t>
      </w:r>
      <w:r>
        <w:rPr>
          <w:rFonts w:hint="eastAsia"/>
          <w:szCs w:val="24"/>
        </w:rPr>
        <w:t>46 号）的规定，本公司（联合体）参加</w:t>
      </w:r>
      <w:r>
        <w:rPr>
          <w:rFonts w:hint="eastAsia"/>
          <w:szCs w:val="24"/>
          <w:u w:val="single"/>
        </w:rPr>
        <w:t xml:space="preserve"> </w:t>
      </w:r>
      <w:r>
        <w:rPr>
          <w:rFonts w:hint="eastAsia"/>
          <w:i/>
          <w:szCs w:val="24"/>
          <w:u w:val="single"/>
        </w:rPr>
        <w:t>（单位名称）</w:t>
      </w:r>
      <w:r>
        <w:rPr>
          <w:rFonts w:hint="eastAsia"/>
          <w:szCs w:val="24"/>
          <w:u w:val="single"/>
        </w:rPr>
        <w:t xml:space="preserve"> </w:t>
      </w:r>
      <w:r>
        <w:rPr>
          <w:rFonts w:hint="eastAsia"/>
          <w:szCs w:val="24"/>
        </w:rPr>
        <w:t>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采购活动，提供的货物</w:t>
      </w:r>
      <w:r>
        <w:rPr>
          <w:rFonts w:hint="eastAsia"/>
          <w:b/>
          <w:szCs w:val="24"/>
        </w:rPr>
        <w:t>全部由</w:t>
      </w:r>
      <w:r>
        <w:rPr>
          <w:rFonts w:hint="eastAsia"/>
          <w:szCs w:val="24"/>
        </w:rPr>
        <w:t>符合政策要求的</w:t>
      </w:r>
      <w:r>
        <w:rPr>
          <w:rFonts w:hint="eastAsia"/>
          <w:b/>
          <w:szCs w:val="24"/>
        </w:rPr>
        <w:t>中小企业制造</w:t>
      </w:r>
      <w:r>
        <w:rPr>
          <w:rFonts w:hint="eastAsia"/>
          <w:szCs w:val="24"/>
        </w:rPr>
        <w:t>。相关企业（含联合体中的中小企业、签订分包意向协议的中小企业）的具体情况如下：</w:t>
      </w:r>
    </w:p>
    <w:p>
      <w:pPr>
        <w:wordWrap w:val="0"/>
        <w:spacing w:line="360" w:lineRule="auto"/>
        <w:ind w:firstLine="480" w:firstLineChars="200"/>
        <w:rPr>
          <w:szCs w:val="24"/>
        </w:rPr>
      </w:pPr>
      <w:r>
        <w:rPr>
          <w:rFonts w:hint="eastAsia"/>
          <w:szCs w:val="24"/>
        </w:rPr>
        <w:t>1.</w:t>
      </w:r>
      <w:r>
        <w:rPr>
          <w:rFonts w:hint="eastAsia"/>
          <w:szCs w:val="24"/>
          <w:u w:val="single"/>
        </w:rPr>
        <w:t xml:space="preserve"> （</w:t>
      </w:r>
      <w:r>
        <w:rPr>
          <w:rFonts w:hint="eastAsia"/>
          <w:i/>
          <w:szCs w:val="24"/>
          <w:u w:val="single"/>
        </w:rPr>
        <w:t>货物1名称</w:t>
      </w:r>
      <w:r>
        <w:rPr>
          <w:rFonts w:hint="eastAsia"/>
          <w:szCs w:val="24"/>
          <w:u w:val="single"/>
        </w:rPr>
        <w:t>）</w:t>
      </w:r>
      <w:r>
        <w:rPr>
          <w:rFonts w:hint="eastAsia"/>
          <w:szCs w:val="24"/>
        </w:rPr>
        <w:t>，属于</w:t>
      </w:r>
      <w:r>
        <w:rPr>
          <w:rFonts w:hint="eastAsia"/>
          <w:szCs w:val="24"/>
          <w:u w:val="single"/>
        </w:rPr>
        <w:t xml:space="preserve"> （</w:t>
      </w:r>
      <w:r>
        <w:rPr>
          <w:rFonts w:hint="eastAsia"/>
          <w:i/>
          <w:szCs w:val="24"/>
          <w:u w:val="single"/>
        </w:rPr>
        <w:t>采购文件中明确的所属行业</w:t>
      </w:r>
      <w:r>
        <w:rPr>
          <w:rFonts w:hint="eastAsia"/>
          <w:szCs w:val="24"/>
          <w:u w:val="single"/>
        </w:rPr>
        <w:t xml:space="preserve">） </w:t>
      </w:r>
      <w:r>
        <w:rPr>
          <w:rFonts w:hint="eastAsia"/>
          <w:szCs w:val="24"/>
        </w:rPr>
        <w:t>行业；制造商为</w:t>
      </w:r>
      <w:r>
        <w:rPr>
          <w:rFonts w:hint="eastAsia"/>
          <w:szCs w:val="24"/>
          <w:u w:val="single"/>
        </w:rPr>
        <w:t>（</w:t>
      </w:r>
      <w:r>
        <w:rPr>
          <w:rFonts w:hint="eastAsia"/>
          <w:i/>
          <w:szCs w:val="24"/>
          <w:u w:val="single"/>
        </w:rPr>
        <w:t>企业名称</w:t>
      </w:r>
      <w:r>
        <w:rPr>
          <w:rFonts w:hint="eastAsia"/>
          <w:szCs w:val="24"/>
          <w:u w:val="single"/>
        </w:rPr>
        <w:t>）</w:t>
      </w:r>
      <w:r>
        <w:rPr>
          <w:rFonts w:hint="eastAsia"/>
          <w:szCs w:val="24"/>
        </w:rPr>
        <w:t>，从业人员</w:t>
      </w:r>
      <w:r>
        <w:rPr>
          <w:rFonts w:hint="eastAsia"/>
          <w:szCs w:val="24"/>
          <w:u w:val="single"/>
        </w:rPr>
        <w:t xml:space="preserve">     </w:t>
      </w:r>
      <w:r>
        <w:rPr>
          <w:rFonts w:hint="eastAsia"/>
          <w:szCs w:val="24"/>
        </w:rPr>
        <w:t>人，营业收入为</w:t>
      </w:r>
      <w:r>
        <w:rPr>
          <w:rFonts w:hint="eastAsia"/>
          <w:szCs w:val="24"/>
          <w:u w:val="single"/>
        </w:rPr>
        <w:t xml:space="preserve">       </w:t>
      </w:r>
      <w:r>
        <w:rPr>
          <w:rFonts w:hint="eastAsia"/>
          <w:szCs w:val="24"/>
        </w:rPr>
        <w:t>万元，资产总额为</w:t>
      </w:r>
      <w:r>
        <w:rPr>
          <w:rFonts w:hint="eastAsia"/>
          <w:szCs w:val="24"/>
          <w:u w:val="single"/>
        </w:rPr>
        <w:t xml:space="preserve">      </w:t>
      </w:r>
      <w:r>
        <w:rPr>
          <w:rFonts w:hint="eastAsia"/>
          <w:szCs w:val="24"/>
        </w:rPr>
        <w:t>万元（</w:t>
      </w:r>
      <w:r>
        <w:rPr>
          <w:rFonts w:hint="eastAsia" w:ascii="楷体" w:hAnsi="楷体" w:eastAsia="楷体"/>
          <w:szCs w:val="24"/>
        </w:rPr>
        <w:t>从业人员、营业收入、资产总额填报上一年度数据，无上一年度数据的新成立企业可不填报</w:t>
      </w:r>
      <w:r>
        <w:rPr>
          <w:rFonts w:hint="eastAsia"/>
          <w:szCs w:val="24"/>
        </w:rPr>
        <w:t>），属于</w:t>
      </w:r>
      <w:r>
        <w:rPr>
          <w:rFonts w:hint="eastAsia"/>
          <w:szCs w:val="24"/>
          <w:u w:val="single"/>
        </w:rPr>
        <w:t xml:space="preserve"> （</w:t>
      </w:r>
      <w:r>
        <w:rPr>
          <w:rFonts w:hint="eastAsia"/>
          <w:i/>
          <w:szCs w:val="24"/>
          <w:u w:val="single"/>
        </w:rPr>
        <w:t>中型企业、小型企业、微型企业</w:t>
      </w:r>
      <w:r>
        <w:rPr>
          <w:rFonts w:hint="eastAsia"/>
          <w:szCs w:val="24"/>
          <w:u w:val="single"/>
        </w:rPr>
        <w:t xml:space="preserve">） </w:t>
      </w:r>
      <w:r>
        <w:rPr>
          <w:rFonts w:hint="eastAsia"/>
          <w:szCs w:val="24"/>
        </w:rPr>
        <w:t>；</w:t>
      </w:r>
    </w:p>
    <w:p>
      <w:pPr>
        <w:wordWrap w:val="0"/>
        <w:spacing w:line="360" w:lineRule="auto"/>
        <w:ind w:firstLine="480" w:firstLineChars="200"/>
        <w:rPr>
          <w:szCs w:val="24"/>
        </w:rPr>
      </w:pPr>
      <w:r>
        <w:rPr>
          <w:rFonts w:hint="eastAsia"/>
          <w:szCs w:val="24"/>
        </w:rPr>
        <w:t>2.</w:t>
      </w:r>
      <w:r>
        <w:rPr>
          <w:rFonts w:hint="eastAsia"/>
          <w:szCs w:val="24"/>
          <w:u w:val="single"/>
        </w:rPr>
        <w:t xml:space="preserve"> （</w:t>
      </w:r>
      <w:r>
        <w:rPr>
          <w:rFonts w:hint="eastAsia"/>
          <w:i/>
          <w:szCs w:val="24"/>
          <w:u w:val="single"/>
        </w:rPr>
        <w:t>货物2名称</w:t>
      </w:r>
      <w:r>
        <w:rPr>
          <w:rFonts w:hint="eastAsia"/>
          <w:szCs w:val="24"/>
          <w:u w:val="single"/>
        </w:rPr>
        <w:t xml:space="preserve">） </w:t>
      </w:r>
      <w:r>
        <w:rPr>
          <w:rFonts w:hint="eastAsia"/>
          <w:szCs w:val="24"/>
        </w:rPr>
        <w:t>，属于</w:t>
      </w:r>
      <w:r>
        <w:rPr>
          <w:rFonts w:hint="eastAsia"/>
          <w:szCs w:val="24"/>
          <w:u w:val="single"/>
        </w:rPr>
        <w:t xml:space="preserve"> （</w:t>
      </w:r>
      <w:r>
        <w:rPr>
          <w:rFonts w:hint="eastAsia"/>
          <w:i/>
          <w:szCs w:val="24"/>
          <w:u w:val="single"/>
        </w:rPr>
        <w:t>采购文件中明确的所属行业</w:t>
      </w:r>
      <w:r>
        <w:rPr>
          <w:rFonts w:hint="eastAsia"/>
          <w:szCs w:val="24"/>
          <w:u w:val="single"/>
        </w:rPr>
        <w:t xml:space="preserve">） </w:t>
      </w:r>
      <w:r>
        <w:rPr>
          <w:rFonts w:hint="eastAsia"/>
          <w:szCs w:val="24"/>
        </w:rPr>
        <w:t xml:space="preserve">行业 ；制造商为 </w:t>
      </w:r>
      <w:r>
        <w:rPr>
          <w:rFonts w:hint="eastAsia"/>
          <w:szCs w:val="24"/>
          <w:u w:val="single"/>
        </w:rPr>
        <w:t>（</w:t>
      </w:r>
      <w:r>
        <w:rPr>
          <w:rFonts w:hint="eastAsia"/>
          <w:i/>
          <w:szCs w:val="24"/>
          <w:u w:val="single"/>
        </w:rPr>
        <w:t>企业名称）</w:t>
      </w:r>
      <w:r>
        <w:rPr>
          <w:rFonts w:hint="eastAsia"/>
          <w:szCs w:val="24"/>
          <w:u w:val="single"/>
        </w:rPr>
        <w:t xml:space="preserve"> </w:t>
      </w:r>
      <w:r>
        <w:rPr>
          <w:rFonts w:hint="eastAsia"/>
          <w:szCs w:val="24"/>
        </w:rPr>
        <w:t>，从业人员</w:t>
      </w:r>
      <w:r>
        <w:rPr>
          <w:rFonts w:hint="eastAsia"/>
          <w:szCs w:val="24"/>
          <w:u w:val="single"/>
        </w:rPr>
        <w:t xml:space="preserve">     </w:t>
      </w:r>
      <w:r>
        <w:rPr>
          <w:rFonts w:hint="eastAsia"/>
          <w:szCs w:val="24"/>
        </w:rPr>
        <w:t>人，营业收入为</w:t>
      </w:r>
      <w:r>
        <w:rPr>
          <w:rFonts w:hint="eastAsia"/>
          <w:szCs w:val="24"/>
          <w:u w:val="single"/>
        </w:rPr>
        <w:t xml:space="preserve">       </w:t>
      </w:r>
      <w:r>
        <w:rPr>
          <w:rFonts w:hint="eastAsia"/>
          <w:szCs w:val="24"/>
        </w:rPr>
        <w:t>万元，资产总额为</w:t>
      </w:r>
      <w:r>
        <w:rPr>
          <w:rFonts w:hint="eastAsia"/>
          <w:szCs w:val="24"/>
          <w:u w:val="single"/>
        </w:rPr>
        <w:t xml:space="preserve">      </w:t>
      </w:r>
      <w:r>
        <w:rPr>
          <w:rFonts w:hint="eastAsia"/>
          <w:szCs w:val="24"/>
        </w:rPr>
        <w:t>万元（</w:t>
      </w:r>
      <w:r>
        <w:rPr>
          <w:rFonts w:hint="eastAsia" w:ascii="楷体" w:hAnsi="楷体" w:eastAsia="楷体"/>
          <w:szCs w:val="24"/>
        </w:rPr>
        <w:t>从业人员、营业收入、资产总额填报上一年度数据，无上一年度数据的新成立企业可不填报</w:t>
      </w:r>
      <w:r>
        <w:rPr>
          <w:rFonts w:hint="eastAsia"/>
          <w:szCs w:val="24"/>
        </w:rPr>
        <w:t>），属于</w:t>
      </w:r>
      <w:r>
        <w:rPr>
          <w:rFonts w:hint="eastAsia"/>
          <w:szCs w:val="24"/>
          <w:u w:val="single"/>
        </w:rPr>
        <w:t xml:space="preserve"> （</w:t>
      </w:r>
      <w:r>
        <w:rPr>
          <w:rFonts w:hint="eastAsia"/>
          <w:i/>
          <w:szCs w:val="24"/>
          <w:u w:val="single"/>
        </w:rPr>
        <w:t>中型企业、小型企业、微型企业</w:t>
      </w:r>
      <w:r>
        <w:rPr>
          <w:rFonts w:hint="eastAsia"/>
          <w:szCs w:val="24"/>
          <w:u w:val="single"/>
        </w:rPr>
        <w:t xml:space="preserve">） </w:t>
      </w:r>
      <w:r>
        <w:rPr>
          <w:rFonts w:hint="eastAsia"/>
          <w:szCs w:val="24"/>
        </w:rPr>
        <w:t>；</w:t>
      </w:r>
    </w:p>
    <w:p>
      <w:pPr>
        <w:wordWrap w:val="0"/>
        <w:spacing w:line="360" w:lineRule="auto"/>
        <w:ind w:firstLine="480" w:firstLineChars="200"/>
        <w:rPr>
          <w:szCs w:val="24"/>
        </w:rPr>
      </w:pPr>
      <w:r>
        <w:rPr>
          <w:rFonts w:hint="eastAsia"/>
          <w:szCs w:val="24"/>
        </w:rPr>
        <w:t>……</w:t>
      </w:r>
    </w:p>
    <w:p>
      <w:pPr>
        <w:wordWrap w:val="0"/>
        <w:spacing w:line="360" w:lineRule="auto"/>
        <w:ind w:firstLine="480" w:firstLineChars="200"/>
        <w:rPr>
          <w:szCs w:val="24"/>
        </w:rPr>
      </w:pPr>
      <w:r>
        <w:rPr>
          <w:rFonts w:hint="eastAsia"/>
          <w:szCs w:val="24"/>
        </w:rPr>
        <w:t>以上企业，不属于大企业的分支机构，不存在控股股东为大企业的情形，也不存在与大企业的负责人为同一人的情形。</w:t>
      </w:r>
    </w:p>
    <w:p>
      <w:pPr>
        <w:wordWrap w:val="0"/>
        <w:spacing w:line="360" w:lineRule="auto"/>
        <w:ind w:left="1087" w:leftChars="200" w:hanging="607" w:hangingChars="253"/>
        <w:jc w:val="left"/>
        <w:rPr>
          <w:szCs w:val="24"/>
        </w:rPr>
      </w:pPr>
      <w:r>
        <w:rPr>
          <w:rFonts w:hint="eastAsia"/>
          <w:szCs w:val="24"/>
        </w:rPr>
        <w:t>本企业对上述声明内容的真实性负责。如有虚假，将依法承担相应责任。</w:t>
      </w:r>
    </w:p>
    <w:p>
      <w:pPr>
        <w:wordWrap w:val="0"/>
        <w:spacing w:line="360" w:lineRule="auto"/>
        <w:ind w:left="1091" w:hanging="1087" w:hangingChars="453"/>
        <w:jc w:val="left"/>
        <w:rPr>
          <w:b/>
          <w:bCs/>
          <w:szCs w:val="24"/>
        </w:rPr>
      </w:pPr>
    </w:p>
    <w:p>
      <w:pPr>
        <w:wordWrap w:val="0"/>
        <w:spacing w:line="360" w:lineRule="auto"/>
        <w:ind w:left="1091" w:hanging="1087" w:hangingChars="453"/>
        <w:jc w:val="left"/>
        <w:rPr>
          <w:bCs/>
          <w:szCs w:val="24"/>
        </w:rPr>
      </w:pPr>
      <w:r>
        <w:rPr>
          <w:rFonts w:hint="eastAsia"/>
          <w:b/>
          <w:bCs/>
          <w:szCs w:val="24"/>
        </w:rPr>
        <w:t>说明：</w:t>
      </w:r>
      <w:r>
        <w:rPr>
          <w:rFonts w:hint="eastAsia"/>
          <w:bCs/>
          <w:szCs w:val="24"/>
        </w:rPr>
        <w:t>1.</w:t>
      </w:r>
      <w:r>
        <w:rPr>
          <w:rFonts w:hint="eastAsia"/>
          <w:bCs/>
          <w:szCs w:val="21"/>
          <w:lang w:val="zh-CN"/>
        </w:rPr>
        <w:t>应严格按上述格式及内容进行填写；</w:t>
      </w:r>
    </w:p>
    <w:p>
      <w:pPr>
        <w:wordWrap w:val="0"/>
        <w:spacing w:line="360" w:lineRule="auto"/>
        <w:ind w:left="1087" w:hanging="1087" w:hangingChars="453"/>
        <w:jc w:val="left"/>
        <w:rPr>
          <w:rFonts w:cs="Courier New"/>
          <w:szCs w:val="21"/>
        </w:rPr>
      </w:pPr>
      <w:r>
        <w:rPr>
          <w:rFonts w:hint="eastAsia"/>
          <w:bCs/>
          <w:szCs w:val="21"/>
          <w:lang w:val="zh-CN"/>
        </w:rPr>
        <w:t xml:space="preserve">      2</w:t>
      </w:r>
      <w:r>
        <w:rPr>
          <w:rFonts w:hint="eastAsia"/>
          <w:bCs/>
          <w:szCs w:val="21"/>
        </w:rPr>
        <w:t>.</w:t>
      </w:r>
      <w:r>
        <w:rPr>
          <w:rFonts w:hint="eastAsia" w:cs="Courier New"/>
          <w:szCs w:val="21"/>
        </w:rPr>
        <w:t>以联合体方式参与项目投标的投标人，应由联合体各方盖章。</w:t>
      </w:r>
    </w:p>
    <w:p>
      <w:pPr>
        <w:wordWrap w:val="0"/>
        <w:spacing w:before="100" w:beforeAutospacing="1" w:after="100" w:afterAutospacing="1" w:line="360" w:lineRule="auto"/>
        <w:ind w:firstLine="3436" w:firstLineChars="1432"/>
        <w:rPr>
          <w:bCs/>
          <w:szCs w:val="21"/>
          <w:lang w:val="zh-CN"/>
        </w:rPr>
      </w:pPr>
      <w:r>
        <w:rPr>
          <w:rFonts w:hint="eastAsia"/>
          <w:bCs/>
          <w:szCs w:val="21"/>
          <w:lang w:val="zh-CN"/>
        </w:rPr>
        <w:t>投标人（公章）：</w:t>
      </w:r>
      <w:r>
        <w:rPr>
          <w:rFonts w:hint="eastAsia"/>
          <w:bCs/>
          <w:szCs w:val="21"/>
          <w:u w:val="single"/>
          <w:lang w:val="zh-CN"/>
        </w:rPr>
        <w:t xml:space="preserve">                              </w:t>
      </w:r>
    </w:p>
    <w:p>
      <w:pPr>
        <w:wordWrap w:val="0"/>
        <w:spacing w:before="100" w:beforeAutospacing="1" w:after="100" w:afterAutospacing="1" w:line="360" w:lineRule="auto"/>
        <w:ind w:firstLine="3436" w:firstLineChars="1432"/>
        <w:rPr>
          <w:szCs w:val="24"/>
        </w:rPr>
      </w:pPr>
      <w:r>
        <w:rPr>
          <w:rFonts w:hint="eastAsia"/>
          <w:szCs w:val="24"/>
        </w:rPr>
        <w:t>日 </w:t>
      </w:r>
      <w:r>
        <w:rPr>
          <w:szCs w:val="24"/>
        </w:rPr>
        <w:t xml:space="preserve"> </w:t>
      </w:r>
      <w:r>
        <w:rPr>
          <w:rFonts w:hint="eastAsia"/>
          <w:szCs w:val="24"/>
        </w:rPr>
        <w:t> 期：</w:t>
      </w:r>
      <w:r>
        <w:rPr>
          <w:bCs/>
          <w:szCs w:val="24"/>
          <w:u w:val="single"/>
        </w:rPr>
        <w:t xml:space="preserve">                       </w:t>
      </w:r>
      <w:r>
        <w:rPr>
          <w:rFonts w:hint="eastAsia"/>
          <w:bCs/>
          <w:szCs w:val="24"/>
          <w:u w:val="single"/>
        </w:rPr>
        <w:t xml:space="preserve">   </w:t>
      </w:r>
      <w:r>
        <w:rPr>
          <w:bCs/>
          <w:szCs w:val="24"/>
          <w:u w:val="single"/>
        </w:rPr>
        <w:t xml:space="preserve">         </w:t>
      </w:r>
    </w:p>
    <w:p>
      <w:pPr>
        <w:widowControl/>
        <w:tabs>
          <w:tab w:val="right" w:leader="dot" w:pos="9514"/>
        </w:tabs>
        <w:wordWrap w:val="0"/>
        <w:spacing w:line="360" w:lineRule="auto"/>
        <w:jc w:val="left"/>
        <w:rPr>
          <w:b/>
          <w:iCs/>
          <w:sz w:val="28"/>
        </w:rPr>
        <w:sectPr>
          <w:pgSz w:w="11906" w:h="16838"/>
          <w:pgMar w:top="1134" w:right="1191" w:bottom="1134" w:left="1191" w:header="851" w:footer="992" w:gutter="0"/>
          <w:pgBorders>
            <w:top w:val="none" w:sz="0" w:space="0"/>
            <w:left w:val="none" w:sz="0" w:space="0"/>
            <w:bottom w:val="none" w:sz="0" w:space="0"/>
            <w:right w:val="none" w:sz="0" w:space="0"/>
          </w:pgBorders>
          <w:cols w:space="425" w:num="1"/>
          <w:docGrid w:type="linesAndChars" w:linePitch="312" w:charSpace="0"/>
        </w:sectPr>
      </w:pPr>
    </w:p>
    <w:p>
      <w:pPr>
        <w:pStyle w:val="5"/>
        <w:spacing w:before="260" w:after="260" w:line="360" w:lineRule="auto"/>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.3</w:t>
      </w:r>
      <w:r>
        <w:rPr>
          <w:rFonts w:hint="eastAsia" w:ascii="宋体" w:hAnsi="宋体" w:eastAsia="宋体"/>
          <w:sz w:val="24"/>
          <w:szCs w:val="24"/>
        </w:rPr>
        <w:t>-2：中小企业声明函（服务）</w:t>
      </w:r>
    </w:p>
    <w:p>
      <w:pPr>
        <w:wordWrap w:val="0"/>
        <w:spacing w:line="360" w:lineRule="auto"/>
        <w:ind w:firstLine="480" w:firstLineChars="200"/>
        <w:rPr>
          <w:szCs w:val="24"/>
        </w:rPr>
      </w:pPr>
      <w:r>
        <w:rPr>
          <w:rFonts w:hint="eastAsia"/>
          <w:szCs w:val="24"/>
        </w:rPr>
        <w:t>本公司（联合体）郑重声明，根据《政府采购促进中小企业发展管理办法》（财库〔</w:t>
      </w:r>
      <w:r>
        <w:rPr>
          <w:szCs w:val="24"/>
        </w:rPr>
        <w:t>2020〕</w:t>
      </w:r>
      <w:r>
        <w:rPr>
          <w:rFonts w:hint="eastAsia"/>
          <w:szCs w:val="24"/>
        </w:rPr>
        <w:t>46 号）的规定，本公司（联合体）参加</w:t>
      </w:r>
      <w:r>
        <w:rPr>
          <w:rFonts w:hint="eastAsia"/>
          <w:szCs w:val="24"/>
          <w:u w:val="single"/>
        </w:rPr>
        <w:t xml:space="preserve"> </w:t>
      </w:r>
      <w:r>
        <w:rPr>
          <w:rFonts w:hint="eastAsia"/>
          <w:i/>
          <w:szCs w:val="24"/>
          <w:u w:val="single"/>
        </w:rPr>
        <w:t>（单位名称）</w:t>
      </w:r>
      <w:r>
        <w:rPr>
          <w:rFonts w:hint="eastAsia"/>
          <w:szCs w:val="24"/>
          <w:u w:val="single"/>
        </w:rPr>
        <w:t xml:space="preserve"> </w:t>
      </w:r>
      <w:r>
        <w:rPr>
          <w:rFonts w:hint="eastAsia"/>
          <w:szCs w:val="24"/>
        </w:rPr>
        <w:t>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采购活动，服务</w:t>
      </w:r>
      <w:r>
        <w:rPr>
          <w:rFonts w:hint="eastAsia"/>
          <w:b/>
          <w:szCs w:val="24"/>
        </w:rPr>
        <w:t>全部由</w:t>
      </w:r>
      <w:r>
        <w:rPr>
          <w:rFonts w:hint="eastAsia"/>
          <w:szCs w:val="24"/>
        </w:rPr>
        <w:t>符合政策要求的</w:t>
      </w:r>
      <w:r>
        <w:rPr>
          <w:rFonts w:hint="eastAsia"/>
          <w:b/>
          <w:szCs w:val="24"/>
        </w:rPr>
        <w:t>中小企业承接</w:t>
      </w:r>
      <w:r>
        <w:rPr>
          <w:rFonts w:hint="eastAsia"/>
          <w:szCs w:val="24"/>
        </w:rPr>
        <w:t>。相关企业（含联合体中的中小企业、签订分包意向协议的中小企业）的具体情况如下：</w:t>
      </w:r>
    </w:p>
    <w:p>
      <w:pPr>
        <w:wordWrap w:val="0"/>
        <w:spacing w:line="360" w:lineRule="auto"/>
        <w:ind w:firstLine="480" w:firstLineChars="200"/>
        <w:rPr>
          <w:szCs w:val="24"/>
        </w:rPr>
      </w:pPr>
      <w:r>
        <w:rPr>
          <w:rFonts w:hint="eastAsia"/>
          <w:szCs w:val="24"/>
        </w:rPr>
        <w:t>1.</w:t>
      </w:r>
      <w:r>
        <w:rPr>
          <w:rFonts w:hint="eastAsia"/>
          <w:szCs w:val="24"/>
          <w:u w:val="single"/>
        </w:rPr>
        <w:t xml:space="preserve"> </w:t>
      </w:r>
      <w:r>
        <w:rPr>
          <w:rFonts w:hint="eastAsia"/>
          <w:i/>
          <w:szCs w:val="24"/>
          <w:u w:val="single"/>
        </w:rPr>
        <w:t>（服务1名称）</w:t>
      </w:r>
      <w:r>
        <w:rPr>
          <w:rFonts w:hint="eastAsia"/>
          <w:szCs w:val="24"/>
          <w:u w:val="single"/>
        </w:rPr>
        <w:t xml:space="preserve"> </w:t>
      </w:r>
      <w:r>
        <w:rPr>
          <w:rFonts w:hint="eastAsia"/>
          <w:szCs w:val="24"/>
        </w:rPr>
        <w:t>，属于</w:t>
      </w:r>
      <w:r>
        <w:rPr>
          <w:rFonts w:hint="eastAsia"/>
          <w:szCs w:val="24"/>
          <w:u w:val="single"/>
        </w:rPr>
        <w:t xml:space="preserve"> </w:t>
      </w:r>
      <w:r>
        <w:rPr>
          <w:rFonts w:hint="eastAsia"/>
          <w:i/>
          <w:szCs w:val="24"/>
          <w:u w:val="single"/>
        </w:rPr>
        <w:t xml:space="preserve">（采购文件中明确的所属行业） </w:t>
      </w:r>
      <w:r>
        <w:rPr>
          <w:rFonts w:hint="eastAsia"/>
          <w:szCs w:val="24"/>
        </w:rPr>
        <w:t>行业 ；承接企业为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，从业人员</w:t>
      </w:r>
      <w:r>
        <w:rPr>
          <w:rFonts w:hint="eastAsia"/>
          <w:szCs w:val="24"/>
          <w:u w:val="single"/>
        </w:rPr>
        <w:t xml:space="preserve">      </w:t>
      </w:r>
      <w:r>
        <w:rPr>
          <w:rFonts w:hint="eastAsia"/>
          <w:szCs w:val="24"/>
        </w:rPr>
        <w:t>人，营业收入为</w:t>
      </w:r>
      <w:r>
        <w:rPr>
          <w:rFonts w:hint="eastAsia"/>
          <w:szCs w:val="24"/>
          <w:u w:val="single"/>
        </w:rPr>
        <w:t xml:space="preserve">      </w:t>
      </w:r>
      <w:r>
        <w:rPr>
          <w:rFonts w:hint="eastAsia"/>
          <w:szCs w:val="24"/>
        </w:rPr>
        <w:t>万元，资产总额为</w:t>
      </w:r>
      <w:r>
        <w:rPr>
          <w:rFonts w:hint="eastAsia"/>
          <w:szCs w:val="24"/>
          <w:u w:val="single"/>
        </w:rPr>
        <w:t xml:space="preserve">      </w:t>
      </w:r>
      <w:r>
        <w:rPr>
          <w:rFonts w:hint="eastAsia"/>
          <w:szCs w:val="24"/>
        </w:rPr>
        <w:t>万元（</w:t>
      </w:r>
      <w:r>
        <w:rPr>
          <w:rFonts w:hint="eastAsia" w:ascii="楷体" w:hAnsi="楷体" w:eastAsia="楷体"/>
          <w:szCs w:val="24"/>
        </w:rPr>
        <w:t>从业人员、营业收入、资产总额填报上一年度数据，无上一年度数据的新成立企业可不填报</w:t>
      </w:r>
      <w:r>
        <w:rPr>
          <w:rFonts w:hint="eastAsia"/>
          <w:szCs w:val="24"/>
        </w:rPr>
        <w:t>），属于</w:t>
      </w:r>
      <w:r>
        <w:rPr>
          <w:rFonts w:hint="eastAsia"/>
          <w:szCs w:val="24"/>
          <w:u w:val="single"/>
        </w:rPr>
        <w:t xml:space="preserve"> </w:t>
      </w:r>
      <w:r>
        <w:rPr>
          <w:rFonts w:hint="eastAsia"/>
          <w:i/>
          <w:szCs w:val="24"/>
          <w:u w:val="single"/>
        </w:rPr>
        <w:t>（中型企业、小型企业、微型企业）</w:t>
      </w:r>
      <w:r>
        <w:rPr>
          <w:rFonts w:hint="eastAsia"/>
          <w:szCs w:val="24"/>
          <w:u w:val="single"/>
        </w:rPr>
        <w:t xml:space="preserve"> </w:t>
      </w:r>
      <w:r>
        <w:rPr>
          <w:rFonts w:hint="eastAsia"/>
          <w:szCs w:val="24"/>
        </w:rPr>
        <w:t>；</w:t>
      </w:r>
    </w:p>
    <w:p>
      <w:pPr>
        <w:wordWrap w:val="0"/>
        <w:spacing w:line="360" w:lineRule="auto"/>
        <w:ind w:firstLine="480" w:firstLineChars="200"/>
        <w:rPr>
          <w:szCs w:val="24"/>
        </w:rPr>
      </w:pPr>
      <w:r>
        <w:rPr>
          <w:rFonts w:hint="eastAsia"/>
          <w:szCs w:val="24"/>
        </w:rPr>
        <w:t>2.</w:t>
      </w:r>
      <w:r>
        <w:rPr>
          <w:rFonts w:hint="eastAsia"/>
          <w:szCs w:val="24"/>
          <w:u w:val="single"/>
        </w:rPr>
        <w:t xml:space="preserve"> </w:t>
      </w:r>
      <w:r>
        <w:rPr>
          <w:rFonts w:hint="eastAsia"/>
          <w:i/>
          <w:szCs w:val="24"/>
          <w:u w:val="single"/>
        </w:rPr>
        <w:t>（服务2名称）</w:t>
      </w:r>
      <w:r>
        <w:rPr>
          <w:rFonts w:hint="eastAsia"/>
          <w:szCs w:val="24"/>
          <w:u w:val="single"/>
        </w:rPr>
        <w:t xml:space="preserve"> </w:t>
      </w:r>
      <w:r>
        <w:rPr>
          <w:rFonts w:hint="eastAsia"/>
          <w:szCs w:val="24"/>
        </w:rPr>
        <w:t>，属于</w:t>
      </w:r>
      <w:r>
        <w:rPr>
          <w:rFonts w:hint="eastAsia"/>
          <w:szCs w:val="24"/>
          <w:u w:val="single"/>
        </w:rPr>
        <w:t xml:space="preserve"> </w:t>
      </w:r>
      <w:r>
        <w:rPr>
          <w:rFonts w:hint="eastAsia"/>
          <w:i/>
          <w:szCs w:val="24"/>
          <w:u w:val="single"/>
        </w:rPr>
        <w:t xml:space="preserve">（采购文件中明确的所属行业） </w:t>
      </w:r>
      <w:r>
        <w:rPr>
          <w:rFonts w:hint="eastAsia"/>
          <w:szCs w:val="24"/>
        </w:rPr>
        <w:t>行业 ；承接企业为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，从业人员</w:t>
      </w:r>
      <w:r>
        <w:rPr>
          <w:rFonts w:hint="eastAsia"/>
          <w:szCs w:val="24"/>
          <w:u w:val="single"/>
        </w:rPr>
        <w:t xml:space="preserve">      </w:t>
      </w:r>
      <w:r>
        <w:rPr>
          <w:rFonts w:hint="eastAsia"/>
          <w:szCs w:val="24"/>
        </w:rPr>
        <w:t>人，营业收入为</w:t>
      </w:r>
      <w:r>
        <w:rPr>
          <w:rFonts w:hint="eastAsia"/>
          <w:szCs w:val="24"/>
          <w:u w:val="single"/>
        </w:rPr>
        <w:t xml:space="preserve">      </w:t>
      </w:r>
      <w:r>
        <w:rPr>
          <w:rFonts w:hint="eastAsia"/>
          <w:szCs w:val="24"/>
        </w:rPr>
        <w:t>万元，资产总额为</w:t>
      </w:r>
      <w:r>
        <w:rPr>
          <w:rFonts w:hint="eastAsia"/>
          <w:szCs w:val="24"/>
          <w:u w:val="single"/>
        </w:rPr>
        <w:t xml:space="preserve">      </w:t>
      </w:r>
      <w:r>
        <w:rPr>
          <w:rFonts w:hint="eastAsia"/>
          <w:szCs w:val="24"/>
        </w:rPr>
        <w:t>万元（</w:t>
      </w:r>
      <w:r>
        <w:rPr>
          <w:rFonts w:hint="eastAsia" w:ascii="楷体" w:hAnsi="楷体" w:eastAsia="楷体"/>
          <w:szCs w:val="24"/>
        </w:rPr>
        <w:t>从业人员、营业收入、资产总额填报上一年度数据，无上一年度数据的新成立企业可不填报</w:t>
      </w:r>
      <w:r>
        <w:rPr>
          <w:rFonts w:hint="eastAsia"/>
          <w:szCs w:val="24"/>
        </w:rPr>
        <w:t>），属于</w:t>
      </w:r>
      <w:r>
        <w:rPr>
          <w:rFonts w:hint="eastAsia"/>
          <w:szCs w:val="24"/>
          <w:u w:val="single"/>
        </w:rPr>
        <w:t xml:space="preserve"> </w:t>
      </w:r>
      <w:r>
        <w:rPr>
          <w:rFonts w:hint="eastAsia"/>
          <w:i/>
          <w:szCs w:val="24"/>
          <w:u w:val="single"/>
        </w:rPr>
        <w:t>（中型企业、小型企业、微型企业）</w:t>
      </w:r>
      <w:r>
        <w:rPr>
          <w:rFonts w:hint="eastAsia"/>
          <w:szCs w:val="24"/>
        </w:rPr>
        <w:t>；</w:t>
      </w:r>
    </w:p>
    <w:p>
      <w:pPr>
        <w:wordWrap w:val="0"/>
        <w:spacing w:line="360" w:lineRule="auto"/>
        <w:ind w:firstLine="480" w:firstLineChars="200"/>
        <w:rPr>
          <w:szCs w:val="24"/>
        </w:rPr>
      </w:pPr>
      <w:r>
        <w:rPr>
          <w:rFonts w:hint="eastAsia"/>
          <w:szCs w:val="24"/>
        </w:rPr>
        <w:t>……</w:t>
      </w:r>
    </w:p>
    <w:p>
      <w:pPr>
        <w:wordWrap w:val="0"/>
        <w:spacing w:line="360" w:lineRule="auto"/>
        <w:ind w:firstLine="480" w:firstLineChars="200"/>
        <w:rPr>
          <w:szCs w:val="24"/>
        </w:rPr>
      </w:pPr>
      <w:r>
        <w:rPr>
          <w:rFonts w:hint="eastAsia"/>
          <w:szCs w:val="24"/>
        </w:rPr>
        <w:t>以上企业，不属于大企业的分支机构，不存在控股股东为大企业的情形，也不存在与大企业的负责人为同一人的情形。</w:t>
      </w:r>
    </w:p>
    <w:p>
      <w:pPr>
        <w:wordWrap w:val="0"/>
        <w:spacing w:line="360" w:lineRule="auto"/>
        <w:ind w:left="1087" w:leftChars="200" w:hanging="607" w:hangingChars="253"/>
        <w:jc w:val="left"/>
        <w:rPr>
          <w:szCs w:val="24"/>
        </w:rPr>
      </w:pPr>
      <w:r>
        <w:rPr>
          <w:rFonts w:hint="eastAsia"/>
          <w:szCs w:val="24"/>
        </w:rPr>
        <w:t>本企业对上述声明内容的真实性负责。如有虚假，将依法承担相应责任。</w:t>
      </w:r>
    </w:p>
    <w:p>
      <w:pPr>
        <w:wordWrap w:val="0"/>
        <w:spacing w:line="360" w:lineRule="auto"/>
        <w:ind w:left="1091" w:hanging="1091" w:hangingChars="453"/>
        <w:jc w:val="left"/>
        <w:rPr>
          <w:b/>
          <w:szCs w:val="21"/>
          <w:lang w:val="zh-CN"/>
        </w:rPr>
      </w:pPr>
    </w:p>
    <w:p>
      <w:pPr>
        <w:wordWrap w:val="0"/>
        <w:spacing w:line="360" w:lineRule="auto"/>
        <w:ind w:left="1091" w:hanging="1091" w:hangingChars="453"/>
        <w:jc w:val="left"/>
        <w:rPr>
          <w:bCs/>
          <w:szCs w:val="24"/>
        </w:rPr>
      </w:pPr>
      <w:r>
        <w:rPr>
          <w:rFonts w:hint="eastAsia"/>
          <w:b/>
          <w:szCs w:val="21"/>
          <w:lang w:val="zh-CN"/>
        </w:rPr>
        <w:t>说明：</w:t>
      </w:r>
      <w:r>
        <w:rPr>
          <w:rFonts w:hint="eastAsia"/>
          <w:bCs/>
          <w:szCs w:val="24"/>
        </w:rPr>
        <w:t>1.</w:t>
      </w:r>
      <w:r>
        <w:rPr>
          <w:rFonts w:hint="eastAsia"/>
          <w:bCs/>
          <w:szCs w:val="21"/>
          <w:lang w:val="zh-CN"/>
        </w:rPr>
        <w:t>应严格按上述格式及内容进行填写；</w:t>
      </w:r>
    </w:p>
    <w:p>
      <w:pPr>
        <w:wordWrap w:val="0"/>
        <w:spacing w:line="360" w:lineRule="auto"/>
        <w:ind w:left="1087" w:hanging="1087" w:hangingChars="453"/>
        <w:jc w:val="left"/>
        <w:rPr>
          <w:bCs/>
          <w:szCs w:val="21"/>
          <w:lang w:val="zh-CN"/>
        </w:rPr>
      </w:pPr>
      <w:r>
        <w:rPr>
          <w:rFonts w:hint="eastAsia"/>
          <w:bCs/>
          <w:szCs w:val="21"/>
          <w:lang w:val="zh-CN"/>
        </w:rPr>
        <w:t xml:space="preserve">      2</w:t>
      </w:r>
      <w:r>
        <w:rPr>
          <w:rFonts w:hint="eastAsia"/>
          <w:bCs/>
          <w:szCs w:val="21"/>
        </w:rPr>
        <w:t>.</w:t>
      </w:r>
      <w:r>
        <w:rPr>
          <w:rFonts w:hint="eastAsia" w:cs="Courier New"/>
          <w:szCs w:val="21"/>
        </w:rPr>
        <w:t>以联合体方式参与项目投标的投标人，应由联合体各方盖章。</w:t>
      </w:r>
    </w:p>
    <w:p>
      <w:pPr>
        <w:wordWrap w:val="0"/>
        <w:spacing w:before="100" w:beforeAutospacing="1" w:after="100" w:afterAutospacing="1" w:line="360" w:lineRule="auto"/>
        <w:ind w:firstLine="3436" w:firstLineChars="1432"/>
        <w:rPr>
          <w:bCs/>
          <w:szCs w:val="21"/>
          <w:lang w:val="zh-CN"/>
        </w:rPr>
      </w:pPr>
      <w:r>
        <w:rPr>
          <w:rFonts w:hint="eastAsia"/>
          <w:bCs/>
          <w:szCs w:val="21"/>
          <w:lang w:val="zh-CN"/>
        </w:rPr>
        <w:t>投标人（公章）：</w:t>
      </w:r>
      <w:r>
        <w:rPr>
          <w:rFonts w:hint="eastAsia"/>
          <w:bCs/>
          <w:szCs w:val="21"/>
          <w:u w:val="single"/>
          <w:lang w:val="zh-CN"/>
        </w:rPr>
        <w:t xml:space="preserve">                              </w:t>
      </w:r>
    </w:p>
    <w:p>
      <w:pPr>
        <w:wordWrap w:val="0"/>
        <w:spacing w:before="100" w:beforeAutospacing="1" w:after="100" w:afterAutospacing="1" w:line="360" w:lineRule="auto"/>
        <w:ind w:firstLine="3436" w:firstLineChars="1432"/>
        <w:rPr>
          <w:bCs/>
          <w:szCs w:val="24"/>
          <w:u w:val="single"/>
        </w:rPr>
      </w:pPr>
      <w:r>
        <w:rPr>
          <w:rFonts w:hint="eastAsia"/>
          <w:szCs w:val="24"/>
        </w:rPr>
        <w:t>日 </w:t>
      </w:r>
      <w:r>
        <w:rPr>
          <w:szCs w:val="24"/>
        </w:rPr>
        <w:t xml:space="preserve"> </w:t>
      </w:r>
      <w:r>
        <w:rPr>
          <w:rFonts w:hint="eastAsia"/>
          <w:szCs w:val="24"/>
        </w:rPr>
        <w:t> 期：</w:t>
      </w:r>
      <w:r>
        <w:rPr>
          <w:bCs/>
          <w:szCs w:val="24"/>
          <w:u w:val="single"/>
        </w:rPr>
        <w:t xml:space="preserve">                      </w:t>
      </w:r>
      <w:r>
        <w:rPr>
          <w:rFonts w:hint="eastAsia"/>
          <w:bCs/>
          <w:szCs w:val="24"/>
          <w:u w:val="single"/>
        </w:rPr>
        <w:t xml:space="preserve">     </w:t>
      </w:r>
      <w:r>
        <w:rPr>
          <w:bCs/>
          <w:szCs w:val="24"/>
          <w:u w:val="single"/>
        </w:rPr>
        <w:t xml:space="preserve">        </w:t>
      </w:r>
    </w:p>
    <w:p>
      <w:pPr>
        <w:pStyle w:val="11"/>
        <w:wordWrap w:val="0"/>
        <w:spacing w:line="360" w:lineRule="auto"/>
      </w:pPr>
      <w:r>
        <w:br w:type="page"/>
      </w:r>
    </w:p>
    <w:p>
      <w:pPr>
        <w:pStyle w:val="5"/>
        <w:spacing w:before="260" w:after="260" w:line="360" w:lineRule="auto"/>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.3</w:t>
      </w:r>
      <w:r>
        <w:rPr>
          <w:rFonts w:hint="eastAsia" w:ascii="宋体" w:hAnsi="宋体" w:eastAsia="宋体"/>
          <w:sz w:val="24"/>
          <w:szCs w:val="24"/>
        </w:rPr>
        <w:t>-3：创新产品应用示范推荐目录内中小企业声明函（货物）</w:t>
      </w:r>
    </w:p>
    <w:p>
      <w:pPr>
        <w:wordWrap w:val="0"/>
        <w:adjustRightInd w:val="0"/>
        <w:snapToGrid w:val="0"/>
        <w:spacing w:line="360" w:lineRule="auto"/>
        <w:ind w:firstLine="435"/>
        <w:rPr>
          <w:rFonts w:cs="@仿宋_GB2312"/>
          <w:strike/>
          <w:spacing w:val="6"/>
          <w:szCs w:val="24"/>
        </w:rPr>
      </w:pPr>
      <w:r>
        <w:rPr>
          <w:rFonts w:hint="eastAsia" w:cs="@仿宋_GB2312"/>
          <w:spacing w:val="6"/>
          <w:szCs w:val="24"/>
        </w:rPr>
        <w:t>本公司（联合体）郑重声明，根据《政府采购促进中小企业发展管理办法》（财库〔</w:t>
      </w:r>
      <w:r>
        <w:rPr>
          <w:rFonts w:cs="@仿宋_GB2312"/>
          <w:spacing w:val="6"/>
          <w:szCs w:val="24"/>
        </w:rPr>
        <w:t>2020〕</w:t>
      </w:r>
      <w:r>
        <w:rPr>
          <w:rFonts w:hint="eastAsia" w:cs="@仿宋_GB2312"/>
          <w:spacing w:val="6"/>
          <w:szCs w:val="24"/>
        </w:rPr>
        <w:t>46 号）和《关于落实稳住经济一揽子政策进一步加大政府采购支持中小企业力度的通知》（鄂财采发〔</w:t>
      </w:r>
      <w:r>
        <w:rPr>
          <w:rFonts w:cs="@仿宋_GB2312"/>
          <w:spacing w:val="6"/>
          <w:szCs w:val="24"/>
        </w:rPr>
        <w:t>2022〕</w:t>
      </w:r>
      <w:r>
        <w:rPr>
          <w:rFonts w:hint="eastAsia" w:cs="@仿宋_GB2312"/>
          <w:spacing w:val="6"/>
          <w:szCs w:val="24"/>
        </w:rPr>
        <w:t>5号）的规定，本公司（联合体）参加</w:t>
      </w:r>
      <w:r>
        <w:rPr>
          <w:rFonts w:hint="eastAsia" w:cs="@仿宋_GB2312"/>
          <w:i/>
          <w:spacing w:val="6"/>
          <w:szCs w:val="24"/>
          <w:u w:val="single"/>
        </w:rPr>
        <w:t xml:space="preserve"> （单位名称） </w:t>
      </w:r>
      <w:r>
        <w:rPr>
          <w:rFonts w:hint="eastAsia" w:cs="@仿宋_GB2312"/>
          <w:spacing w:val="6"/>
          <w:szCs w:val="24"/>
        </w:rPr>
        <w:t>的</w:t>
      </w:r>
      <w:r>
        <w:rPr>
          <w:rFonts w:hint="eastAsia" w:cs="@仿宋_GB2312"/>
          <w:i/>
          <w:spacing w:val="6"/>
          <w:szCs w:val="24"/>
          <w:u w:val="single"/>
        </w:rPr>
        <w:t xml:space="preserve"> （项目名称） </w:t>
      </w:r>
      <w:r>
        <w:rPr>
          <w:rFonts w:hint="eastAsia" w:cs="@仿宋_GB2312"/>
          <w:spacing w:val="6"/>
          <w:szCs w:val="24"/>
        </w:rPr>
        <w:t>采购活动，提供的货物</w:t>
      </w:r>
      <w:r>
        <w:rPr>
          <w:rFonts w:hint="eastAsia" w:cs="@仿宋_GB2312"/>
          <w:b/>
          <w:spacing w:val="6"/>
          <w:szCs w:val="24"/>
        </w:rPr>
        <w:t>全部由</w:t>
      </w:r>
      <w:r>
        <w:rPr>
          <w:rFonts w:hint="eastAsia"/>
          <w:bCs/>
          <w:szCs w:val="24"/>
          <w:lang w:val="zh-CN"/>
        </w:rPr>
        <w:t>行政部门颁发的（有效期内）</w:t>
      </w:r>
      <w:r>
        <w:rPr>
          <w:rFonts w:hint="eastAsia" w:cs="@仿宋_GB2312"/>
          <w:spacing w:val="6"/>
          <w:szCs w:val="24"/>
        </w:rPr>
        <w:t>创新产品应用示范推荐</w:t>
      </w:r>
      <w:r>
        <w:rPr>
          <w:rFonts w:hint="eastAsia" w:cs="@仿宋_GB2312"/>
          <w:b/>
          <w:spacing w:val="6"/>
          <w:szCs w:val="24"/>
        </w:rPr>
        <w:t>目录内</w:t>
      </w:r>
      <w:r>
        <w:rPr>
          <w:rFonts w:hint="eastAsia" w:cs="@仿宋_GB2312"/>
          <w:spacing w:val="6"/>
          <w:szCs w:val="24"/>
        </w:rPr>
        <w:t>符合政策要求的</w:t>
      </w:r>
      <w:r>
        <w:rPr>
          <w:rFonts w:hint="eastAsia" w:cs="@仿宋_GB2312"/>
          <w:b/>
          <w:spacing w:val="6"/>
          <w:szCs w:val="24"/>
        </w:rPr>
        <w:t>中小企业制造</w:t>
      </w:r>
      <w:r>
        <w:rPr>
          <w:rFonts w:hint="eastAsia" w:cs="@仿宋_GB2312"/>
          <w:spacing w:val="6"/>
          <w:szCs w:val="24"/>
        </w:rPr>
        <w:t>。相关企业（含联合体中的企业、签订分包意向协议的企业）的具体情况如下：</w:t>
      </w:r>
    </w:p>
    <w:p>
      <w:pPr>
        <w:wordWrap w:val="0"/>
        <w:adjustRightInd w:val="0"/>
        <w:snapToGrid w:val="0"/>
        <w:spacing w:line="360" w:lineRule="auto"/>
        <w:ind w:firstLine="480" w:firstLineChars="200"/>
        <w:rPr>
          <w:szCs w:val="24"/>
        </w:rPr>
      </w:pPr>
      <w:r>
        <w:rPr>
          <w:rFonts w:hint="eastAsia"/>
          <w:szCs w:val="24"/>
        </w:rPr>
        <w:t>1.</w:t>
      </w:r>
      <w:r>
        <w:rPr>
          <w:rFonts w:hint="eastAsia"/>
          <w:szCs w:val="24"/>
          <w:u w:val="single"/>
        </w:rPr>
        <w:t xml:space="preserve"> </w:t>
      </w:r>
      <w:r>
        <w:rPr>
          <w:rFonts w:hint="eastAsia"/>
          <w:i/>
          <w:szCs w:val="24"/>
          <w:u w:val="single"/>
        </w:rPr>
        <w:t>（货物1名称）</w:t>
      </w:r>
      <w:r>
        <w:rPr>
          <w:rFonts w:hint="eastAsia"/>
          <w:szCs w:val="24"/>
          <w:u w:val="single"/>
        </w:rPr>
        <w:t xml:space="preserve"> </w:t>
      </w:r>
      <w:r>
        <w:rPr>
          <w:rFonts w:hint="eastAsia"/>
          <w:szCs w:val="24"/>
        </w:rPr>
        <w:t>，属于</w:t>
      </w:r>
      <w:r>
        <w:rPr>
          <w:rFonts w:hint="eastAsia"/>
          <w:bCs/>
          <w:szCs w:val="24"/>
          <w:lang w:val="zh-CN"/>
        </w:rPr>
        <w:t>行政部门颁发的（有效期内）</w:t>
      </w:r>
      <w:r>
        <w:rPr>
          <w:rFonts w:hint="eastAsia"/>
          <w:szCs w:val="24"/>
        </w:rPr>
        <w:t>创新产品应用示范推荐目录内产品，属于</w:t>
      </w:r>
      <w:r>
        <w:rPr>
          <w:rFonts w:hint="eastAsia"/>
          <w:szCs w:val="24"/>
          <w:u w:val="single"/>
        </w:rPr>
        <w:t xml:space="preserve"> </w:t>
      </w:r>
      <w:r>
        <w:rPr>
          <w:rFonts w:hint="eastAsia"/>
          <w:i/>
          <w:szCs w:val="24"/>
          <w:u w:val="single"/>
        </w:rPr>
        <w:t xml:space="preserve">（采购文件中明确的所属行业） </w:t>
      </w:r>
      <w:r>
        <w:rPr>
          <w:rFonts w:hint="eastAsia"/>
          <w:szCs w:val="24"/>
        </w:rPr>
        <w:t>行业 ；制造商为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，从业人员</w:t>
      </w:r>
      <w:r>
        <w:rPr>
          <w:rFonts w:hint="eastAsia"/>
          <w:szCs w:val="24"/>
          <w:u w:val="single"/>
        </w:rPr>
        <w:t xml:space="preserve">      </w:t>
      </w:r>
      <w:r>
        <w:rPr>
          <w:rFonts w:hint="eastAsia"/>
          <w:szCs w:val="24"/>
        </w:rPr>
        <w:t>人，营业收入为</w:t>
      </w:r>
      <w:r>
        <w:rPr>
          <w:rFonts w:hint="eastAsia"/>
          <w:szCs w:val="24"/>
          <w:u w:val="single"/>
        </w:rPr>
        <w:t xml:space="preserve">      </w:t>
      </w:r>
      <w:r>
        <w:rPr>
          <w:rFonts w:hint="eastAsia"/>
          <w:szCs w:val="24"/>
        </w:rPr>
        <w:t>万元，资产总额为</w:t>
      </w:r>
      <w:r>
        <w:rPr>
          <w:rFonts w:hint="eastAsia"/>
          <w:szCs w:val="24"/>
          <w:u w:val="single"/>
        </w:rPr>
        <w:t xml:space="preserve">      </w:t>
      </w:r>
      <w:r>
        <w:rPr>
          <w:rFonts w:hint="eastAsia"/>
          <w:szCs w:val="24"/>
        </w:rPr>
        <w:t>万元（</w:t>
      </w:r>
      <w:r>
        <w:rPr>
          <w:rFonts w:hint="eastAsia" w:ascii="楷体" w:hAnsi="楷体" w:eastAsia="楷体"/>
          <w:szCs w:val="24"/>
        </w:rPr>
        <w:t>从业人员、营业收入、资产总额填报上一年度数据，无上一年度数据的新成立企业可不填报</w:t>
      </w:r>
      <w:r>
        <w:rPr>
          <w:rFonts w:hint="eastAsia"/>
          <w:szCs w:val="24"/>
        </w:rPr>
        <w:t>），属于</w:t>
      </w:r>
      <w:r>
        <w:rPr>
          <w:rFonts w:hint="eastAsia"/>
          <w:szCs w:val="24"/>
          <w:u w:val="single"/>
        </w:rPr>
        <w:t xml:space="preserve"> </w:t>
      </w:r>
      <w:r>
        <w:rPr>
          <w:rFonts w:hint="eastAsia"/>
          <w:i/>
          <w:szCs w:val="24"/>
          <w:u w:val="single"/>
        </w:rPr>
        <w:t>（中型企业、小型企业、微型企业）</w:t>
      </w:r>
      <w:r>
        <w:rPr>
          <w:rFonts w:hint="eastAsia"/>
          <w:szCs w:val="24"/>
        </w:rPr>
        <w:t>；</w:t>
      </w:r>
    </w:p>
    <w:p>
      <w:pPr>
        <w:wordWrap w:val="0"/>
        <w:adjustRightInd w:val="0"/>
        <w:snapToGrid w:val="0"/>
        <w:spacing w:line="360" w:lineRule="auto"/>
        <w:ind w:firstLine="480" w:firstLineChars="200"/>
        <w:rPr>
          <w:szCs w:val="24"/>
        </w:rPr>
      </w:pPr>
      <w:r>
        <w:rPr>
          <w:rFonts w:hint="eastAsia"/>
          <w:szCs w:val="24"/>
        </w:rPr>
        <w:t>2.</w:t>
      </w:r>
      <w:r>
        <w:rPr>
          <w:rFonts w:hint="eastAsia"/>
          <w:szCs w:val="24"/>
          <w:u w:val="single"/>
        </w:rPr>
        <w:t xml:space="preserve"> </w:t>
      </w:r>
      <w:r>
        <w:rPr>
          <w:rFonts w:hint="eastAsia"/>
          <w:i/>
          <w:szCs w:val="24"/>
          <w:u w:val="single"/>
        </w:rPr>
        <w:t>（货物2名称）</w:t>
      </w:r>
      <w:r>
        <w:rPr>
          <w:rFonts w:hint="eastAsia"/>
          <w:szCs w:val="24"/>
          <w:u w:val="single"/>
        </w:rPr>
        <w:t xml:space="preserve"> </w:t>
      </w:r>
      <w:r>
        <w:rPr>
          <w:rFonts w:hint="eastAsia"/>
          <w:szCs w:val="24"/>
        </w:rPr>
        <w:t>，属于</w:t>
      </w:r>
      <w:r>
        <w:rPr>
          <w:rFonts w:hint="eastAsia"/>
          <w:bCs/>
          <w:szCs w:val="24"/>
          <w:lang w:val="zh-CN"/>
        </w:rPr>
        <w:t>行政部门颁发的（有效期内）</w:t>
      </w:r>
      <w:r>
        <w:rPr>
          <w:rFonts w:hint="eastAsia"/>
          <w:szCs w:val="24"/>
        </w:rPr>
        <w:t>创新产品应用示范推荐目录内产品，属于</w:t>
      </w:r>
      <w:r>
        <w:rPr>
          <w:rFonts w:hint="eastAsia"/>
          <w:szCs w:val="24"/>
          <w:u w:val="single"/>
        </w:rPr>
        <w:t xml:space="preserve"> </w:t>
      </w:r>
      <w:r>
        <w:rPr>
          <w:rFonts w:hint="eastAsia"/>
          <w:i/>
          <w:szCs w:val="24"/>
          <w:u w:val="single"/>
        </w:rPr>
        <w:t xml:space="preserve">（采购文件中明确的所属行业） </w:t>
      </w:r>
      <w:r>
        <w:rPr>
          <w:rFonts w:hint="eastAsia"/>
          <w:szCs w:val="24"/>
        </w:rPr>
        <w:t>行业 ；制造商为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，从业人员</w:t>
      </w:r>
      <w:r>
        <w:rPr>
          <w:rFonts w:hint="eastAsia"/>
          <w:szCs w:val="24"/>
          <w:u w:val="single"/>
        </w:rPr>
        <w:t xml:space="preserve">      </w:t>
      </w:r>
      <w:r>
        <w:rPr>
          <w:rFonts w:hint="eastAsia"/>
          <w:szCs w:val="24"/>
        </w:rPr>
        <w:t>人，营业收入为</w:t>
      </w:r>
      <w:r>
        <w:rPr>
          <w:rFonts w:hint="eastAsia"/>
          <w:szCs w:val="24"/>
          <w:u w:val="single"/>
        </w:rPr>
        <w:t xml:space="preserve">      </w:t>
      </w:r>
      <w:r>
        <w:rPr>
          <w:rFonts w:hint="eastAsia"/>
          <w:szCs w:val="24"/>
        </w:rPr>
        <w:t>万元，资产总额为</w:t>
      </w:r>
      <w:r>
        <w:rPr>
          <w:rFonts w:hint="eastAsia"/>
          <w:szCs w:val="24"/>
          <w:u w:val="single"/>
        </w:rPr>
        <w:t xml:space="preserve">      </w:t>
      </w:r>
      <w:r>
        <w:rPr>
          <w:rFonts w:hint="eastAsia"/>
          <w:szCs w:val="24"/>
        </w:rPr>
        <w:t>万元（</w:t>
      </w:r>
      <w:r>
        <w:rPr>
          <w:rFonts w:hint="eastAsia" w:ascii="楷体" w:hAnsi="楷体" w:eastAsia="楷体"/>
          <w:szCs w:val="24"/>
        </w:rPr>
        <w:t>从业人员、营业收入、资产总额填报上一年度数据，无上一年度数据的新成立企业可不填报</w:t>
      </w:r>
      <w:r>
        <w:rPr>
          <w:rFonts w:hint="eastAsia"/>
          <w:szCs w:val="24"/>
        </w:rPr>
        <w:t>），属于</w:t>
      </w:r>
      <w:r>
        <w:rPr>
          <w:rFonts w:hint="eastAsia"/>
          <w:szCs w:val="24"/>
          <w:u w:val="single"/>
        </w:rPr>
        <w:t xml:space="preserve"> </w:t>
      </w:r>
      <w:r>
        <w:rPr>
          <w:rFonts w:hint="eastAsia"/>
          <w:i/>
          <w:szCs w:val="24"/>
          <w:u w:val="single"/>
        </w:rPr>
        <w:t>（中型企业、小型企业、微型企业）</w:t>
      </w:r>
      <w:r>
        <w:rPr>
          <w:rFonts w:hint="eastAsia"/>
          <w:szCs w:val="24"/>
        </w:rPr>
        <w:t>；</w:t>
      </w:r>
    </w:p>
    <w:p>
      <w:pPr>
        <w:wordWrap w:val="0"/>
        <w:adjustRightInd w:val="0"/>
        <w:snapToGrid w:val="0"/>
        <w:spacing w:line="360" w:lineRule="auto"/>
        <w:ind w:firstLine="480" w:firstLineChars="200"/>
        <w:rPr>
          <w:szCs w:val="24"/>
        </w:rPr>
      </w:pPr>
      <w:r>
        <w:rPr>
          <w:rFonts w:hint="eastAsia"/>
          <w:szCs w:val="24"/>
        </w:rPr>
        <w:t>……</w:t>
      </w:r>
    </w:p>
    <w:p>
      <w:pPr>
        <w:wordWrap w:val="0"/>
        <w:adjustRightInd w:val="0"/>
        <w:snapToGrid w:val="0"/>
        <w:spacing w:line="360" w:lineRule="auto"/>
        <w:ind w:firstLine="480" w:firstLineChars="200"/>
        <w:rPr>
          <w:szCs w:val="24"/>
        </w:rPr>
      </w:pPr>
      <w:r>
        <w:rPr>
          <w:rFonts w:hint="eastAsia"/>
          <w:szCs w:val="24"/>
        </w:rPr>
        <w:t>以上企业，不属于大企业的分支机构，不存在控股股东为大企业的情形，也不存在与大企业的负责人为同一人的情形。</w:t>
      </w:r>
    </w:p>
    <w:p>
      <w:pPr>
        <w:wordWrap w:val="0"/>
        <w:adjustRightInd w:val="0"/>
        <w:snapToGrid w:val="0"/>
        <w:spacing w:line="360" w:lineRule="auto"/>
        <w:ind w:left="1087" w:leftChars="200" w:hanging="607" w:hangingChars="253"/>
        <w:jc w:val="left"/>
        <w:rPr>
          <w:szCs w:val="24"/>
        </w:rPr>
      </w:pPr>
      <w:r>
        <w:rPr>
          <w:rFonts w:hint="eastAsia"/>
          <w:szCs w:val="24"/>
        </w:rPr>
        <w:t>本企业对上述声明内容的真实性负责。如有虚假，将依法承担相应责任。</w:t>
      </w:r>
    </w:p>
    <w:p>
      <w:pPr>
        <w:wordWrap w:val="0"/>
        <w:adjustRightInd w:val="0"/>
        <w:snapToGrid w:val="0"/>
        <w:spacing w:line="360" w:lineRule="auto"/>
        <w:ind w:left="1091" w:hanging="1091" w:hangingChars="453"/>
        <w:jc w:val="left"/>
        <w:rPr>
          <w:b/>
          <w:bCs/>
          <w:szCs w:val="24"/>
        </w:rPr>
      </w:pPr>
    </w:p>
    <w:p>
      <w:pPr>
        <w:wordWrap w:val="0"/>
        <w:spacing w:line="360" w:lineRule="auto"/>
        <w:ind w:left="1091" w:hanging="1091" w:hangingChars="453"/>
        <w:jc w:val="left"/>
        <w:rPr>
          <w:bCs/>
          <w:szCs w:val="24"/>
        </w:rPr>
      </w:pPr>
      <w:r>
        <w:rPr>
          <w:rFonts w:hint="eastAsia"/>
          <w:b/>
          <w:bCs/>
          <w:szCs w:val="24"/>
        </w:rPr>
        <w:t>说明：</w:t>
      </w:r>
      <w:r>
        <w:rPr>
          <w:rFonts w:hint="eastAsia"/>
          <w:bCs/>
          <w:szCs w:val="24"/>
        </w:rPr>
        <w:t>1.</w:t>
      </w:r>
      <w:r>
        <w:rPr>
          <w:rFonts w:hint="eastAsia"/>
          <w:bCs/>
          <w:szCs w:val="21"/>
          <w:lang w:val="zh-CN"/>
        </w:rPr>
        <w:t>应严格按上述格式及内容进行填写；</w:t>
      </w:r>
    </w:p>
    <w:p>
      <w:pPr>
        <w:wordWrap w:val="0"/>
        <w:spacing w:line="360" w:lineRule="auto"/>
        <w:ind w:left="1087" w:hanging="1087" w:hangingChars="453"/>
        <w:jc w:val="left"/>
        <w:rPr>
          <w:bCs/>
          <w:szCs w:val="21"/>
          <w:lang w:val="zh-CN"/>
        </w:rPr>
      </w:pPr>
      <w:r>
        <w:rPr>
          <w:rFonts w:hint="eastAsia"/>
          <w:bCs/>
          <w:szCs w:val="21"/>
          <w:lang w:val="zh-CN"/>
        </w:rPr>
        <w:t xml:space="preserve">      2</w:t>
      </w:r>
      <w:r>
        <w:rPr>
          <w:rFonts w:hint="eastAsia"/>
          <w:bCs/>
          <w:szCs w:val="21"/>
        </w:rPr>
        <w:t>.</w:t>
      </w:r>
      <w:r>
        <w:rPr>
          <w:rFonts w:hint="eastAsia" w:cs="Courier New"/>
          <w:szCs w:val="21"/>
        </w:rPr>
        <w:t>以联合体方式参与项目投标的投标人，应由联合体各方盖章。</w:t>
      </w:r>
    </w:p>
    <w:p>
      <w:pPr>
        <w:wordWrap w:val="0"/>
        <w:spacing w:line="360" w:lineRule="auto"/>
        <w:ind w:left="991" w:leftChars="295" w:hanging="283" w:hangingChars="118"/>
        <w:jc w:val="left"/>
        <w:rPr>
          <w:bCs/>
          <w:szCs w:val="21"/>
          <w:lang w:val="zh-CN"/>
        </w:rPr>
      </w:pPr>
      <w:r>
        <w:rPr>
          <w:rFonts w:hint="eastAsia"/>
          <w:bCs/>
          <w:szCs w:val="21"/>
          <w:lang w:val="zh-CN"/>
        </w:rPr>
        <w:t>3</w:t>
      </w:r>
      <w:r>
        <w:rPr>
          <w:rFonts w:hint="eastAsia"/>
          <w:bCs/>
          <w:szCs w:val="21"/>
        </w:rPr>
        <w:t>.</w:t>
      </w:r>
      <w:r>
        <w:rPr>
          <w:rFonts w:hint="eastAsia"/>
          <w:bCs/>
          <w:szCs w:val="21"/>
          <w:lang w:val="zh-CN"/>
        </w:rPr>
        <w:t>应提供行政部门颁发的（有效期内）的创新产品应用示范推荐目录（所投产品应与清单中产品规格型号一致）。</w:t>
      </w:r>
    </w:p>
    <w:p>
      <w:pPr>
        <w:wordWrap w:val="0"/>
        <w:adjustRightInd w:val="0"/>
        <w:snapToGrid w:val="0"/>
        <w:spacing w:before="100" w:beforeAutospacing="1" w:after="100" w:afterAutospacing="1" w:line="360" w:lineRule="auto"/>
        <w:ind w:firstLine="3436" w:firstLineChars="1432"/>
        <w:rPr>
          <w:bCs/>
          <w:szCs w:val="21"/>
          <w:lang w:val="zh-CN"/>
        </w:rPr>
      </w:pPr>
      <w:r>
        <w:rPr>
          <w:rFonts w:hint="eastAsia"/>
          <w:bCs/>
          <w:szCs w:val="21"/>
          <w:lang w:val="zh-CN"/>
        </w:rPr>
        <w:t>投标人（公章）：</w:t>
      </w:r>
      <w:r>
        <w:rPr>
          <w:rFonts w:hint="eastAsia"/>
          <w:bCs/>
          <w:szCs w:val="21"/>
          <w:u w:val="single"/>
          <w:lang w:val="zh-CN"/>
        </w:rPr>
        <w:t xml:space="preserve">                              </w:t>
      </w:r>
    </w:p>
    <w:p>
      <w:pPr>
        <w:wordWrap w:val="0"/>
        <w:adjustRightInd w:val="0"/>
        <w:snapToGrid w:val="0"/>
        <w:spacing w:before="100" w:beforeAutospacing="1" w:after="100" w:afterAutospacing="1" w:line="360" w:lineRule="auto"/>
        <w:ind w:firstLine="3436" w:firstLineChars="1432"/>
        <w:rPr>
          <w:b/>
          <w:sz w:val="28"/>
        </w:rPr>
      </w:pPr>
      <w:r>
        <w:rPr>
          <w:rFonts w:hint="eastAsia"/>
          <w:szCs w:val="24"/>
        </w:rPr>
        <w:t>日     期：</w:t>
      </w:r>
      <w:r>
        <w:rPr>
          <w:bCs/>
          <w:szCs w:val="24"/>
          <w:u w:val="single"/>
        </w:rPr>
        <w:t xml:space="preserve">                                  </w:t>
      </w:r>
    </w:p>
    <w:p>
      <w:pPr>
        <w:pStyle w:val="5"/>
        <w:spacing w:before="260" w:after="260" w:line="360" w:lineRule="auto"/>
        <w:rPr>
          <w:rFonts w:ascii="宋体" w:hAnsi="宋体" w:eastAsia="宋体"/>
          <w:bCs/>
          <w:sz w:val="24"/>
          <w:szCs w:val="24"/>
        </w:rPr>
      </w:pPr>
      <w:r>
        <w:rPr>
          <w:rFonts w:hint="eastAsia" w:ascii="宋体" w:hAnsi="宋体" w:eastAsia="宋体"/>
          <w:sz w:val="24"/>
          <w:szCs w:val="24"/>
        </w:rPr>
        <w:t>6</w:t>
      </w:r>
      <w:r>
        <w:rPr>
          <w:rFonts w:ascii="宋体" w:hAnsi="宋体" w:eastAsia="宋体"/>
          <w:sz w:val="24"/>
          <w:szCs w:val="24"/>
        </w:rPr>
        <w:t>.3</w:t>
      </w:r>
      <w:r>
        <w:rPr>
          <w:rFonts w:hint="eastAsia" w:ascii="宋体" w:hAnsi="宋体" w:eastAsia="宋体"/>
          <w:sz w:val="24"/>
          <w:szCs w:val="24"/>
        </w:rPr>
        <w:t>-4：节能环保产品中小企业声明函（货物）</w:t>
      </w:r>
    </w:p>
    <w:p>
      <w:pPr>
        <w:wordWrap w:val="0"/>
        <w:spacing w:line="360" w:lineRule="auto"/>
        <w:ind w:firstLine="504" w:firstLineChars="200"/>
        <w:rPr>
          <w:rFonts w:cs="@仿宋_GB2312"/>
          <w:spacing w:val="6"/>
          <w:szCs w:val="24"/>
        </w:rPr>
      </w:pPr>
      <w:r>
        <w:rPr>
          <w:rFonts w:hint="eastAsia" w:cs="@仿宋_GB2312"/>
          <w:spacing w:val="6"/>
          <w:szCs w:val="24"/>
        </w:rPr>
        <w:t>本公司（联合体）郑重声明，根据《政府采购促进中小企业发展管理办法》（财库〔</w:t>
      </w:r>
      <w:r>
        <w:rPr>
          <w:rFonts w:cs="@仿宋_GB2312"/>
          <w:spacing w:val="6"/>
          <w:szCs w:val="24"/>
        </w:rPr>
        <w:t>2020〕</w:t>
      </w:r>
      <w:r>
        <w:rPr>
          <w:rFonts w:hint="eastAsia" w:cs="@仿宋_GB2312"/>
          <w:spacing w:val="6"/>
          <w:szCs w:val="24"/>
        </w:rPr>
        <w:t>46 号）和《关于落实稳住经济一揽子政策进一步加大政府采购支持中小企业力度的通知》（鄂财采发〔</w:t>
      </w:r>
      <w:r>
        <w:rPr>
          <w:rFonts w:cs="@仿宋_GB2312"/>
          <w:spacing w:val="6"/>
          <w:szCs w:val="24"/>
        </w:rPr>
        <w:t>2022〕</w:t>
      </w:r>
      <w:r>
        <w:rPr>
          <w:rFonts w:hint="eastAsia" w:cs="@仿宋_GB2312"/>
          <w:spacing w:val="6"/>
          <w:szCs w:val="24"/>
        </w:rPr>
        <w:t>5号）的规定，本公司（联合体）参加</w:t>
      </w:r>
      <w:r>
        <w:rPr>
          <w:rFonts w:hint="eastAsia" w:cs="@仿宋_GB2312"/>
          <w:i/>
          <w:spacing w:val="6"/>
          <w:szCs w:val="24"/>
          <w:u w:val="single"/>
        </w:rPr>
        <w:t xml:space="preserve"> （单位名称） </w:t>
      </w:r>
      <w:r>
        <w:rPr>
          <w:rFonts w:hint="eastAsia" w:cs="@仿宋_GB2312"/>
          <w:spacing w:val="6"/>
          <w:szCs w:val="24"/>
        </w:rPr>
        <w:t>的</w:t>
      </w:r>
      <w:r>
        <w:rPr>
          <w:rFonts w:hint="eastAsia" w:cs="@仿宋_GB2312"/>
          <w:i/>
          <w:spacing w:val="6"/>
          <w:szCs w:val="24"/>
          <w:u w:val="single"/>
        </w:rPr>
        <w:t xml:space="preserve"> （项目名称） </w:t>
      </w:r>
      <w:r>
        <w:rPr>
          <w:rFonts w:hint="eastAsia" w:cs="@仿宋_GB2312"/>
          <w:spacing w:val="6"/>
          <w:szCs w:val="24"/>
        </w:rPr>
        <w:t>采购活动，提供的货物</w:t>
      </w:r>
      <w:r>
        <w:rPr>
          <w:rFonts w:hint="eastAsia" w:cs="@仿宋_GB2312"/>
          <w:b/>
          <w:spacing w:val="6"/>
          <w:szCs w:val="24"/>
        </w:rPr>
        <w:t>全部</w:t>
      </w:r>
      <w:r>
        <w:rPr>
          <w:rFonts w:hint="eastAsia"/>
          <w:b/>
          <w:szCs w:val="24"/>
        </w:rPr>
        <w:t>获得</w:t>
      </w:r>
      <w:r>
        <w:rPr>
          <w:rFonts w:hint="eastAsia"/>
          <w:szCs w:val="24"/>
        </w:rPr>
        <w:t>节能产品或环境标志产品认证证书</w:t>
      </w:r>
      <w:r>
        <w:rPr>
          <w:rFonts w:hint="eastAsia" w:cs="@仿宋_GB2312"/>
          <w:b/>
          <w:spacing w:val="6"/>
          <w:szCs w:val="24"/>
        </w:rPr>
        <w:t>且由</w:t>
      </w:r>
      <w:r>
        <w:rPr>
          <w:rFonts w:hint="eastAsia" w:cs="@仿宋_GB2312"/>
          <w:spacing w:val="6"/>
          <w:szCs w:val="24"/>
        </w:rPr>
        <w:t>符合政策要求的</w:t>
      </w:r>
      <w:r>
        <w:rPr>
          <w:rFonts w:hint="eastAsia" w:cs="@仿宋_GB2312"/>
          <w:b/>
          <w:spacing w:val="6"/>
          <w:szCs w:val="24"/>
        </w:rPr>
        <w:t>中小企业制造</w:t>
      </w:r>
      <w:r>
        <w:rPr>
          <w:rFonts w:hint="eastAsia" w:cs="@仿宋_GB2312"/>
          <w:spacing w:val="6"/>
          <w:szCs w:val="24"/>
        </w:rPr>
        <w:t>。相关企业（含联合体中的企业、签订分包意向协议的企业）的具体情况如下：</w:t>
      </w:r>
    </w:p>
    <w:p>
      <w:pPr>
        <w:wordWrap w:val="0"/>
        <w:spacing w:line="360" w:lineRule="auto"/>
        <w:ind w:firstLine="480" w:firstLineChars="200"/>
        <w:rPr>
          <w:szCs w:val="24"/>
        </w:rPr>
      </w:pPr>
      <w:r>
        <w:rPr>
          <w:rFonts w:hint="eastAsia"/>
          <w:szCs w:val="24"/>
        </w:rPr>
        <w:t>1.</w:t>
      </w:r>
      <w:r>
        <w:rPr>
          <w:rFonts w:hint="eastAsia"/>
          <w:szCs w:val="24"/>
          <w:u w:val="single"/>
        </w:rPr>
        <w:t xml:space="preserve"> </w:t>
      </w:r>
      <w:r>
        <w:rPr>
          <w:rFonts w:hint="eastAsia"/>
          <w:i/>
          <w:szCs w:val="24"/>
          <w:u w:val="single"/>
        </w:rPr>
        <w:t>（货物1名称）</w:t>
      </w:r>
      <w:r>
        <w:rPr>
          <w:rFonts w:hint="eastAsia"/>
          <w:szCs w:val="24"/>
          <w:u w:val="single"/>
        </w:rPr>
        <w:t xml:space="preserve"> </w:t>
      </w:r>
      <w:r>
        <w:rPr>
          <w:rFonts w:hint="eastAsia"/>
          <w:szCs w:val="24"/>
        </w:rPr>
        <w:t>，属于政府优先采购《节能产品政府采购品目清单》或《环境标志产品政府采购品目清单》范围内且获得节能产品或环境标志产品认证证书的产品，属于</w:t>
      </w:r>
      <w:r>
        <w:rPr>
          <w:rFonts w:hint="eastAsia"/>
          <w:szCs w:val="24"/>
          <w:u w:val="single"/>
        </w:rPr>
        <w:t xml:space="preserve"> </w:t>
      </w:r>
      <w:r>
        <w:rPr>
          <w:rFonts w:hint="eastAsia"/>
          <w:i/>
          <w:szCs w:val="24"/>
          <w:u w:val="single"/>
        </w:rPr>
        <w:t xml:space="preserve">（采购文件中明确的所属行业） </w:t>
      </w:r>
      <w:r>
        <w:rPr>
          <w:rFonts w:hint="eastAsia"/>
          <w:szCs w:val="24"/>
        </w:rPr>
        <w:t>行业，制造商为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，从业人员</w:t>
      </w:r>
      <w:r>
        <w:rPr>
          <w:rFonts w:hint="eastAsia"/>
          <w:szCs w:val="24"/>
          <w:u w:val="single"/>
        </w:rPr>
        <w:t xml:space="preserve">      </w:t>
      </w:r>
      <w:r>
        <w:rPr>
          <w:rFonts w:hint="eastAsia"/>
          <w:szCs w:val="24"/>
        </w:rPr>
        <w:t>人，营业收入为</w:t>
      </w:r>
      <w:r>
        <w:rPr>
          <w:rFonts w:hint="eastAsia"/>
          <w:szCs w:val="24"/>
          <w:u w:val="single"/>
        </w:rPr>
        <w:t xml:space="preserve">      </w:t>
      </w:r>
      <w:r>
        <w:rPr>
          <w:rFonts w:hint="eastAsia"/>
          <w:szCs w:val="24"/>
        </w:rPr>
        <w:t>万元，资产总额为</w:t>
      </w:r>
      <w:r>
        <w:rPr>
          <w:rFonts w:hint="eastAsia"/>
          <w:szCs w:val="24"/>
          <w:u w:val="single"/>
        </w:rPr>
        <w:t xml:space="preserve">      </w:t>
      </w:r>
      <w:r>
        <w:rPr>
          <w:rFonts w:hint="eastAsia"/>
          <w:szCs w:val="24"/>
        </w:rPr>
        <w:t>万元（</w:t>
      </w:r>
      <w:r>
        <w:rPr>
          <w:rFonts w:hint="eastAsia" w:ascii="楷体" w:hAnsi="楷体" w:eastAsia="楷体"/>
          <w:szCs w:val="24"/>
        </w:rPr>
        <w:t>从业人员、营业收入、资产总额填报上一年度数据，无上一年度数据的新成立企业可不填报</w:t>
      </w:r>
      <w:r>
        <w:rPr>
          <w:rFonts w:hint="eastAsia"/>
          <w:szCs w:val="24"/>
        </w:rPr>
        <w:t>），属于</w:t>
      </w:r>
      <w:r>
        <w:rPr>
          <w:rFonts w:hint="eastAsia"/>
          <w:szCs w:val="24"/>
          <w:u w:val="single"/>
        </w:rPr>
        <w:t xml:space="preserve"> </w:t>
      </w:r>
      <w:r>
        <w:rPr>
          <w:rFonts w:hint="eastAsia"/>
          <w:i/>
          <w:szCs w:val="24"/>
          <w:u w:val="single"/>
        </w:rPr>
        <w:t>（中型企业、小型企业、微型企业）</w:t>
      </w:r>
      <w:r>
        <w:rPr>
          <w:rFonts w:hint="eastAsia"/>
          <w:szCs w:val="24"/>
          <w:u w:val="single"/>
        </w:rPr>
        <w:t xml:space="preserve"> </w:t>
      </w:r>
      <w:r>
        <w:rPr>
          <w:rFonts w:hint="eastAsia"/>
          <w:szCs w:val="24"/>
        </w:rPr>
        <w:t>；</w:t>
      </w:r>
    </w:p>
    <w:p>
      <w:pPr>
        <w:wordWrap w:val="0"/>
        <w:spacing w:line="360" w:lineRule="auto"/>
        <w:ind w:firstLine="480" w:firstLineChars="200"/>
        <w:rPr>
          <w:szCs w:val="24"/>
        </w:rPr>
      </w:pPr>
      <w:r>
        <w:rPr>
          <w:rFonts w:hint="eastAsia"/>
          <w:szCs w:val="24"/>
        </w:rPr>
        <w:t>2.</w:t>
      </w:r>
      <w:r>
        <w:rPr>
          <w:rFonts w:hint="eastAsia"/>
          <w:szCs w:val="24"/>
          <w:u w:val="single"/>
        </w:rPr>
        <w:t xml:space="preserve"> </w:t>
      </w:r>
      <w:r>
        <w:rPr>
          <w:rFonts w:hint="eastAsia"/>
          <w:i/>
          <w:szCs w:val="24"/>
          <w:u w:val="single"/>
        </w:rPr>
        <w:t>（货物2名称）</w:t>
      </w:r>
      <w:r>
        <w:rPr>
          <w:rFonts w:hint="eastAsia"/>
          <w:szCs w:val="24"/>
          <w:u w:val="single"/>
        </w:rPr>
        <w:t xml:space="preserve"> </w:t>
      </w:r>
      <w:r>
        <w:rPr>
          <w:rFonts w:hint="eastAsia"/>
          <w:szCs w:val="24"/>
        </w:rPr>
        <w:t>，属于政府优先采购《节能产品政府采购品目清单》《环境标志产品政府采购品目清单》范围内且获得节能产品或环境标志产品认证证书的产品，属于</w:t>
      </w:r>
      <w:r>
        <w:rPr>
          <w:rFonts w:hint="eastAsia"/>
          <w:szCs w:val="24"/>
          <w:u w:val="single"/>
        </w:rPr>
        <w:t xml:space="preserve"> </w:t>
      </w:r>
      <w:r>
        <w:rPr>
          <w:rFonts w:hint="eastAsia"/>
          <w:i/>
          <w:szCs w:val="24"/>
          <w:u w:val="single"/>
        </w:rPr>
        <w:t xml:space="preserve">（采购文件中明确的所属行业） </w:t>
      </w:r>
      <w:r>
        <w:rPr>
          <w:rFonts w:hint="eastAsia"/>
          <w:szCs w:val="24"/>
        </w:rPr>
        <w:t>行业，制造商为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，从业人员</w:t>
      </w:r>
      <w:r>
        <w:rPr>
          <w:rFonts w:hint="eastAsia"/>
          <w:szCs w:val="24"/>
          <w:u w:val="single"/>
        </w:rPr>
        <w:t xml:space="preserve">      </w:t>
      </w:r>
      <w:r>
        <w:rPr>
          <w:rFonts w:hint="eastAsia"/>
          <w:szCs w:val="24"/>
        </w:rPr>
        <w:t>人，营业收入为</w:t>
      </w:r>
      <w:r>
        <w:rPr>
          <w:rFonts w:hint="eastAsia"/>
          <w:szCs w:val="24"/>
          <w:u w:val="single"/>
        </w:rPr>
        <w:t xml:space="preserve">      </w:t>
      </w:r>
      <w:r>
        <w:rPr>
          <w:rFonts w:hint="eastAsia"/>
          <w:szCs w:val="24"/>
        </w:rPr>
        <w:t>万元，资产总额为</w:t>
      </w:r>
      <w:r>
        <w:rPr>
          <w:rFonts w:hint="eastAsia"/>
          <w:szCs w:val="24"/>
          <w:u w:val="single"/>
        </w:rPr>
        <w:t xml:space="preserve">      </w:t>
      </w:r>
      <w:r>
        <w:rPr>
          <w:rFonts w:hint="eastAsia"/>
          <w:szCs w:val="24"/>
        </w:rPr>
        <w:t>万元（</w:t>
      </w:r>
      <w:r>
        <w:rPr>
          <w:rFonts w:hint="eastAsia" w:ascii="楷体" w:hAnsi="楷体" w:eastAsia="楷体"/>
          <w:szCs w:val="24"/>
        </w:rPr>
        <w:t>从业人员、营业收入、资产总额填报上一年度数据，无上一年度数据的新成立企业可不填报</w:t>
      </w:r>
      <w:r>
        <w:rPr>
          <w:rFonts w:hint="eastAsia"/>
          <w:szCs w:val="24"/>
        </w:rPr>
        <w:t>），属于</w:t>
      </w:r>
      <w:r>
        <w:rPr>
          <w:rFonts w:hint="eastAsia"/>
          <w:szCs w:val="24"/>
          <w:u w:val="single"/>
        </w:rPr>
        <w:t xml:space="preserve"> </w:t>
      </w:r>
      <w:r>
        <w:rPr>
          <w:rFonts w:hint="eastAsia"/>
          <w:i/>
          <w:szCs w:val="24"/>
          <w:u w:val="single"/>
        </w:rPr>
        <w:t>（中型企业、小型企业、微型企业）</w:t>
      </w:r>
      <w:r>
        <w:rPr>
          <w:rFonts w:hint="eastAsia"/>
          <w:szCs w:val="24"/>
        </w:rPr>
        <w:t>；</w:t>
      </w:r>
    </w:p>
    <w:p>
      <w:pPr>
        <w:wordWrap w:val="0"/>
        <w:spacing w:line="360" w:lineRule="auto"/>
        <w:ind w:firstLine="480" w:firstLineChars="200"/>
        <w:rPr>
          <w:szCs w:val="24"/>
        </w:rPr>
      </w:pPr>
      <w:r>
        <w:rPr>
          <w:rFonts w:hint="eastAsia"/>
          <w:szCs w:val="24"/>
        </w:rPr>
        <w:t>……</w:t>
      </w:r>
    </w:p>
    <w:p>
      <w:pPr>
        <w:wordWrap w:val="0"/>
        <w:spacing w:line="360" w:lineRule="auto"/>
        <w:ind w:firstLine="480" w:firstLineChars="200"/>
        <w:rPr>
          <w:szCs w:val="24"/>
        </w:rPr>
      </w:pPr>
      <w:r>
        <w:rPr>
          <w:rFonts w:hint="eastAsia"/>
          <w:szCs w:val="24"/>
        </w:rPr>
        <w:t>以上企业，不属于大企业的分支机构，不存在控股股东为大企业的情形，也不存在与大企业的负责人为同一人的情形。</w:t>
      </w:r>
    </w:p>
    <w:p>
      <w:pPr>
        <w:wordWrap w:val="0"/>
        <w:spacing w:line="360" w:lineRule="auto"/>
        <w:ind w:left="1087" w:leftChars="200" w:hanging="607" w:hangingChars="253"/>
        <w:jc w:val="left"/>
        <w:rPr>
          <w:szCs w:val="24"/>
        </w:rPr>
      </w:pPr>
      <w:r>
        <w:rPr>
          <w:rFonts w:hint="eastAsia"/>
          <w:szCs w:val="24"/>
        </w:rPr>
        <w:t>本企业对上述声明内容的真实性负责。如有虚假，将依法承担相应责任。</w:t>
      </w:r>
    </w:p>
    <w:p>
      <w:pPr>
        <w:wordWrap w:val="0"/>
        <w:spacing w:line="360" w:lineRule="auto"/>
        <w:ind w:left="1091" w:hanging="1091" w:hangingChars="453"/>
        <w:jc w:val="left"/>
        <w:rPr>
          <w:b/>
          <w:bCs/>
          <w:szCs w:val="24"/>
        </w:rPr>
      </w:pPr>
    </w:p>
    <w:p>
      <w:pPr>
        <w:wordWrap w:val="0"/>
        <w:spacing w:line="360" w:lineRule="auto"/>
        <w:ind w:left="1091" w:hanging="1091" w:hangingChars="453"/>
        <w:jc w:val="left"/>
        <w:rPr>
          <w:bCs/>
          <w:szCs w:val="21"/>
          <w:lang w:val="zh-CN"/>
        </w:rPr>
      </w:pPr>
      <w:r>
        <w:rPr>
          <w:rFonts w:hint="eastAsia"/>
          <w:b/>
          <w:bCs/>
          <w:szCs w:val="24"/>
        </w:rPr>
        <w:t>说明：</w:t>
      </w:r>
      <w:r>
        <w:rPr>
          <w:rFonts w:hint="eastAsia"/>
          <w:bCs/>
          <w:szCs w:val="24"/>
        </w:rPr>
        <w:t>1.</w:t>
      </w:r>
      <w:r>
        <w:rPr>
          <w:rFonts w:hint="eastAsia"/>
          <w:bCs/>
          <w:szCs w:val="21"/>
          <w:lang w:val="zh-CN"/>
        </w:rPr>
        <w:t>应严格按上述格式及内容进行填写。</w:t>
      </w:r>
    </w:p>
    <w:p>
      <w:pPr>
        <w:wordWrap w:val="0"/>
        <w:spacing w:line="360" w:lineRule="auto"/>
        <w:ind w:left="1087" w:hanging="1087" w:hangingChars="453"/>
        <w:jc w:val="left"/>
        <w:rPr>
          <w:lang w:val="zh-CN"/>
        </w:rPr>
      </w:pPr>
      <w:r>
        <w:rPr>
          <w:rFonts w:hint="eastAsia"/>
          <w:lang w:val="zh-CN"/>
        </w:rPr>
        <w:t xml:space="preserve">      </w:t>
      </w:r>
      <w:r>
        <w:rPr>
          <w:rFonts w:hint="eastAsia"/>
          <w:bCs/>
          <w:szCs w:val="21"/>
          <w:lang w:val="zh-CN"/>
        </w:rPr>
        <w:t>2</w:t>
      </w:r>
      <w:r>
        <w:rPr>
          <w:rFonts w:hint="eastAsia"/>
          <w:bCs/>
          <w:szCs w:val="21"/>
        </w:rPr>
        <w:t>.</w:t>
      </w:r>
      <w:r>
        <w:rPr>
          <w:rFonts w:hint="eastAsia"/>
          <w:bCs/>
          <w:szCs w:val="21"/>
          <w:lang w:val="zh-CN"/>
        </w:rPr>
        <w:t>应提供节能环保产品在“品目清单”中的相关产品截图（所投产品应与清单中产品规格型号一致）。</w:t>
      </w:r>
    </w:p>
    <w:p>
      <w:pPr>
        <w:wordWrap w:val="0"/>
        <w:spacing w:line="360" w:lineRule="auto"/>
        <w:ind w:left="1087" w:hanging="1087" w:hangingChars="453"/>
        <w:jc w:val="left"/>
        <w:rPr>
          <w:rFonts w:cs="Courier New"/>
          <w:szCs w:val="21"/>
        </w:rPr>
      </w:pPr>
      <w:r>
        <w:rPr>
          <w:rFonts w:hint="eastAsia"/>
          <w:bCs/>
          <w:szCs w:val="21"/>
          <w:lang w:val="zh-CN"/>
        </w:rPr>
        <w:t xml:space="preserve">      3</w:t>
      </w:r>
      <w:r>
        <w:rPr>
          <w:rFonts w:hint="eastAsia"/>
          <w:bCs/>
          <w:szCs w:val="21"/>
        </w:rPr>
        <w:t>.</w:t>
      </w:r>
      <w:r>
        <w:rPr>
          <w:rFonts w:hint="eastAsia" w:cs="Courier New"/>
          <w:szCs w:val="21"/>
        </w:rPr>
        <w:t>以联合体方式参与项目投标的投标人，应由联合体各方盖章。</w:t>
      </w:r>
    </w:p>
    <w:p>
      <w:pPr>
        <w:wordWrap w:val="0"/>
        <w:spacing w:before="100" w:beforeAutospacing="1" w:after="100" w:afterAutospacing="1" w:line="360" w:lineRule="auto"/>
        <w:ind w:firstLine="3436" w:firstLineChars="1432"/>
        <w:rPr>
          <w:bCs/>
          <w:szCs w:val="21"/>
          <w:lang w:val="zh-CN"/>
        </w:rPr>
      </w:pPr>
      <w:r>
        <w:rPr>
          <w:rFonts w:hint="eastAsia"/>
          <w:bCs/>
          <w:szCs w:val="21"/>
          <w:lang w:val="zh-CN"/>
        </w:rPr>
        <w:t>投标人（公章）：</w:t>
      </w:r>
      <w:r>
        <w:rPr>
          <w:rFonts w:hint="eastAsia"/>
          <w:bCs/>
          <w:szCs w:val="21"/>
          <w:u w:val="single"/>
          <w:lang w:val="zh-CN"/>
        </w:rPr>
        <w:t xml:space="preserve">                              </w:t>
      </w:r>
    </w:p>
    <w:p>
      <w:pPr>
        <w:wordWrap w:val="0"/>
        <w:spacing w:before="100" w:beforeAutospacing="1" w:after="100" w:afterAutospacing="1" w:line="360" w:lineRule="auto"/>
        <w:ind w:firstLine="3436" w:firstLineChars="1432"/>
        <w:rPr>
          <w:bCs/>
          <w:szCs w:val="24"/>
          <w:u w:val="single"/>
        </w:rPr>
      </w:pPr>
      <w:r>
        <w:rPr>
          <w:rFonts w:hint="eastAsia"/>
          <w:szCs w:val="24"/>
        </w:rPr>
        <w:t>日     期：</w:t>
      </w:r>
      <w:r>
        <w:rPr>
          <w:bCs/>
          <w:szCs w:val="24"/>
          <w:u w:val="single"/>
        </w:rPr>
        <w:t xml:space="preserve">                            </w:t>
      </w:r>
      <w:r>
        <w:rPr>
          <w:rFonts w:hint="eastAsia"/>
          <w:bCs/>
          <w:szCs w:val="24"/>
          <w:u w:val="single"/>
        </w:rPr>
        <w:t xml:space="preserve">  </w:t>
      </w:r>
      <w:r>
        <w:rPr>
          <w:bCs/>
          <w:szCs w:val="24"/>
          <w:u w:val="single"/>
        </w:rPr>
        <w:t xml:space="preserve">    </w:t>
      </w:r>
    </w:p>
    <w:p>
      <w:pPr>
        <w:pStyle w:val="4"/>
        <w:numPr>
          <w:ilvl w:val="0"/>
          <w:numId w:val="76"/>
        </w:numPr>
        <w:spacing w:line="360" w:lineRule="auto"/>
        <w:ind w:left="567" w:hanging="567"/>
        <w:rPr>
          <w:bCs w:val="0"/>
          <w:sz w:val="24"/>
          <w:szCs w:val="24"/>
        </w:rPr>
      </w:pPr>
      <w:bookmarkStart w:id="666" w:name="_Toc106962850"/>
      <w:bookmarkStart w:id="667" w:name="_Toc107561305"/>
      <w:r>
        <w:rPr>
          <w:rFonts w:hint="eastAsia"/>
          <w:bCs w:val="0"/>
          <w:sz w:val="24"/>
          <w:szCs w:val="24"/>
        </w:rPr>
        <w:t>监狱企业证明文件</w:t>
      </w:r>
    </w:p>
    <w:p>
      <w:pPr>
        <w:adjustRightInd w:val="0"/>
        <w:snapToGrid w:val="0"/>
        <w:spacing w:line="360" w:lineRule="auto"/>
        <w:ind w:firstLine="480" w:firstLineChars="200"/>
        <w:jc w:val="left"/>
        <w:rPr>
          <w:szCs w:val="24"/>
        </w:rPr>
      </w:pPr>
      <w:r>
        <w:rPr>
          <w:rFonts w:hint="eastAsia"/>
          <w:szCs w:val="24"/>
        </w:rPr>
        <w:t>（</w:t>
      </w:r>
      <w:r>
        <w:rPr>
          <w:rFonts w:hint="eastAsia" w:ascii="楷体" w:hAnsi="楷体" w:eastAsia="楷体"/>
          <w:szCs w:val="24"/>
        </w:rPr>
        <w:t>监狱企业应提供由省级及以上监狱管理局、戒毒管理局（含新疆生产建设兵团）出具的监狱企业的证明文件，格式自行编写</w:t>
      </w:r>
      <w:r>
        <w:rPr>
          <w:rFonts w:hint="eastAsia"/>
          <w:szCs w:val="24"/>
        </w:rPr>
        <w:t>）</w:t>
      </w:r>
    </w:p>
    <w:p>
      <w:pPr>
        <w:pStyle w:val="4"/>
        <w:numPr>
          <w:ilvl w:val="0"/>
          <w:numId w:val="76"/>
        </w:numPr>
        <w:spacing w:line="360" w:lineRule="auto"/>
        <w:ind w:left="567" w:hanging="567"/>
        <w:rPr>
          <w:bCs w:val="0"/>
          <w:sz w:val="24"/>
          <w:szCs w:val="24"/>
        </w:rPr>
      </w:pPr>
      <w:r>
        <w:rPr>
          <w:rFonts w:hint="eastAsia"/>
          <w:bCs w:val="0"/>
          <w:sz w:val="24"/>
          <w:szCs w:val="24"/>
        </w:rPr>
        <w:t>残疾人福利性单位声明函</w:t>
      </w:r>
      <w:bookmarkEnd w:id="666"/>
      <w:bookmarkEnd w:id="667"/>
    </w:p>
    <w:p>
      <w:pPr>
        <w:adjustRightInd w:val="0"/>
        <w:snapToGrid w:val="0"/>
        <w:spacing w:line="360" w:lineRule="auto"/>
        <w:ind w:firstLine="480" w:firstLineChars="200"/>
        <w:jc w:val="left"/>
        <w:rPr>
          <w:szCs w:val="24"/>
        </w:rPr>
      </w:pPr>
      <w:r>
        <w:rPr>
          <w:rFonts w:hint="eastAsia"/>
          <w:szCs w:val="24"/>
        </w:rPr>
        <w:t>（</w:t>
      </w:r>
      <w:r>
        <w:rPr>
          <w:rFonts w:hint="eastAsia" w:ascii="楷体" w:hAnsi="楷体" w:eastAsia="楷体"/>
          <w:szCs w:val="24"/>
        </w:rPr>
        <w:t>符合条件的可选择提供，专门面向或部分预留给中小企业采购的项目或采购包，承担预留份额的应选择提供</w:t>
      </w:r>
      <w:r>
        <w:rPr>
          <w:rFonts w:hint="eastAsia"/>
          <w:szCs w:val="24"/>
        </w:rPr>
        <w:t>）</w:t>
      </w:r>
    </w:p>
    <w:p>
      <w:pPr>
        <w:pStyle w:val="5"/>
        <w:spacing w:before="260" w:after="260" w:line="360" w:lineRule="auto"/>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.5</w:t>
      </w:r>
      <w:r>
        <w:rPr>
          <w:rFonts w:hint="eastAsia" w:ascii="宋体" w:hAnsi="宋体" w:eastAsia="宋体"/>
          <w:sz w:val="24"/>
          <w:szCs w:val="24"/>
        </w:rPr>
        <w:t>-1：残疾人福利性单位声明函（货物）</w:t>
      </w:r>
    </w:p>
    <w:p>
      <w:pPr>
        <w:wordWrap w:val="0"/>
        <w:spacing w:line="360" w:lineRule="auto"/>
        <w:ind w:firstLine="480" w:firstLineChars="200"/>
        <w:rPr>
          <w:szCs w:val="24"/>
        </w:rPr>
      </w:pPr>
      <w:r>
        <w:rPr>
          <w:rFonts w:hint="eastAsia"/>
          <w:szCs w:val="24"/>
        </w:rPr>
        <w:t>本公司（联合体）郑重声明，根据《财政部 民政部 中国残疾人联合会关于促进残疾人就业政府采购政策的通知》（财库〔2017〕141号）的规定，本公司（联合体）参加</w:t>
      </w:r>
      <w:r>
        <w:rPr>
          <w:rFonts w:hint="eastAsia"/>
          <w:szCs w:val="24"/>
          <w:u w:val="single"/>
        </w:rPr>
        <w:t xml:space="preserve"> </w:t>
      </w:r>
      <w:r>
        <w:rPr>
          <w:rFonts w:hint="eastAsia"/>
          <w:i/>
          <w:szCs w:val="24"/>
          <w:u w:val="single"/>
        </w:rPr>
        <w:t>（单位名称）</w:t>
      </w:r>
      <w:r>
        <w:rPr>
          <w:rFonts w:hint="eastAsia"/>
          <w:szCs w:val="24"/>
          <w:u w:val="single"/>
        </w:rPr>
        <w:t xml:space="preserve"> </w:t>
      </w:r>
      <w:r>
        <w:rPr>
          <w:rFonts w:hint="eastAsia"/>
          <w:szCs w:val="24"/>
        </w:rPr>
        <w:t>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采购活动，提供的货物</w:t>
      </w:r>
      <w:r>
        <w:rPr>
          <w:rFonts w:hint="eastAsia"/>
          <w:b/>
          <w:szCs w:val="24"/>
        </w:rPr>
        <w:t>全部由</w:t>
      </w:r>
      <w:r>
        <w:rPr>
          <w:rFonts w:hint="eastAsia"/>
          <w:szCs w:val="24"/>
        </w:rPr>
        <w:t>符合政策要求的</w:t>
      </w:r>
      <w:r>
        <w:rPr>
          <w:rFonts w:hint="eastAsia"/>
          <w:b/>
          <w:szCs w:val="24"/>
        </w:rPr>
        <w:t>残疾人福利性单位制造</w:t>
      </w:r>
      <w:r>
        <w:rPr>
          <w:rFonts w:hint="eastAsia"/>
          <w:szCs w:val="24"/>
        </w:rPr>
        <w:t>。相关企业（含联合体中的残疾人福利性单位、签订分包意向协议的残疾人福利性单位）的具体情况如下：</w:t>
      </w:r>
    </w:p>
    <w:p>
      <w:pPr>
        <w:wordWrap w:val="0"/>
        <w:spacing w:line="360" w:lineRule="auto"/>
        <w:ind w:firstLine="480" w:firstLineChars="200"/>
        <w:rPr>
          <w:szCs w:val="24"/>
        </w:rPr>
      </w:pPr>
      <w:r>
        <w:rPr>
          <w:rFonts w:hint="eastAsia"/>
          <w:szCs w:val="24"/>
        </w:rPr>
        <w:t>1.</w:t>
      </w:r>
      <w:r>
        <w:rPr>
          <w:rFonts w:hint="eastAsia"/>
          <w:szCs w:val="24"/>
          <w:u w:val="single"/>
        </w:rPr>
        <w:t xml:space="preserve"> </w:t>
      </w:r>
      <w:r>
        <w:rPr>
          <w:rFonts w:hint="eastAsia"/>
          <w:i/>
          <w:szCs w:val="24"/>
          <w:u w:val="single"/>
        </w:rPr>
        <w:t>（货物1名称）</w:t>
      </w:r>
      <w:r>
        <w:rPr>
          <w:rFonts w:hint="eastAsia"/>
          <w:szCs w:val="24"/>
          <w:u w:val="single"/>
        </w:rPr>
        <w:t xml:space="preserve"> </w:t>
      </w:r>
      <w:r>
        <w:rPr>
          <w:rFonts w:hint="eastAsia"/>
          <w:szCs w:val="24"/>
        </w:rPr>
        <w:t xml:space="preserve">，制造商为 </w:t>
      </w:r>
      <w:r>
        <w:rPr>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pPr>
        <w:wordWrap w:val="0"/>
        <w:spacing w:line="360" w:lineRule="auto"/>
        <w:ind w:firstLine="480" w:firstLineChars="200"/>
        <w:rPr>
          <w:szCs w:val="24"/>
        </w:rPr>
      </w:pPr>
      <w:r>
        <w:rPr>
          <w:rFonts w:hint="eastAsia"/>
          <w:szCs w:val="24"/>
        </w:rPr>
        <w:t xml:space="preserve">2. </w:t>
      </w:r>
      <w:r>
        <w:rPr>
          <w:rFonts w:hint="eastAsia"/>
          <w:i/>
          <w:szCs w:val="24"/>
          <w:u w:val="single"/>
        </w:rPr>
        <w:t>（货物2名称）</w:t>
      </w:r>
      <w:r>
        <w:rPr>
          <w:rFonts w:hint="eastAsia"/>
          <w:szCs w:val="24"/>
          <w:u w:val="single"/>
        </w:rPr>
        <w:t xml:space="preserve"> </w:t>
      </w:r>
      <w:r>
        <w:rPr>
          <w:rFonts w:hint="eastAsia"/>
          <w:szCs w:val="24"/>
        </w:rPr>
        <w:t xml:space="preserve">，制造商为 </w:t>
      </w:r>
      <w:r>
        <w:rPr>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pPr>
        <w:wordWrap w:val="0"/>
        <w:spacing w:line="360" w:lineRule="auto"/>
        <w:ind w:firstLine="480" w:firstLineChars="200"/>
        <w:rPr>
          <w:szCs w:val="24"/>
        </w:rPr>
      </w:pPr>
      <w:r>
        <w:rPr>
          <w:rFonts w:hint="eastAsia"/>
          <w:szCs w:val="24"/>
        </w:rPr>
        <w:t>……</w:t>
      </w:r>
    </w:p>
    <w:p>
      <w:pPr>
        <w:wordWrap w:val="0"/>
        <w:spacing w:line="360" w:lineRule="auto"/>
        <w:ind w:firstLine="480" w:firstLineChars="200"/>
        <w:rPr>
          <w:szCs w:val="24"/>
        </w:rPr>
      </w:pPr>
      <w:r>
        <w:rPr>
          <w:rFonts w:hint="eastAsia"/>
          <w:szCs w:val="24"/>
        </w:rPr>
        <w:t>以上企业，不属于大企业的分支机构，不存在控股股东为大企业的情形，也不存在与大企业的负责人为同一人的情形。</w:t>
      </w:r>
    </w:p>
    <w:p>
      <w:pPr>
        <w:wordWrap w:val="0"/>
        <w:spacing w:line="360" w:lineRule="auto"/>
        <w:ind w:left="1087" w:leftChars="200" w:hanging="607" w:hangingChars="253"/>
        <w:jc w:val="left"/>
        <w:rPr>
          <w:szCs w:val="24"/>
        </w:rPr>
      </w:pPr>
      <w:r>
        <w:rPr>
          <w:rFonts w:hint="eastAsia"/>
          <w:szCs w:val="24"/>
        </w:rPr>
        <w:t>本企业对上述声明内容的真实性负责。如有虚假，将依法承担相应责任。</w:t>
      </w:r>
    </w:p>
    <w:p>
      <w:pPr>
        <w:wordWrap w:val="0"/>
        <w:spacing w:line="360" w:lineRule="auto"/>
        <w:ind w:left="1091" w:hanging="1091" w:hangingChars="453"/>
        <w:jc w:val="left"/>
        <w:rPr>
          <w:b/>
          <w:bCs/>
          <w:szCs w:val="24"/>
        </w:rPr>
      </w:pPr>
    </w:p>
    <w:p>
      <w:pPr>
        <w:wordWrap w:val="0"/>
        <w:spacing w:line="360" w:lineRule="auto"/>
        <w:ind w:left="1091" w:hanging="1091" w:hangingChars="453"/>
        <w:jc w:val="left"/>
        <w:rPr>
          <w:bCs/>
          <w:szCs w:val="24"/>
        </w:rPr>
      </w:pPr>
      <w:r>
        <w:rPr>
          <w:rFonts w:hint="eastAsia"/>
          <w:b/>
          <w:bCs/>
          <w:szCs w:val="24"/>
        </w:rPr>
        <w:t>说明：</w:t>
      </w:r>
      <w:r>
        <w:rPr>
          <w:rFonts w:hint="eastAsia"/>
          <w:bCs/>
          <w:szCs w:val="24"/>
        </w:rPr>
        <w:t>1.</w:t>
      </w:r>
      <w:r>
        <w:rPr>
          <w:rFonts w:hint="eastAsia"/>
          <w:bCs/>
          <w:szCs w:val="21"/>
          <w:lang w:val="zh-CN"/>
        </w:rPr>
        <w:t>应严格按上述格式及内容进行填写；</w:t>
      </w:r>
    </w:p>
    <w:p>
      <w:pPr>
        <w:wordWrap w:val="0"/>
        <w:spacing w:line="360" w:lineRule="auto"/>
        <w:ind w:left="1087" w:hanging="1087" w:hangingChars="453"/>
        <w:jc w:val="left"/>
        <w:rPr>
          <w:rFonts w:cs="Courier New"/>
          <w:szCs w:val="21"/>
        </w:rPr>
      </w:pPr>
      <w:r>
        <w:rPr>
          <w:rFonts w:hint="eastAsia"/>
          <w:bCs/>
          <w:szCs w:val="21"/>
          <w:lang w:val="zh-CN"/>
        </w:rPr>
        <w:t xml:space="preserve">      2</w:t>
      </w:r>
      <w:r>
        <w:rPr>
          <w:rFonts w:hint="eastAsia"/>
          <w:bCs/>
          <w:szCs w:val="21"/>
        </w:rPr>
        <w:t>.</w:t>
      </w:r>
      <w:r>
        <w:rPr>
          <w:rFonts w:hint="eastAsia" w:cs="Courier New"/>
          <w:szCs w:val="21"/>
        </w:rPr>
        <w:t>以联合体方式参与项目投标的投标人，应由联合体各方盖章。</w:t>
      </w:r>
    </w:p>
    <w:p>
      <w:pPr>
        <w:wordWrap w:val="0"/>
        <w:spacing w:before="100" w:beforeAutospacing="1" w:after="100" w:afterAutospacing="1" w:line="360" w:lineRule="auto"/>
        <w:ind w:firstLine="3316" w:firstLineChars="1382"/>
        <w:rPr>
          <w:bCs/>
          <w:szCs w:val="21"/>
          <w:lang w:val="zh-CN"/>
        </w:rPr>
      </w:pPr>
      <w:r>
        <w:rPr>
          <w:rFonts w:hint="eastAsia"/>
          <w:bCs/>
          <w:szCs w:val="21"/>
          <w:lang w:val="zh-CN"/>
        </w:rPr>
        <w:t>投标人</w:t>
      </w:r>
      <w:r>
        <w:rPr>
          <w:rFonts w:hint="eastAsia"/>
          <w:bCs/>
        </w:rPr>
        <w:t>（公章）</w:t>
      </w:r>
      <w:r>
        <w:rPr>
          <w:rFonts w:hint="eastAsia"/>
          <w:bCs/>
          <w:szCs w:val="21"/>
          <w:lang w:val="zh-CN"/>
        </w:rPr>
        <w:t>：</w:t>
      </w:r>
      <w:r>
        <w:rPr>
          <w:rFonts w:hint="eastAsia"/>
          <w:bCs/>
          <w:szCs w:val="21"/>
          <w:u w:val="single"/>
          <w:lang w:val="zh-CN"/>
        </w:rPr>
        <w:t xml:space="preserve">                         </w:t>
      </w:r>
    </w:p>
    <w:p>
      <w:pPr>
        <w:wordWrap w:val="0"/>
        <w:spacing w:before="100" w:beforeAutospacing="1" w:after="100" w:afterAutospacing="1" w:line="360" w:lineRule="auto"/>
        <w:ind w:firstLine="3316" w:firstLineChars="1382"/>
        <w:rPr>
          <w:bCs/>
        </w:rPr>
        <w:sectPr>
          <w:pgSz w:w="11906" w:h="16838"/>
          <w:pgMar w:top="1134" w:right="1191" w:bottom="1134" w:left="1191"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szCs w:val="24"/>
        </w:rPr>
        <w:t>日 </w:t>
      </w:r>
      <w:r>
        <w:rPr>
          <w:szCs w:val="24"/>
        </w:rPr>
        <w:t xml:space="preserve"> </w:t>
      </w:r>
      <w:r>
        <w:rPr>
          <w:rFonts w:hint="eastAsia"/>
          <w:szCs w:val="24"/>
        </w:rPr>
        <w:t> 期：</w:t>
      </w:r>
      <w:r>
        <w:rPr>
          <w:bCs/>
          <w:szCs w:val="24"/>
          <w:u w:val="single"/>
        </w:rPr>
        <w:t xml:space="preserve">                              </w:t>
      </w:r>
    </w:p>
    <w:p>
      <w:pPr>
        <w:pStyle w:val="5"/>
        <w:spacing w:before="260" w:after="260" w:line="360" w:lineRule="auto"/>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.5</w:t>
      </w:r>
      <w:r>
        <w:rPr>
          <w:rFonts w:hint="eastAsia" w:ascii="宋体" w:hAnsi="宋体" w:eastAsia="宋体"/>
          <w:sz w:val="24"/>
          <w:szCs w:val="24"/>
        </w:rPr>
        <w:t>-2：残疾人福利性单位声明函（服务）</w:t>
      </w:r>
    </w:p>
    <w:p>
      <w:pPr>
        <w:wordWrap w:val="0"/>
        <w:spacing w:line="360" w:lineRule="auto"/>
        <w:ind w:firstLine="480" w:firstLineChars="200"/>
        <w:rPr>
          <w:szCs w:val="24"/>
        </w:rPr>
      </w:pPr>
      <w:r>
        <w:rPr>
          <w:rFonts w:hint="eastAsia"/>
          <w:szCs w:val="24"/>
        </w:rPr>
        <w:t>本公司（联合体）郑重声明，根据《财政部 民政部 中国残疾人联合会关于促进残疾人就业政府采购政策的通知》（财库〔2017〕141号）的规定，本公司（联合体）参加</w:t>
      </w:r>
      <w:r>
        <w:rPr>
          <w:rFonts w:hint="eastAsia"/>
          <w:szCs w:val="24"/>
          <w:u w:val="single"/>
        </w:rPr>
        <w:t xml:space="preserve"> </w:t>
      </w:r>
      <w:r>
        <w:rPr>
          <w:rFonts w:hint="eastAsia"/>
          <w:i/>
          <w:szCs w:val="24"/>
          <w:u w:val="single"/>
        </w:rPr>
        <w:t>（单位名称）</w:t>
      </w:r>
      <w:r>
        <w:rPr>
          <w:rFonts w:hint="eastAsia"/>
          <w:szCs w:val="24"/>
          <w:u w:val="single"/>
        </w:rPr>
        <w:t xml:space="preserve"> </w:t>
      </w:r>
      <w:r>
        <w:rPr>
          <w:rFonts w:hint="eastAsia"/>
          <w:szCs w:val="24"/>
        </w:rPr>
        <w:t>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采购活动，服务</w:t>
      </w:r>
      <w:r>
        <w:rPr>
          <w:rFonts w:hint="eastAsia"/>
          <w:b/>
          <w:szCs w:val="24"/>
        </w:rPr>
        <w:t>全部由</w:t>
      </w:r>
      <w:r>
        <w:rPr>
          <w:rFonts w:hint="eastAsia"/>
          <w:szCs w:val="24"/>
        </w:rPr>
        <w:t>符合政策要求的</w:t>
      </w:r>
      <w:r>
        <w:rPr>
          <w:rFonts w:hint="eastAsia"/>
          <w:b/>
          <w:szCs w:val="24"/>
        </w:rPr>
        <w:t>残疾人福利性单位承接</w:t>
      </w:r>
      <w:r>
        <w:rPr>
          <w:rFonts w:hint="eastAsia"/>
          <w:szCs w:val="24"/>
        </w:rPr>
        <w:t>。相关企业（含联合体中的残疾人福利性单位、签订分包意向协议的残疾人福利性单位）的具体情况如下：</w:t>
      </w:r>
    </w:p>
    <w:p>
      <w:pPr>
        <w:wordWrap w:val="0"/>
        <w:spacing w:line="360" w:lineRule="auto"/>
        <w:ind w:firstLine="480" w:firstLineChars="200"/>
        <w:rPr>
          <w:szCs w:val="24"/>
        </w:rPr>
      </w:pPr>
      <w:r>
        <w:rPr>
          <w:rFonts w:hint="eastAsia"/>
          <w:szCs w:val="24"/>
        </w:rPr>
        <w:t>1.</w:t>
      </w:r>
      <w:r>
        <w:rPr>
          <w:rFonts w:hint="eastAsia"/>
          <w:szCs w:val="24"/>
          <w:u w:val="single"/>
        </w:rPr>
        <w:t xml:space="preserve"> </w:t>
      </w:r>
      <w:r>
        <w:rPr>
          <w:rFonts w:hint="eastAsia"/>
          <w:i/>
          <w:szCs w:val="24"/>
          <w:u w:val="single"/>
        </w:rPr>
        <w:t>（服务1名称）</w:t>
      </w:r>
      <w:r>
        <w:rPr>
          <w:rFonts w:hint="eastAsia"/>
          <w:szCs w:val="24"/>
          <w:u w:val="single"/>
        </w:rPr>
        <w:t xml:space="preserve"> </w:t>
      </w:r>
      <w:r>
        <w:rPr>
          <w:rFonts w:hint="eastAsia"/>
          <w:szCs w:val="24"/>
        </w:rPr>
        <w:t>，承接企业为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pPr>
        <w:wordWrap w:val="0"/>
        <w:spacing w:line="360" w:lineRule="auto"/>
        <w:ind w:firstLine="480" w:firstLineChars="200"/>
        <w:rPr>
          <w:szCs w:val="24"/>
        </w:rPr>
      </w:pPr>
      <w:r>
        <w:rPr>
          <w:rFonts w:hint="eastAsia"/>
          <w:szCs w:val="24"/>
        </w:rPr>
        <w:t>2.</w:t>
      </w:r>
      <w:r>
        <w:rPr>
          <w:rFonts w:hint="eastAsia"/>
          <w:szCs w:val="24"/>
          <w:u w:val="single"/>
        </w:rPr>
        <w:t xml:space="preserve"> </w:t>
      </w:r>
      <w:r>
        <w:rPr>
          <w:rFonts w:hint="eastAsia"/>
          <w:i/>
          <w:szCs w:val="24"/>
          <w:u w:val="single"/>
        </w:rPr>
        <w:t>（服务2名称）</w:t>
      </w:r>
      <w:r>
        <w:rPr>
          <w:rFonts w:hint="eastAsia"/>
          <w:szCs w:val="24"/>
          <w:u w:val="single"/>
        </w:rPr>
        <w:t xml:space="preserve"> </w:t>
      </w:r>
      <w:r>
        <w:rPr>
          <w:rFonts w:hint="eastAsia"/>
          <w:szCs w:val="24"/>
        </w:rPr>
        <w:t>，承接企业为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pPr>
        <w:wordWrap w:val="0"/>
        <w:spacing w:line="360" w:lineRule="auto"/>
        <w:ind w:firstLine="480" w:firstLineChars="200"/>
        <w:rPr>
          <w:szCs w:val="24"/>
        </w:rPr>
      </w:pPr>
      <w:r>
        <w:rPr>
          <w:rFonts w:hint="eastAsia"/>
          <w:szCs w:val="24"/>
        </w:rPr>
        <w:t>……</w:t>
      </w:r>
    </w:p>
    <w:p>
      <w:pPr>
        <w:wordWrap w:val="0"/>
        <w:spacing w:line="360" w:lineRule="auto"/>
        <w:ind w:firstLine="480" w:firstLineChars="200"/>
        <w:rPr>
          <w:szCs w:val="24"/>
        </w:rPr>
      </w:pPr>
      <w:r>
        <w:rPr>
          <w:rFonts w:hint="eastAsia"/>
          <w:szCs w:val="24"/>
        </w:rPr>
        <w:t>以上企业，不属于大企业的分支机构，不存在控股股东为大企业的情形，也不存在与大企业的负责人为同一人的情形。</w:t>
      </w:r>
    </w:p>
    <w:p>
      <w:pPr>
        <w:wordWrap w:val="0"/>
        <w:spacing w:line="360" w:lineRule="auto"/>
        <w:ind w:left="1087" w:leftChars="200" w:hanging="607" w:hangingChars="253"/>
        <w:jc w:val="left"/>
        <w:rPr>
          <w:szCs w:val="24"/>
        </w:rPr>
      </w:pPr>
      <w:r>
        <w:rPr>
          <w:rFonts w:hint="eastAsia"/>
          <w:szCs w:val="24"/>
        </w:rPr>
        <w:t>本企业对上述声明内容的真实性负责。如有虚假，将依法承担相应责任。</w:t>
      </w:r>
    </w:p>
    <w:p>
      <w:pPr>
        <w:wordWrap w:val="0"/>
        <w:spacing w:line="360" w:lineRule="auto"/>
        <w:ind w:left="1091" w:hanging="1087" w:hangingChars="453"/>
        <w:jc w:val="left"/>
        <w:rPr>
          <w:b/>
          <w:szCs w:val="21"/>
          <w:lang w:val="zh-CN"/>
        </w:rPr>
      </w:pPr>
    </w:p>
    <w:p>
      <w:pPr>
        <w:wordWrap w:val="0"/>
        <w:spacing w:line="360" w:lineRule="auto"/>
        <w:ind w:left="1091" w:hanging="1087" w:hangingChars="453"/>
        <w:jc w:val="left"/>
        <w:rPr>
          <w:bCs/>
          <w:szCs w:val="24"/>
        </w:rPr>
      </w:pPr>
      <w:r>
        <w:rPr>
          <w:rFonts w:hint="eastAsia"/>
          <w:b/>
          <w:szCs w:val="21"/>
          <w:lang w:val="zh-CN"/>
        </w:rPr>
        <w:t>说明：</w:t>
      </w:r>
      <w:r>
        <w:rPr>
          <w:rFonts w:hint="eastAsia"/>
          <w:bCs/>
          <w:szCs w:val="24"/>
        </w:rPr>
        <w:t>1.</w:t>
      </w:r>
      <w:r>
        <w:rPr>
          <w:rFonts w:hint="eastAsia"/>
          <w:bCs/>
          <w:szCs w:val="21"/>
          <w:lang w:val="zh-CN"/>
        </w:rPr>
        <w:t>应严格按上述格式及内容进行填写；</w:t>
      </w:r>
    </w:p>
    <w:p>
      <w:pPr>
        <w:wordWrap w:val="0"/>
        <w:spacing w:line="360" w:lineRule="auto"/>
        <w:ind w:left="1087" w:hanging="1087" w:hangingChars="453"/>
        <w:jc w:val="left"/>
        <w:rPr>
          <w:rFonts w:cs="Courier New"/>
          <w:szCs w:val="21"/>
        </w:rPr>
      </w:pPr>
      <w:r>
        <w:rPr>
          <w:rFonts w:hint="eastAsia"/>
          <w:bCs/>
          <w:szCs w:val="21"/>
          <w:lang w:val="zh-CN"/>
        </w:rPr>
        <w:t xml:space="preserve">      2</w:t>
      </w:r>
      <w:r>
        <w:rPr>
          <w:rFonts w:hint="eastAsia"/>
          <w:bCs/>
          <w:szCs w:val="21"/>
        </w:rPr>
        <w:t>.</w:t>
      </w:r>
      <w:r>
        <w:rPr>
          <w:rFonts w:hint="eastAsia" w:cs="Courier New"/>
          <w:szCs w:val="21"/>
        </w:rPr>
        <w:t>以联合体方式参与项目投标的投标人，应由联合体各方盖章。</w:t>
      </w:r>
    </w:p>
    <w:p>
      <w:pPr>
        <w:wordWrap w:val="0"/>
        <w:spacing w:before="100" w:beforeAutospacing="1" w:after="100" w:afterAutospacing="1" w:line="360" w:lineRule="auto"/>
        <w:ind w:firstLine="3316" w:firstLineChars="1382"/>
        <w:rPr>
          <w:bCs/>
          <w:szCs w:val="21"/>
          <w:lang w:val="zh-CN"/>
        </w:rPr>
      </w:pPr>
      <w:r>
        <w:rPr>
          <w:rFonts w:hint="eastAsia"/>
          <w:bCs/>
          <w:szCs w:val="21"/>
          <w:lang w:val="zh-CN"/>
        </w:rPr>
        <w:t>投标人</w:t>
      </w:r>
      <w:r>
        <w:rPr>
          <w:rFonts w:hint="eastAsia"/>
          <w:bCs/>
        </w:rPr>
        <w:t>（公章）</w:t>
      </w:r>
      <w:r>
        <w:rPr>
          <w:rFonts w:hint="eastAsia"/>
          <w:bCs/>
          <w:szCs w:val="21"/>
          <w:lang w:val="zh-CN"/>
        </w:rPr>
        <w:t>：</w:t>
      </w:r>
      <w:r>
        <w:rPr>
          <w:rFonts w:hint="eastAsia"/>
          <w:bCs/>
          <w:szCs w:val="21"/>
          <w:u w:val="single"/>
          <w:lang w:val="zh-CN"/>
        </w:rPr>
        <w:t xml:space="preserve">                         </w:t>
      </w:r>
    </w:p>
    <w:p>
      <w:pPr>
        <w:wordWrap w:val="0"/>
        <w:spacing w:before="100" w:beforeAutospacing="1" w:after="100" w:afterAutospacing="1" w:line="360" w:lineRule="auto"/>
        <w:ind w:firstLine="3316" w:firstLineChars="1382"/>
        <w:rPr>
          <w:bCs/>
          <w:szCs w:val="24"/>
          <w:u w:val="single"/>
        </w:rPr>
      </w:pPr>
      <w:r>
        <w:rPr>
          <w:rFonts w:hint="eastAsia"/>
          <w:szCs w:val="24"/>
        </w:rPr>
        <w:t>日 </w:t>
      </w:r>
      <w:r>
        <w:rPr>
          <w:szCs w:val="24"/>
        </w:rPr>
        <w:t xml:space="preserve"> </w:t>
      </w:r>
      <w:r>
        <w:rPr>
          <w:rFonts w:hint="eastAsia"/>
          <w:szCs w:val="24"/>
        </w:rPr>
        <w:t> 期：</w:t>
      </w:r>
      <w:r>
        <w:rPr>
          <w:bCs/>
          <w:szCs w:val="24"/>
          <w:u w:val="single"/>
        </w:rPr>
        <w:t xml:space="preserve">                    </w:t>
      </w:r>
      <w:r>
        <w:rPr>
          <w:rFonts w:hint="eastAsia"/>
          <w:bCs/>
          <w:szCs w:val="24"/>
          <w:u w:val="single"/>
        </w:rPr>
        <w:t xml:space="preserve"> </w:t>
      </w:r>
      <w:r>
        <w:rPr>
          <w:bCs/>
          <w:szCs w:val="24"/>
          <w:u w:val="single"/>
        </w:rPr>
        <w:t xml:space="preserve">         </w:t>
      </w:r>
    </w:p>
    <w:p>
      <w:pPr>
        <w:spacing w:line="360" w:lineRule="auto"/>
        <w:jc w:val="left"/>
        <w:rPr>
          <w:rFonts w:cs="@仿宋_GB2312"/>
          <w:b/>
          <w:szCs w:val="24"/>
        </w:rPr>
      </w:pPr>
      <w:r>
        <w:rPr>
          <w:rFonts w:hint="eastAsia" w:cs="@仿宋_GB2312"/>
          <w:b/>
          <w:szCs w:val="24"/>
        </w:rPr>
        <w:t>备注</w:t>
      </w:r>
      <w:r>
        <w:rPr>
          <w:rFonts w:cs="@仿宋_GB2312"/>
          <w:b/>
          <w:szCs w:val="24"/>
        </w:rPr>
        <w:t>：</w:t>
      </w:r>
    </w:p>
    <w:p>
      <w:pPr>
        <w:wordWrap w:val="0"/>
        <w:adjustRightInd w:val="0"/>
        <w:snapToGrid w:val="0"/>
        <w:spacing w:line="360" w:lineRule="auto"/>
        <w:ind w:firstLine="480" w:firstLineChars="200"/>
        <w:jc w:val="left"/>
        <w:rPr>
          <w:rFonts w:asciiTheme="majorEastAsia" w:hAnsiTheme="majorEastAsia" w:eastAsiaTheme="majorEastAsia"/>
          <w:szCs w:val="24"/>
        </w:rPr>
      </w:pPr>
      <w:r>
        <w:rPr>
          <w:rFonts w:hint="eastAsia" w:cs="@仿宋_GB2312"/>
          <w:b/>
          <w:szCs w:val="24"/>
        </w:rPr>
        <w:t>（1）中小企业划型标准：</w:t>
      </w:r>
      <w:r>
        <w:rPr>
          <w:rFonts w:hint="eastAsia" w:asciiTheme="majorEastAsia" w:hAnsiTheme="majorEastAsia" w:eastAsiaTheme="majorEastAsia"/>
          <w:szCs w:val="24"/>
        </w:rPr>
        <w:t>依据</w:t>
      </w:r>
      <w:r>
        <w:rPr>
          <w:rFonts w:asciiTheme="majorEastAsia" w:hAnsiTheme="majorEastAsia" w:eastAsiaTheme="majorEastAsia"/>
          <w:szCs w:val="24"/>
        </w:rPr>
        <w:t>工业和信息化部 国家统计局 国家发改委 财政部</w:t>
      </w:r>
      <w:r>
        <w:rPr>
          <w:rFonts w:hint="eastAsia" w:asciiTheme="majorEastAsia" w:hAnsiTheme="majorEastAsia" w:eastAsiaTheme="majorEastAsia"/>
          <w:szCs w:val="24"/>
        </w:rPr>
        <w:t>《</w:t>
      </w:r>
      <w:r>
        <w:rPr>
          <w:rFonts w:asciiTheme="majorEastAsia" w:hAnsiTheme="majorEastAsia" w:eastAsiaTheme="majorEastAsia"/>
          <w:szCs w:val="24"/>
        </w:rPr>
        <w:t>关于印发中小企业划型标准规定的通知</w:t>
      </w:r>
      <w:r>
        <w:rPr>
          <w:rFonts w:hint="eastAsia" w:asciiTheme="majorEastAsia" w:hAnsiTheme="majorEastAsia" w:eastAsiaTheme="majorEastAsia"/>
          <w:szCs w:val="24"/>
        </w:rPr>
        <w:t>》</w:t>
      </w:r>
      <w:r>
        <w:rPr>
          <w:rFonts w:asciiTheme="majorEastAsia" w:hAnsiTheme="majorEastAsia" w:eastAsiaTheme="majorEastAsia"/>
          <w:szCs w:val="24"/>
        </w:rPr>
        <w:t>（工信部联企业〔2011〕300号）</w:t>
      </w:r>
      <w:r>
        <w:rPr>
          <w:rFonts w:hint="eastAsia" w:asciiTheme="majorEastAsia" w:hAnsiTheme="majorEastAsia" w:eastAsiaTheme="majorEastAsia"/>
          <w:szCs w:val="24"/>
        </w:rPr>
        <w:t>（</w:t>
      </w:r>
      <w:r>
        <w:fldChar w:fldCharType="begin"/>
      </w:r>
      <w:r>
        <w:instrText xml:space="preserve"> HYPERLINK "https://www.miit.gov.cn/jgsj/qyj/wjfb/art/2020/art_235af1ade45c4865957adeed23f9d949.html" </w:instrText>
      </w:r>
      <w:r>
        <w:fldChar w:fldCharType="separate"/>
      </w:r>
      <w:r>
        <w:rPr>
          <w:rStyle w:val="34"/>
          <w:rFonts w:asciiTheme="majorEastAsia" w:hAnsiTheme="majorEastAsia" w:eastAsiaTheme="majorEastAsia"/>
          <w:color w:val="auto"/>
          <w:szCs w:val="24"/>
        </w:rPr>
        <w:t>https://www.miit.gov.cn/jgsj/qyj/wjfb/art/2020/art_235af1ade45c4865957adeed23f9d949.html</w:t>
      </w:r>
      <w:r>
        <w:rPr>
          <w:rStyle w:val="34"/>
          <w:rFonts w:asciiTheme="majorEastAsia" w:hAnsiTheme="majorEastAsia" w:eastAsiaTheme="majorEastAsia"/>
          <w:color w:val="auto"/>
          <w:szCs w:val="24"/>
        </w:rPr>
        <w:fldChar w:fldCharType="end"/>
      </w:r>
      <w:r>
        <w:rPr>
          <w:rFonts w:hint="eastAsia" w:asciiTheme="majorEastAsia" w:hAnsiTheme="majorEastAsia" w:eastAsiaTheme="majorEastAsia"/>
          <w:szCs w:val="24"/>
        </w:rPr>
        <w:t>）。投标人可通过工业和信息化部开发的中小企业规模类型自测小程序在线自测，国务院客户端和工业和信息化部网站（</w:t>
      </w:r>
      <w:r>
        <w:fldChar w:fldCharType="begin"/>
      </w:r>
      <w:r>
        <w:instrText xml:space="preserve"> HYPERLINK "https://www.miit.gov.cn/jgsj/qyj/gzdt/art/2020/art_2b95d74c127649649c10be4ef6044609.html" </w:instrText>
      </w:r>
      <w:r>
        <w:fldChar w:fldCharType="separate"/>
      </w:r>
      <w:r>
        <w:rPr>
          <w:rStyle w:val="34"/>
          <w:rFonts w:asciiTheme="majorEastAsia" w:hAnsiTheme="majorEastAsia" w:eastAsiaTheme="majorEastAsia"/>
          <w:color w:val="auto"/>
          <w:szCs w:val="24"/>
        </w:rPr>
        <w:t>https://www.miit.gov.cn/jgsj/qyj/gzdt/art/2020/art_2b95d74c127649649c10be4ef6044609.html</w:t>
      </w:r>
      <w:r>
        <w:rPr>
          <w:rStyle w:val="34"/>
          <w:rFonts w:asciiTheme="majorEastAsia" w:hAnsiTheme="majorEastAsia" w:eastAsiaTheme="majorEastAsia"/>
          <w:color w:val="auto"/>
          <w:szCs w:val="24"/>
        </w:rPr>
        <w:fldChar w:fldCharType="end"/>
      </w:r>
      <w:r>
        <w:rPr>
          <w:rFonts w:hint="eastAsia" w:asciiTheme="majorEastAsia" w:hAnsiTheme="majorEastAsia" w:eastAsiaTheme="majorEastAsia"/>
          <w:szCs w:val="24"/>
        </w:rPr>
        <w:t xml:space="preserve"> ）上均有小程序链接。</w:t>
      </w:r>
    </w:p>
    <w:p>
      <w:pPr>
        <w:wordWrap w:val="0"/>
        <w:adjustRightInd w:val="0"/>
        <w:snapToGrid w:val="0"/>
        <w:spacing w:line="360" w:lineRule="auto"/>
        <w:ind w:firstLine="480" w:firstLineChars="200"/>
        <w:jc w:val="left"/>
        <w:rPr>
          <w:rFonts w:asciiTheme="majorEastAsia" w:hAnsiTheme="majorEastAsia" w:eastAsiaTheme="majorEastAsia"/>
          <w:szCs w:val="24"/>
        </w:rPr>
      </w:pPr>
      <w:r>
        <w:rPr>
          <w:rFonts w:hint="eastAsia" w:cs="@仿宋_GB2312" w:asciiTheme="majorEastAsia" w:hAnsiTheme="majorEastAsia" w:eastAsiaTheme="majorEastAsia"/>
          <w:b/>
          <w:szCs w:val="24"/>
        </w:rPr>
        <w:t>（2</w:t>
      </w:r>
      <w:r>
        <w:rPr>
          <w:rFonts w:cs="@仿宋_GB2312" w:asciiTheme="majorEastAsia" w:hAnsiTheme="majorEastAsia" w:eastAsiaTheme="majorEastAsia"/>
          <w:b/>
          <w:szCs w:val="24"/>
        </w:rPr>
        <w:t>）</w:t>
      </w:r>
      <w:r>
        <w:rPr>
          <w:rFonts w:hint="eastAsia" w:cs="@仿宋_GB2312" w:asciiTheme="majorEastAsia" w:hAnsiTheme="majorEastAsia" w:eastAsiaTheme="majorEastAsia"/>
          <w:b/>
          <w:szCs w:val="24"/>
        </w:rPr>
        <w:t>创新产品应用示范推荐目录：</w:t>
      </w:r>
      <w:r>
        <w:rPr>
          <w:rFonts w:hint="eastAsia" w:asciiTheme="majorEastAsia" w:hAnsiTheme="majorEastAsia" w:eastAsiaTheme="majorEastAsia"/>
          <w:szCs w:val="24"/>
        </w:rPr>
        <w:t>依据行政部门颁发的（有效期内）的创新产品应用示范推荐目录。</w:t>
      </w:r>
    </w:p>
    <w:p>
      <w:pPr>
        <w:wordWrap w:val="0"/>
        <w:adjustRightInd w:val="0"/>
        <w:snapToGrid w:val="0"/>
        <w:spacing w:line="360" w:lineRule="auto"/>
        <w:ind w:firstLine="480" w:firstLineChars="200"/>
        <w:rPr>
          <w:rFonts w:asciiTheme="majorEastAsia" w:hAnsiTheme="majorEastAsia" w:eastAsiaTheme="majorEastAsia"/>
          <w:szCs w:val="24"/>
        </w:rPr>
      </w:pPr>
      <w:r>
        <w:rPr>
          <w:rFonts w:hint="eastAsia" w:asciiTheme="majorEastAsia" w:hAnsiTheme="majorEastAsia" w:eastAsiaTheme="majorEastAsia"/>
          <w:b/>
          <w:szCs w:val="24"/>
        </w:rPr>
        <w:t>（3</w:t>
      </w:r>
      <w:r>
        <w:rPr>
          <w:rFonts w:asciiTheme="majorEastAsia" w:hAnsiTheme="majorEastAsia" w:eastAsiaTheme="majorEastAsia"/>
          <w:b/>
          <w:szCs w:val="24"/>
        </w:rPr>
        <w:t>）</w:t>
      </w:r>
      <w:r>
        <w:rPr>
          <w:rFonts w:hint="eastAsia" w:asciiTheme="majorEastAsia" w:hAnsiTheme="majorEastAsia" w:eastAsiaTheme="majorEastAsia"/>
          <w:b/>
          <w:szCs w:val="24"/>
        </w:rPr>
        <w:t>节能</w:t>
      </w:r>
      <w:r>
        <w:rPr>
          <w:rFonts w:hint="eastAsia" w:cs="@仿宋_GB2312" w:asciiTheme="majorEastAsia" w:hAnsiTheme="majorEastAsia" w:eastAsiaTheme="majorEastAsia"/>
          <w:b/>
          <w:szCs w:val="24"/>
        </w:rPr>
        <w:t>环保</w:t>
      </w:r>
      <w:r>
        <w:rPr>
          <w:rFonts w:hint="eastAsia" w:asciiTheme="majorEastAsia" w:hAnsiTheme="majorEastAsia" w:eastAsiaTheme="majorEastAsia"/>
          <w:b/>
          <w:szCs w:val="24"/>
        </w:rPr>
        <w:t>产品：</w:t>
      </w:r>
      <w:r>
        <w:rPr>
          <w:rFonts w:hint="eastAsia" w:asciiTheme="majorEastAsia" w:hAnsiTheme="majorEastAsia" w:eastAsiaTheme="majorEastAsia"/>
          <w:szCs w:val="24"/>
        </w:rPr>
        <w:t>依据财政部《关于印发节能产品政府采购品目清单的通知》（财库〔</w:t>
      </w:r>
      <w:r>
        <w:rPr>
          <w:rFonts w:asciiTheme="majorEastAsia" w:hAnsiTheme="majorEastAsia" w:eastAsiaTheme="majorEastAsia"/>
          <w:szCs w:val="24"/>
        </w:rPr>
        <w:t>2019〕</w:t>
      </w:r>
      <w:r>
        <w:rPr>
          <w:rFonts w:hint="eastAsia" w:asciiTheme="majorEastAsia" w:hAnsiTheme="majorEastAsia" w:eastAsiaTheme="majorEastAsia"/>
          <w:szCs w:val="24"/>
        </w:rPr>
        <w:t>19号）（</w:t>
      </w:r>
      <w:r>
        <w:fldChar w:fldCharType="begin"/>
      </w:r>
      <w:r>
        <w:instrText xml:space="preserve"> HYPERLINK "http://www.ccgp.gov.cn/zcfg/mof/201904/t20190403_11849836.htm" </w:instrText>
      </w:r>
      <w:r>
        <w:fldChar w:fldCharType="separate"/>
      </w:r>
      <w:r>
        <w:rPr>
          <w:rStyle w:val="34"/>
          <w:rFonts w:asciiTheme="majorEastAsia" w:hAnsiTheme="majorEastAsia" w:eastAsiaTheme="majorEastAsia"/>
          <w:color w:val="auto"/>
          <w:szCs w:val="24"/>
        </w:rPr>
        <w:t>http://www.ccgp.gov.cn/zcfg/mof/201904/t20190403_11849836.htm</w:t>
      </w:r>
      <w:r>
        <w:rPr>
          <w:rStyle w:val="34"/>
          <w:rFonts w:asciiTheme="majorEastAsia" w:hAnsiTheme="majorEastAsia" w:eastAsiaTheme="majorEastAsia"/>
          <w:color w:val="auto"/>
          <w:szCs w:val="24"/>
        </w:rPr>
        <w:fldChar w:fldCharType="end"/>
      </w:r>
      <w:r>
        <w:rPr>
          <w:rFonts w:hint="eastAsia" w:asciiTheme="majorEastAsia" w:hAnsiTheme="majorEastAsia" w:eastAsiaTheme="majorEastAsia"/>
          <w:szCs w:val="24"/>
        </w:rPr>
        <w:t xml:space="preserve"> ）、《关于印发环境标志产品政府采购品目清单的通知》（财库〔</w:t>
      </w:r>
      <w:r>
        <w:rPr>
          <w:rFonts w:asciiTheme="majorEastAsia" w:hAnsiTheme="majorEastAsia" w:eastAsiaTheme="majorEastAsia"/>
          <w:szCs w:val="24"/>
        </w:rPr>
        <w:t>2019〕</w:t>
      </w:r>
      <w:r>
        <w:rPr>
          <w:rFonts w:hint="eastAsia" w:asciiTheme="majorEastAsia" w:hAnsiTheme="majorEastAsia" w:eastAsiaTheme="majorEastAsia"/>
          <w:szCs w:val="24"/>
        </w:rPr>
        <w:t>18号）（</w:t>
      </w:r>
      <w:r>
        <w:fldChar w:fldCharType="begin"/>
      </w:r>
      <w:r>
        <w:instrText xml:space="preserve"> HYPERLINK "http://www.ccgp.gov.cn/zcfg/mof/201903/t20190330_11833800.htm" </w:instrText>
      </w:r>
      <w:r>
        <w:fldChar w:fldCharType="separate"/>
      </w:r>
      <w:r>
        <w:rPr>
          <w:rStyle w:val="34"/>
          <w:rFonts w:asciiTheme="majorEastAsia" w:hAnsiTheme="majorEastAsia" w:eastAsiaTheme="majorEastAsia"/>
          <w:color w:val="auto"/>
          <w:szCs w:val="24"/>
        </w:rPr>
        <w:t>http://www.ccgp.gov.cn/zcfg/mof/201903/t20190330_11833800.htm</w:t>
      </w:r>
      <w:r>
        <w:rPr>
          <w:rStyle w:val="34"/>
          <w:rFonts w:asciiTheme="majorEastAsia" w:hAnsiTheme="majorEastAsia" w:eastAsiaTheme="majorEastAsia"/>
          <w:color w:val="auto"/>
          <w:szCs w:val="24"/>
        </w:rPr>
        <w:fldChar w:fldCharType="end"/>
      </w:r>
      <w:r>
        <w:rPr>
          <w:rFonts w:hint="eastAsia" w:asciiTheme="majorEastAsia" w:hAnsiTheme="majorEastAsia" w:eastAsiaTheme="majorEastAsia"/>
          <w:szCs w:val="24"/>
        </w:rPr>
        <w:t xml:space="preserve"> ）。</w:t>
      </w:r>
    </w:p>
    <w:p>
      <w:pPr>
        <w:wordWrap w:val="0"/>
        <w:adjustRightInd w:val="0"/>
        <w:snapToGrid w:val="0"/>
        <w:spacing w:line="360" w:lineRule="auto"/>
        <w:ind w:firstLine="480" w:firstLineChars="200"/>
        <w:rPr>
          <w:rStyle w:val="34"/>
          <w:rFonts w:asciiTheme="majorEastAsia" w:hAnsiTheme="majorEastAsia" w:eastAsiaTheme="majorEastAsia"/>
          <w:color w:val="auto"/>
          <w:szCs w:val="24"/>
        </w:rPr>
      </w:pPr>
      <w:r>
        <w:rPr>
          <w:rFonts w:hint="eastAsia" w:asciiTheme="majorEastAsia" w:hAnsiTheme="majorEastAsia" w:eastAsiaTheme="majorEastAsia"/>
          <w:b/>
          <w:bCs/>
          <w:szCs w:val="24"/>
        </w:rPr>
        <w:t>（</w:t>
      </w:r>
      <w:r>
        <w:rPr>
          <w:rFonts w:asciiTheme="majorEastAsia" w:hAnsiTheme="majorEastAsia" w:eastAsiaTheme="majorEastAsia"/>
          <w:b/>
          <w:bCs/>
          <w:szCs w:val="24"/>
        </w:rPr>
        <w:t>4）</w:t>
      </w:r>
      <w:r>
        <w:rPr>
          <w:rFonts w:hint="eastAsia" w:asciiTheme="majorEastAsia" w:hAnsiTheme="majorEastAsia" w:eastAsiaTheme="majorEastAsia"/>
          <w:b/>
          <w:bCs/>
          <w:szCs w:val="24"/>
        </w:rPr>
        <w:t>享受政府采购支持政策的残疾人福利性单位的标准：</w:t>
      </w:r>
      <w:r>
        <w:rPr>
          <w:rFonts w:hint="eastAsia" w:asciiTheme="majorEastAsia" w:hAnsiTheme="majorEastAsia" w:eastAsiaTheme="majorEastAsia"/>
          <w:szCs w:val="24"/>
        </w:rPr>
        <w:t>依据财政部民政部中国残疾人联合会关于促进残疾人就业政府采购政策的通知（财库〔</w:t>
      </w:r>
      <w:r>
        <w:rPr>
          <w:rFonts w:asciiTheme="majorEastAsia" w:hAnsiTheme="majorEastAsia" w:eastAsiaTheme="majorEastAsia"/>
          <w:szCs w:val="24"/>
        </w:rPr>
        <w:t>2017〕</w:t>
      </w:r>
      <w:r>
        <w:rPr>
          <w:rFonts w:hint="eastAsia" w:asciiTheme="majorEastAsia" w:hAnsiTheme="majorEastAsia" w:eastAsiaTheme="majorEastAsia"/>
          <w:szCs w:val="24"/>
        </w:rPr>
        <w:t>141号）</w:t>
      </w:r>
      <w:r>
        <w:rPr>
          <w:rStyle w:val="34"/>
          <w:rFonts w:hint="eastAsia" w:asciiTheme="majorEastAsia" w:hAnsiTheme="majorEastAsia" w:eastAsiaTheme="majorEastAsia"/>
          <w:color w:val="auto"/>
          <w:szCs w:val="24"/>
        </w:rPr>
        <w:t>（</w:t>
      </w:r>
      <w:r>
        <w:fldChar w:fldCharType="begin"/>
      </w:r>
      <w:r>
        <w:instrText xml:space="preserve"> HYPERLINK "http://www.ccgp.gov.cn/zcfg/mof/201709/t20170904_8787205.htm" </w:instrText>
      </w:r>
      <w:r>
        <w:fldChar w:fldCharType="separate"/>
      </w:r>
      <w:r>
        <w:rPr>
          <w:rStyle w:val="34"/>
          <w:rFonts w:asciiTheme="majorEastAsia" w:hAnsiTheme="majorEastAsia" w:eastAsiaTheme="majorEastAsia"/>
          <w:color w:val="auto"/>
          <w:szCs w:val="24"/>
        </w:rPr>
        <w:t>http://www.ccgp.gov.cn/zcfg/mof/201709/t20170904_8787205.htm</w:t>
      </w:r>
      <w:r>
        <w:rPr>
          <w:rStyle w:val="34"/>
          <w:rFonts w:asciiTheme="majorEastAsia" w:hAnsiTheme="majorEastAsia" w:eastAsiaTheme="majorEastAsia"/>
          <w:color w:val="auto"/>
          <w:szCs w:val="24"/>
        </w:rPr>
        <w:fldChar w:fldCharType="end"/>
      </w:r>
      <w:r>
        <w:rPr>
          <w:rStyle w:val="34"/>
          <w:rFonts w:hint="eastAsia" w:asciiTheme="majorEastAsia" w:hAnsiTheme="majorEastAsia" w:eastAsiaTheme="majorEastAsia"/>
          <w:color w:val="auto"/>
          <w:szCs w:val="24"/>
        </w:rPr>
        <w:t>）</w:t>
      </w:r>
    </w:p>
    <w:p>
      <w:pPr>
        <w:pStyle w:val="11"/>
        <w:spacing w:line="360" w:lineRule="auto"/>
      </w:pPr>
    </w:p>
    <w:p>
      <w:pPr>
        <w:pStyle w:val="11"/>
        <w:spacing w:line="360" w:lineRule="auto"/>
      </w:pPr>
    </w:p>
    <w:p>
      <w:pPr>
        <w:pStyle w:val="3"/>
        <w:numPr>
          <w:ilvl w:val="0"/>
          <w:numId w:val="70"/>
        </w:numPr>
        <w:tabs>
          <w:tab w:val="left" w:pos="567"/>
        </w:tabs>
        <w:spacing w:before="0" w:after="0" w:line="360" w:lineRule="auto"/>
        <w:jc w:val="left"/>
        <w:rPr>
          <w:rFonts w:ascii="宋体" w:hAnsi="宋体" w:eastAsia="宋体" w:cs="Times New Roman"/>
          <w:sz w:val="24"/>
          <w:szCs w:val="24"/>
          <w:lang w:val="zh-CN"/>
        </w:rPr>
      </w:pPr>
      <w:bookmarkStart w:id="668" w:name="_Toc19535"/>
      <w:bookmarkStart w:id="669" w:name="_Toc15317"/>
      <w:bookmarkStart w:id="670" w:name="_Toc117244382"/>
      <w:bookmarkStart w:id="671" w:name="_Toc117244497"/>
      <w:r>
        <w:rPr>
          <w:rFonts w:hint="eastAsia" w:ascii="宋体" w:hAnsi="宋体" w:eastAsia="宋体" w:cs="Times New Roman"/>
          <w:sz w:val="24"/>
          <w:szCs w:val="24"/>
        </w:rPr>
        <w:t>特定</w:t>
      </w:r>
      <w:r>
        <w:rPr>
          <w:rFonts w:hint="eastAsia" w:ascii="宋体" w:hAnsi="宋体" w:eastAsia="宋体" w:cs="Times New Roman"/>
          <w:sz w:val="24"/>
          <w:szCs w:val="24"/>
          <w:lang w:val="zh-CN"/>
        </w:rPr>
        <w:t>资格要求的证明材料</w:t>
      </w:r>
      <w:bookmarkEnd w:id="668"/>
      <w:bookmarkEnd w:id="669"/>
    </w:p>
    <w:p>
      <w:pPr>
        <w:spacing w:line="360" w:lineRule="auto"/>
        <w:ind w:firstLine="480" w:firstLineChars="200"/>
        <w:rPr>
          <w:rFonts w:ascii="楷体" w:hAnsi="楷体" w:eastAsia="楷体"/>
          <w:szCs w:val="24"/>
          <w:lang w:val="zh-CN"/>
        </w:rPr>
      </w:pPr>
      <w:r>
        <w:rPr>
          <w:rFonts w:hint="eastAsia" w:ascii="楷体" w:hAnsi="楷体" w:eastAsia="楷体"/>
          <w:szCs w:val="24"/>
        </w:rPr>
        <w:t>（若有，根据项目要求自行编写）</w:t>
      </w:r>
      <w:bookmarkEnd w:id="670"/>
      <w:bookmarkEnd w:id="671"/>
    </w:p>
    <w:p>
      <w:pPr>
        <w:spacing w:line="360" w:lineRule="auto"/>
        <w:rPr>
          <w:lang w:val="zh-CN"/>
        </w:rPr>
      </w:pPr>
    </w:p>
    <w:p>
      <w:pPr>
        <w:pStyle w:val="11"/>
        <w:spacing w:line="360" w:lineRule="auto"/>
        <w:rPr>
          <w:lang w:val="zh-CN"/>
        </w:rPr>
      </w:pPr>
    </w:p>
    <w:p>
      <w:pPr>
        <w:pStyle w:val="11"/>
        <w:spacing w:line="360" w:lineRule="auto"/>
        <w:rPr>
          <w:lang w:val="zh-CN"/>
        </w:rPr>
      </w:pPr>
    </w:p>
    <w:p>
      <w:pPr>
        <w:pStyle w:val="3"/>
        <w:numPr>
          <w:ilvl w:val="0"/>
          <w:numId w:val="70"/>
        </w:numPr>
        <w:tabs>
          <w:tab w:val="left" w:pos="567"/>
        </w:tabs>
        <w:spacing w:before="0" w:after="0" w:line="360" w:lineRule="auto"/>
        <w:jc w:val="left"/>
        <w:rPr>
          <w:rFonts w:ascii="宋体" w:hAnsi="宋体" w:eastAsia="宋体" w:cs="Times New Roman"/>
          <w:sz w:val="24"/>
          <w:szCs w:val="24"/>
          <w:lang w:val="zh-CN"/>
        </w:rPr>
      </w:pPr>
      <w:bookmarkStart w:id="672" w:name="_Toc28508"/>
      <w:bookmarkStart w:id="673" w:name="_Toc4947"/>
      <w:bookmarkStart w:id="674" w:name="_Toc117244383"/>
      <w:bookmarkStart w:id="675" w:name="_Toc117244498"/>
      <w:r>
        <w:rPr>
          <w:rFonts w:hint="eastAsia" w:ascii="宋体" w:hAnsi="宋体" w:eastAsia="宋体" w:cs="Courier New"/>
          <w:sz w:val="24"/>
          <w:szCs w:val="24"/>
        </w:rPr>
        <w:t>投标人认为需要的</w:t>
      </w:r>
      <w:r>
        <w:rPr>
          <w:rFonts w:hint="eastAsia" w:ascii="宋体" w:hAnsi="宋体" w:eastAsia="宋体" w:cs="Times New Roman"/>
          <w:sz w:val="24"/>
          <w:szCs w:val="24"/>
          <w:lang w:val="zh-CN"/>
        </w:rPr>
        <w:t>其它</w:t>
      </w:r>
      <w:r>
        <w:rPr>
          <w:rFonts w:hint="eastAsia" w:ascii="宋体" w:hAnsi="宋体" w:eastAsia="宋体" w:cs="Courier New"/>
          <w:sz w:val="24"/>
          <w:szCs w:val="24"/>
        </w:rPr>
        <w:t>资格证明材料</w:t>
      </w:r>
      <w:bookmarkEnd w:id="672"/>
      <w:bookmarkEnd w:id="673"/>
    </w:p>
    <w:p>
      <w:pPr>
        <w:spacing w:line="360" w:lineRule="auto"/>
        <w:ind w:firstLine="480" w:firstLineChars="200"/>
        <w:rPr>
          <w:rFonts w:ascii="楷体" w:hAnsi="楷体" w:eastAsia="楷体"/>
          <w:szCs w:val="24"/>
          <w:lang w:val="zh-CN"/>
        </w:rPr>
      </w:pPr>
      <w:r>
        <w:rPr>
          <w:rFonts w:hint="eastAsia" w:ascii="楷体" w:hAnsi="楷体" w:eastAsia="楷体" w:cs="Courier New"/>
          <w:szCs w:val="24"/>
        </w:rPr>
        <w:t>（若有，根据项目实际自行编写）</w:t>
      </w:r>
      <w:bookmarkEnd w:id="674"/>
      <w:bookmarkEnd w:id="675"/>
    </w:p>
    <w:p>
      <w:pPr>
        <w:pStyle w:val="11"/>
        <w:wordWrap w:val="0"/>
        <w:spacing w:line="360" w:lineRule="auto"/>
        <w:sectPr>
          <w:pgSz w:w="11906" w:h="16838"/>
          <w:pgMar w:top="1134" w:right="1191" w:bottom="1134" w:left="1191" w:header="851" w:footer="992" w:gutter="0"/>
          <w:pgBorders>
            <w:top w:val="none" w:sz="0" w:space="0"/>
            <w:left w:val="none" w:sz="0" w:space="0"/>
            <w:bottom w:val="none" w:sz="0" w:space="0"/>
            <w:right w:val="none" w:sz="0" w:space="0"/>
          </w:pgBorders>
          <w:cols w:space="425" w:num="1"/>
          <w:docGrid w:type="linesAndChars" w:linePitch="312" w:charSpace="0"/>
        </w:sectPr>
      </w:pPr>
    </w:p>
    <w:p>
      <w:pPr>
        <w:pStyle w:val="3"/>
        <w:tabs>
          <w:tab w:val="left" w:pos="567"/>
        </w:tabs>
        <w:spacing w:line="360" w:lineRule="auto"/>
        <w:ind w:left="482"/>
        <w:jc w:val="center"/>
        <w:rPr>
          <w:rFonts w:ascii="宋体" w:hAnsi="宋体" w:eastAsia="宋体"/>
        </w:rPr>
      </w:pPr>
      <w:bookmarkStart w:id="676" w:name="_Toc7591"/>
      <w:bookmarkStart w:id="677" w:name="_Toc18583"/>
      <w:bookmarkStart w:id="678" w:name="_Toc107561306"/>
      <w:bookmarkStart w:id="679" w:name="_Toc117244500"/>
      <w:bookmarkStart w:id="680" w:name="_Toc117244385"/>
      <w:r>
        <w:rPr>
          <w:rFonts w:hint="eastAsia" w:ascii="宋体" w:hAnsi="宋体" w:eastAsia="宋体"/>
        </w:rPr>
        <w:t>第</w:t>
      </w:r>
      <w:r>
        <w:rPr>
          <w:rFonts w:ascii="宋体" w:hAnsi="宋体" w:eastAsia="宋体"/>
        </w:rPr>
        <w:t>二部分</w:t>
      </w:r>
      <w:r>
        <w:rPr>
          <w:rFonts w:hint="eastAsia" w:ascii="宋体" w:hAnsi="宋体" w:eastAsia="宋体"/>
        </w:rPr>
        <w:t xml:space="preserve"> 商务</w:t>
      </w:r>
      <w:r>
        <w:rPr>
          <w:rFonts w:ascii="宋体" w:hAnsi="宋体" w:eastAsia="宋体"/>
        </w:rPr>
        <w:t>技术文件</w:t>
      </w:r>
      <w:bookmarkEnd w:id="676"/>
      <w:bookmarkEnd w:id="677"/>
    </w:p>
    <w:p>
      <w:pPr>
        <w:pStyle w:val="3"/>
        <w:numPr>
          <w:ilvl w:val="0"/>
          <w:numId w:val="77"/>
        </w:numPr>
        <w:tabs>
          <w:tab w:val="left" w:pos="567"/>
        </w:tabs>
        <w:spacing w:line="360" w:lineRule="auto"/>
        <w:ind w:left="482" w:hanging="480" w:hangingChars="200"/>
        <w:jc w:val="left"/>
        <w:rPr>
          <w:rFonts w:ascii="宋体" w:hAnsi="宋体" w:eastAsia="宋体"/>
          <w:sz w:val="24"/>
          <w:szCs w:val="24"/>
        </w:rPr>
      </w:pPr>
      <w:bookmarkStart w:id="681" w:name="_Toc20580"/>
      <w:bookmarkStart w:id="682" w:name="_Toc32707"/>
      <w:r>
        <w:rPr>
          <w:rFonts w:hint="eastAsia" w:ascii="宋体" w:hAnsi="宋体" w:eastAsia="宋体"/>
          <w:sz w:val="24"/>
          <w:szCs w:val="24"/>
        </w:rPr>
        <w:t>符合性审查对照表</w:t>
      </w:r>
      <w:bookmarkEnd w:id="678"/>
      <w:bookmarkEnd w:id="679"/>
      <w:bookmarkEnd w:id="680"/>
      <w:bookmarkEnd w:id="681"/>
      <w:bookmarkEnd w:id="682"/>
    </w:p>
    <w:p>
      <w:pPr>
        <w:wordWrap w:val="0"/>
        <w:spacing w:line="360" w:lineRule="auto"/>
        <w:jc w:val="left"/>
        <w:rPr>
          <w:b/>
        </w:rPr>
      </w:pPr>
      <w:r>
        <w:rPr>
          <w:rFonts w:hint="eastAsia"/>
          <w:b/>
        </w:rPr>
        <w:t>投 标 人：</w:t>
      </w:r>
      <w:r>
        <w:rPr>
          <w:rFonts w:hint="eastAsia"/>
          <w:b/>
          <w:szCs w:val="21"/>
          <w:u w:val="single"/>
          <w:lang w:val="zh-CN"/>
        </w:rPr>
        <w:t xml:space="preserve">                     </w:t>
      </w:r>
      <w:r>
        <w:rPr>
          <w:rFonts w:hint="eastAsia"/>
          <w:b/>
          <w:szCs w:val="21"/>
          <w:lang w:val="zh-CN"/>
        </w:rPr>
        <w:t xml:space="preserve"> </w:t>
      </w:r>
    </w:p>
    <w:p>
      <w:pPr>
        <w:wordWrap w:val="0"/>
        <w:spacing w:line="360" w:lineRule="auto"/>
        <w:jc w:val="left"/>
        <w:rPr>
          <w:b/>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w:t>
      </w:r>
      <w:r>
        <w:rPr>
          <w:b/>
          <w:bCs/>
          <w:szCs w:val="21"/>
          <w:lang w:val="zh-CN"/>
        </w:rPr>
        <w:t xml:space="preserve">        </w:t>
      </w:r>
      <w:r>
        <w:rPr>
          <w:rFonts w:hint="eastAsia"/>
          <w:b/>
          <w:bCs/>
          <w:szCs w:val="21"/>
          <w:lang w:val="zh-CN"/>
        </w:rPr>
        <w:t>包号：</w:t>
      </w:r>
      <w:r>
        <w:rPr>
          <w:rFonts w:hint="eastAsia"/>
          <w:b/>
          <w:bCs/>
          <w:szCs w:val="21"/>
          <w:u w:val="single"/>
          <w:lang w:val="zh-CN"/>
        </w:rPr>
        <w:t xml:space="preserve">           </w:t>
      </w:r>
    </w:p>
    <w:tbl>
      <w:tblPr>
        <w:tblStyle w:val="29"/>
        <w:tblW w:w="4908"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02"/>
        <w:gridCol w:w="4037"/>
        <w:gridCol w:w="3744"/>
        <w:gridCol w:w="117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6" w:hRule="atLeast"/>
          <w:jc w:val="center"/>
        </w:trPr>
        <w:tc>
          <w:tcPr>
            <w:tcW w:w="2426" w:type="pct"/>
            <w:gridSpan w:val="2"/>
            <w:tcBorders>
              <w:bottom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招标文件符合性审查条款</w:t>
            </w:r>
          </w:p>
        </w:tc>
        <w:tc>
          <w:tcPr>
            <w:tcW w:w="1958" w:type="pct"/>
            <w:vMerge w:val="restart"/>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投标文件响应的内容</w:t>
            </w:r>
          </w:p>
        </w:tc>
        <w:tc>
          <w:tcPr>
            <w:tcW w:w="616" w:type="pct"/>
            <w:vMerge w:val="restart"/>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投标文件对应页码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1" w:hRule="atLeast"/>
          <w:jc w:val="center"/>
        </w:trPr>
        <w:tc>
          <w:tcPr>
            <w:tcW w:w="315" w:type="pct"/>
            <w:tcBorders>
              <w:top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120" w:leftChars="-50" w:right="-120" w:rightChars="-50"/>
              <w:jc w:val="center"/>
              <w:rPr>
                <w:rFonts w:cs="仿宋_GB2312"/>
                <w:szCs w:val="24"/>
              </w:rPr>
            </w:pPr>
            <w:r>
              <w:rPr>
                <w:rFonts w:hint="eastAsia" w:cs="仿宋_GB2312"/>
                <w:szCs w:val="24"/>
              </w:rPr>
              <w:t>序号</w:t>
            </w:r>
          </w:p>
        </w:tc>
        <w:tc>
          <w:tcPr>
            <w:tcW w:w="2111" w:type="pct"/>
            <w:tcBorders>
              <w:top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审查内容</w:t>
            </w:r>
          </w:p>
        </w:tc>
        <w:tc>
          <w:tcPr>
            <w:tcW w:w="1958" w:type="pct"/>
            <w:vMerge w:val="continue"/>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p>
        </w:tc>
        <w:tc>
          <w:tcPr>
            <w:tcW w:w="616" w:type="pct"/>
            <w:vMerge w:val="continue"/>
            <w:shd w:val="pct10" w:color="C3BD96" w:themeColor="background2" w:themeShade="BF" w:fill="DDD9C4" w:themeFill="background2" w:themeFillShade="E6"/>
          </w:tcPr>
          <w:p>
            <w:pPr>
              <w:wordWrap w:val="0"/>
              <w:spacing w:before="100" w:beforeAutospacing="1" w:after="100" w:afterAutospacing="1" w:line="360" w:lineRule="auto"/>
              <w:ind w:left="-60" w:leftChars="-25" w:right="-60" w:rightChars="-25"/>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4" w:hRule="atLeast"/>
          <w:jc w:val="center"/>
        </w:trPr>
        <w:tc>
          <w:tcPr>
            <w:tcW w:w="315" w:type="pct"/>
            <w:vAlign w:val="center"/>
          </w:tcPr>
          <w:p>
            <w:pPr>
              <w:numPr>
                <w:ilvl w:val="0"/>
                <w:numId w:val="78"/>
              </w:numPr>
              <w:tabs>
                <w:tab w:val="left" w:pos="61"/>
              </w:tabs>
              <w:wordWrap w:val="0"/>
              <w:adjustRightInd w:val="0"/>
              <w:snapToGrid w:val="0"/>
              <w:spacing w:line="360" w:lineRule="auto"/>
              <w:ind w:left="-72" w:leftChars="-30" w:firstLine="0"/>
              <w:jc w:val="center"/>
            </w:pPr>
          </w:p>
        </w:tc>
        <w:tc>
          <w:tcPr>
            <w:tcW w:w="2111" w:type="pct"/>
            <w:vAlign w:val="center"/>
          </w:tcPr>
          <w:p>
            <w:pPr>
              <w:wordWrap w:val="0"/>
              <w:spacing w:line="360" w:lineRule="auto"/>
              <w:jc w:val="center"/>
              <w:rPr>
                <w:rFonts w:cs="仿宋_GB2312"/>
                <w:szCs w:val="24"/>
              </w:rPr>
            </w:pPr>
          </w:p>
        </w:tc>
        <w:tc>
          <w:tcPr>
            <w:tcW w:w="1958" w:type="pct"/>
            <w:vAlign w:val="center"/>
          </w:tcPr>
          <w:p>
            <w:pPr>
              <w:wordWrap w:val="0"/>
              <w:spacing w:line="360" w:lineRule="auto"/>
              <w:jc w:val="center"/>
              <w:rPr>
                <w:rFonts w:cs="仿宋_GB2312"/>
                <w:szCs w:val="24"/>
              </w:rPr>
            </w:pPr>
          </w:p>
        </w:tc>
        <w:tc>
          <w:tcPr>
            <w:tcW w:w="616" w:type="pct"/>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4" w:hRule="atLeast"/>
          <w:jc w:val="center"/>
        </w:trPr>
        <w:tc>
          <w:tcPr>
            <w:tcW w:w="315" w:type="pct"/>
            <w:vAlign w:val="center"/>
          </w:tcPr>
          <w:p>
            <w:pPr>
              <w:numPr>
                <w:ilvl w:val="0"/>
                <w:numId w:val="78"/>
              </w:numPr>
              <w:tabs>
                <w:tab w:val="left" w:pos="61"/>
              </w:tabs>
              <w:wordWrap w:val="0"/>
              <w:adjustRightInd w:val="0"/>
              <w:snapToGrid w:val="0"/>
              <w:spacing w:line="360" w:lineRule="auto"/>
              <w:ind w:left="-72" w:leftChars="-30" w:firstLine="0"/>
              <w:jc w:val="center"/>
            </w:pPr>
          </w:p>
        </w:tc>
        <w:tc>
          <w:tcPr>
            <w:tcW w:w="2111" w:type="pct"/>
            <w:vAlign w:val="center"/>
          </w:tcPr>
          <w:p>
            <w:pPr>
              <w:wordWrap w:val="0"/>
              <w:spacing w:line="360" w:lineRule="auto"/>
              <w:jc w:val="center"/>
              <w:rPr>
                <w:rFonts w:cs="仿宋_GB2312"/>
                <w:szCs w:val="24"/>
              </w:rPr>
            </w:pPr>
          </w:p>
        </w:tc>
        <w:tc>
          <w:tcPr>
            <w:tcW w:w="1958" w:type="pct"/>
            <w:vAlign w:val="center"/>
          </w:tcPr>
          <w:p>
            <w:pPr>
              <w:wordWrap w:val="0"/>
              <w:spacing w:line="360" w:lineRule="auto"/>
              <w:jc w:val="center"/>
              <w:rPr>
                <w:rFonts w:cs="仿宋_GB2312"/>
                <w:szCs w:val="24"/>
              </w:rPr>
            </w:pPr>
          </w:p>
        </w:tc>
        <w:tc>
          <w:tcPr>
            <w:tcW w:w="616" w:type="pct"/>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4" w:hRule="atLeast"/>
          <w:jc w:val="center"/>
        </w:trPr>
        <w:tc>
          <w:tcPr>
            <w:tcW w:w="315" w:type="pct"/>
            <w:vAlign w:val="center"/>
          </w:tcPr>
          <w:p>
            <w:pPr>
              <w:numPr>
                <w:ilvl w:val="0"/>
                <w:numId w:val="78"/>
              </w:numPr>
              <w:tabs>
                <w:tab w:val="left" w:pos="61"/>
              </w:tabs>
              <w:wordWrap w:val="0"/>
              <w:adjustRightInd w:val="0"/>
              <w:snapToGrid w:val="0"/>
              <w:spacing w:line="360" w:lineRule="auto"/>
              <w:ind w:left="-72" w:leftChars="-30" w:firstLine="0"/>
              <w:jc w:val="center"/>
            </w:pPr>
          </w:p>
        </w:tc>
        <w:tc>
          <w:tcPr>
            <w:tcW w:w="2111" w:type="pct"/>
            <w:vAlign w:val="center"/>
          </w:tcPr>
          <w:p>
            <w:pPr>
              <w:wordWrap w:val="0"/>
              <w:spacing w:line="360" w:lineRule="auto"/>
              <w:jc w:val="center"/>
              <w:rPr>
                <w:rFonts w:cs="仿宋_GB2312"/>
                <w:szCs w:val="24"/>
              </w:rPr>
            </w:pPr>
          </w:p>
        </w:tc>
        <w:tc>
          <w:tcPr>
            <w:tcW w:w="1958" w:type="pct"/>
            <w:vAlign w:val="center"/>
          </w:tcPr>
          <w:p>
            <w:pPr>
              <w:wordWrap w:val="0"/>
              <w:spacing w:line="360" w:lineRule="auto"/>
              <w:jc w:val="center"/>
              <w:rPr>
                <w:rFonts w:cs="仿宋_GB2312"/>
                <w:szCs w:val="24"/>
              </w:rPr>
            </w:pPr>
          </w:p>
        </w:tc>
        <w:tc>
          <w:tcPr>
            <w:tcW w:w="616" w:type="pct"/>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4" w:hRule="atLeast"/>
          <w:jc w:val="center"/>
        </w:trPr>
        <w:tc>
          <w:tcPr>
            <w:tcW w:w="315" w:type="pct"/>
            <w:vAlign w:val="center"/>
          </w:tcPr>
          <w:p>
            <w:pPr>
              <w:numPr>
                <w:ilvl w:val="0"/>
                <w:numId w:val="78"/>
              </w:numPr>
              <w:tabs>
                <w:tab w:val="left" w:pos="61"/>
              </w:tabs>
              <w:wordWrap w:val="0"/>
              <w:adjustRightInd w:val="0"/>
              <w:snapToGrid w:val="0"/>
              <w:spacing w:line="360" w:lineRule="auto"/>
              <w:ind w:left="-72" w:leftChars="-30" w:firstLine="0"/>
              <w:jc w:val="center"/>
            </w:pPr>
          </w:p>
        </w:tc>
        <w:tc>
          <w:tcPr>
            <w:tcW w:w="2111" w:type="pct"/>
            <w:vAlign w:val="center"/>
          </w:tcPr>
          <w:p>
            <w:pPr>
              <w:wordWrap w:val="0"/>
              <w:spacing w:line="360" w:lineRule="auto"/>
              <w:jc w:val="center"/>
              <w:rPr>
                <w:rFonts w:cs="仿宋_GB2312"/>
                <w:szCs w:val="24"/>
              </w:rPr>
            </w:pPr>
          </w:p>
        </w:tc>
        <w:tc>
          <w:tcPr>
            <w:tcW w:w="1958" w:type="pct"/>
            <w:vAlign w:val="center"/>
          </w:tcPr>
          <w:p>
            <w:pPr>
              <w:wordWrap w:val="0"/>
              <w:spacing w:line="360" w:lineRule="auto"/>
              <w:jc w:val="center"/>
              <w:rPr>
                <w:rFonts w:cs="仿宋_GB2312"/>
                <w:szCs w:val="24"/>
              </w:rPr>
            </w:pPr>
          </w:p>
        </w:tc>
        <w:tc>
          <w:tcPr>
            <w:tcW w:w="616" w:type="pct"/>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4" w:hRule="atLeast"/>
          <w:jc w:val="center"/>
        </w:trPr>
        <w:tc>
          <w:tcPr>
            <w:tcW w:w="315" w:type="pct"/>
            <w:vAlign w:val="center"/>
          </w:tcPr>
          <w:p>
            <w:pPr>
              <w:numPr>
                <w:ilvl w:val="0"/>
                <w:numId w:val="78"/>
              </w:numPr>
              <w:tabs>
                <w:tab w:val="left" w:pos="61"/>
              </w:tabs>
              <w:wordWrap w:val="0"/>
              <w:adjustRightInd w:val="0"/>
              <w:snapToGrid w:val="0"/>
              <w:spacing w:line="360" w:lineRule="auto"/>
              <w:ind w:left="-72" w:leftChars="-30" w:firstLine="0"/>
              <w:jc w:val="center"/>
            </w:pPr>
          </w:p>
        </w:tc>
        <w:tc>
          <w:tcPr>
            <w:tcW w:w="2111" w:type="pct"/>
            <w:vAlign w:val="center"/>
          </w:tcPr>
          <w:p>
            <w:pPr>
              <w:wordWrap w:val="0"/>
              <w:spacing w:line="360" w:lineRule="auto"/>
              <w:jc w:val="center"/>
              <w:rPr>
                <w:rFonts w:cs="仿宋_GB2312"/>
                <w:szCs w:val="24"/>
              </w:rPr>
            </w:pPr>
          </w:p>
        </w:tc>
        <w:tc>
          <w:tcPr>
            <w:tcW w:w="1958" w:type="pct"/>
            <w:vAlign w:val="center"/>
          </w:tcPr>
          <w:p>
            <w:pPr>
              <w:wordWrap w:val="0"/>
              <w:spacing w:line="360" w:lineRule="auto"/>
              <w:jc w:val="center"/>
              <w:rPr>
                <w:rFonts w:cs="仿宋_GB2312"/>
                <w:szCs w:val="24"/>
              </w:rPr>
            </w:pPr>
          </w:p>
        </w:tc>
        <w:tc>
          <w:tcPr>
            <w:tcW w:w="616" w:type="pct"/>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2" w:hRule="atLeast"/>
          <w:jc w:val="center"/>
        </w:trPr>
        <w:tc>
          <w:tcPr>
            <w:tcW w:w="315" w:type="pct"/>
            <w:vAlign w:val="center"/>
          </w:tcPr>
          <w:p>
            <w:pPr>
              <w:wordWrap w:val="0"/>
              <w:spacing w:line="360" w:lineRule="auto"/>
              <w:jc w:val="center"/>
              <w:rPr>
                <w:rFonts w:cs="仿宋_GB2312"/>
                <w:szCs w:val="24"/>
              </w:rPr>
            </w:pPr>
            <w:r>
              <w:rPr>
                <w:rFonts w:hint="eastAsia" w:cs="仿宋_GB2312"/>
                <w:szCs w:val="24"/>
              </w:rPr>
              <w:t>…</w:t>
            </w:r>
          </w:p>
        </w:tc>
        <w:tc>
          <w:tcPr>
            <w:tcW w:w="2111" w:type="pct"/>
            <w:vAlign w:val="center"/>
          </w:tcPr>
          <w:p>
            <w:pPr>
              <w:wordWrap w:val="0"/>
              <w:spacing w:line="360" w:lineRule="auto"/>
              <w:jc w:val="center"/>
              <w:rPr>
                <w:rFonts w:cs="仿宋_GB2312"/>
                <w:szCs w:val="24"/>
              </w:rPr>
            </w:pPr>
            <w:r>
              <w:rPr>
                <w:rFonts w:hint="eastAsia" w:cs="宋体"/>
                <w:szCs w:val="24"/>
              </w:rPr>
              <w:t>……</w:t>
            </w:r>
          </w:p>
        </w:tc>
        <w:tc>
          <w:tcPr>
            <w:tcW w:w="1958" w:type="pct"/>
            <w:vAlign w:val="center"/>
          </w:tcPr>
          <w:p>
            <w:pPr>
              <w:wordWrap w:val="0"/>
              <w:spacing w:line="360" w:lineRule="auto"/>
              <w:jc w:val="center"/>
              <w:rPr>
                <w:rFonts w:cs="仿宋_GB2312"/>
                <w:szCs w:val="24"/>
              </w:rPr>
            </w:pPr>
            <w:r>
              <w:rPr>
                <w:rFonts w:hint="eastAsia" w:cs="宋体"/>
                <w:szCs w:val="24"/>
              </w:rPr>
              <w:t>……</w:t>
            </w:r>
          </w:p>
        </w:tc>
        <w:tc>
          <w:tcPr>
            <w:tcW w:w="616" w:type="pct"/>
            <w:vAlign w:val="center"/>
          </w:tcPr>
          <w:p>
            <w:pPr>
              <w:wordWrap w:val="0"/>
              <w:spacing w:line="360" w:lineRule="auto"/>
              <w:jc w:val="center"/>
              <w:rPr>
                <w:rFonts w:cs="仿宋_GB2312"/>
                <w:szCs w:val="24"/>
              </w:rPr>
            </w:pPr>
            <w:r>
              <w:rPr>
                <w:rFonts w:hint="eastAsia" w:cs="宋体"/>
                <w:szCs w:val="24"/>
              </w:rPr>
              <w:t>……</w:t>
            </w:r>
          </w:p>
        </w:tc>
      </w:tr>
    </w:tbl>
    <w:p>
      <w:pPr>
        <w:wordWrap w:val="0"/>
        <w:spacing w:line="360" w:lineRule="auto"/>
        <w:ind w:left="1132" w:hanging="1128" w:hangingChars="470"/>
        <w:jc w:val="left"/>
        <w:rPr>
          <w:b/>
          <w:szCs w:val="24"/>
        </w:rPr>
      </w:pPr>
      <w:r>
        <w:rPr>
          <w:rFonts w:hint="eastAsia"/>
          <w:b/>
          <w:szCs w:val="24"/>
        </w:rPr>
        <w:t>说明</w:t>
      </w:r>
      <w:r>
        <w:rPr>
          <w:rFonts w:hint="eastAsia" w:cs="Corbel"/>
          <w:b/>
          <w:szCs w:val="24"/>
        </w:rPr>
        <w:t>：</w:t>
      </w:r>
      <w:r>
        <w:rPr>
          <w:rFonts w:hint="eastAsia" w:cs="Corbel"/>
          <w:szCs w:val="24"/>
        </w:rPr>
        <w:t>1</w:t>
      </w:r>
      <w:r>
        <w:rPr>
          <w:rFonts w:hint="eastAsia"/>
          <w:szCs w:val="24"/>
        </w:rPr>
        <w:t>.</w:t>
      </w:r>
      <w:r>
        <w:rPr>
          <w:rFonts w:hint="eastAsia" w:cs="Corbel"/>
          <w:szCs w:val="24"/>
        </w:rPr>
        <w:t>应按招标文件“第五章 评标办法”中“符合性审查”的条款逐项在“投标文件响应的内容”栏中进行响应说明。未按照要求填写此表或在“投标文件响应的内容”栏中未进行详细响应说明的，导致的后果由投标人自行承担</w:t>
      </w:r>
      <w:r>
        <w:rPr>
          <w:rFonts w:hint="eastAsia"/>
          <w:szCs w:val="24"/>
        </w:rPr>
        <w:t>。</w:t>
      </w:r>
    </w:p>
    <w:p>
      <w:pPr>
        <w:wordWrap w:val="0"/>
        <w:spacing w:line="360" w:lineRule="auto"/>
        <w:ind w:left="1130" w:leftChars="295" w:hanging="422" w:hangingChars="176"/>
        <w:jc w:val="left"/>
        <w:rPr>
          <w:b/>
          <w:szCs w:val="24"/>
        </w:rPr>
      </w:pPr>
      <w:r>
        <w:rPr>
          <w:rFonts w:hint="eastAsia" w:cs="Corbel"/>
          <w:szCs w:val="24"/>
        </w:rPr>
        <w:t>2.</w:t>
      </w:r>
      <w:r>
        <w:rPr>
          <w:rFonts w:hint="eastAsia"/>
          <w:szCs w:val="24"/>
        </w:rPr>
        <w:t>应将对应响应的证明文件页码（多页的起码和止码）填写到上表“投标文件对应页码”栏中。未提供准确页码或页码与对应内容不一致的，导致的后果由投标人自行承担。</w:t>
      </w:r>
    </w:p>
    <w:p>
      <w:pPr>
        <w:wordWrap w:val="0"/>
        <w:spacing w:before="100" w:beforeAutospacing="1" w:after="100" w:afterAutospacing="1" w:line="360" w:lineRule="auto"/>
        <w:ind w:firstLine="3316" w:firstLineChars="1382"/>
        <w:rPr>
          <w:bCs/>
          <w:u w:val="single"/>
        </w:rPr>
      </w:pPr>
      <w:r>
        <w:rPr>
          <w:rFonts w:hint="eastAsia"/>
          <w:bCs/>
        </w:rPr>
        <w:t>投标人（公章）：</w:t>
      </w:r>
      <w:r>
        <w:rPr>
          <w:rFonts w:hint="eastAsia"/>
          <w:bCs/>
          <w:u w:val="single"/>
        </w:rPr>
        <w:t xml:space="preserve">                          </w:t>
      </w:r>
    </w:p>
    <w:p>
      <w:pPr>
        <w:wordWrap w:val="0"/>
        <w:spacing w:before="100" w:beforeAutospacing="1" w:after="100" w:afterAutospacing="1" w:line="360" w:lineRule="auto"/>
        <w:ind w:firstLine="3316" w:firstLineChars="1382"/>
        <w:rPr>
          <w:bCs/>
        </w:rPr>
      </w:pPr>
      <w:r>
        <w:rPr>
          <w:rFonts w:hint="eastAsia"/>
          <w:szCs w:val="24"/>
        </w:rPr>
        <w:t>日   期：</w:t>
      </w:r>
      <w:r>
        <w:rPr>
          <w:rFonts w:hint="eastAsia"/>
          <w:bCs/>
          <w:u w:val="single"/>
        </w:rPr>
        <w:t xml:space="preserve">                               </w:t>
      </w:r>
    </w:p>
    <w:p>
      <w:pPr>
        <w:pStyle w:val="3"/>
        <w:numPr>
          <w:ilvl w:val="0"/>
          <w:numId w:val="79"/>
        </w:numPr>
        <w:wordWrap w:val="0"/>
        <w:spacing w:before="40" w:after="40" w:line="360" w:lineRule="auto"/>
        <w:ind w:left="1285" w:hanging="1280" w:hangingChars="400"/>
        <w:jc w:val="left"/>
        <w:rPr>
          <w:rFonts w:ascii="宋体" w:hAnsi="宋体" w:eastAsia="宋体" w:cs="Times New Roman"/>
          <w:bCs w:val="0"/>
        </w:rPr>
        <w:sectPr>
          <w:pgSz w:w="11906" w:h="16838"/>
          <w:pgMar w:top="1134" w:right="1191" w:bottom="1134" w:left="1191" w:header="851" w:footer="992" w:gutter="0"/>
          <w:pgBorders>
            <w:top w:val="none" w:sz="0" w:space="0"/>
            <w:left w:val="none" w:sz="0" w:space="0"/>
            <w:bottom w:val="none" w:sz="0" w:space="0"/>
            <w:right w:val="none" w:sz="0" w:space="0"/>
          </w:pgBorders>
          <w:cols w:space="425" w:num="1"/>
          <w:docGrid w:type="linesAndChars" w:linePitch="312" w:charSpace="0"/>
        </w:sectPr>
      </w:pPr>
    </w:p>
    <w:p>
      <w:pPr>
        <w:pStyle w:val="3"/>
        <w:numPr>
          <w:ilvl w:val="0"/>
          <w:numId w:val="77"/>
        </w:numPr>
        <w:tabs>
          <w:tab w:val="left" w:pos="567"/>
        </w:tabs>
        <w:spacing w:line="360" w:lineRule="auto"/>
        <w:ind w:left="482" w:hanging="482" w:hangingChars="200"/>
        <w:jc w:val="left"/>
        <w:rPr>
          <w:rFonts w:ascii="宋体" w:hAnsi="宋体" w:eastAsia="宋体"/>
          <w:sz w:val="24"/>
          <w:szCs w:val="24"/>
        </w:rPr>
      </w:pPr>
      <w:bookmarkStart w:id="683" w:name="_Toc117244386"/>
      <w:bookmarkStart w:id="684" w:name="_Toc107561307"/>
      <w:bookmarkStart w:id="685" w:name="_Toc6117"/>
      <w:bookmarkStart w:id="686" w:name="_Toc117244501"/>
      <w:bookmarkStart w:id="687" w:name="_Toc15272"/>
      <w:r>
        <w:rPr>
          <w:rFonts w:hint="eastAsia" w:ascii="宋体" w:hAnsi="宋体" w:eastAsia="宋体"/>
          <w:sz w:val="24"/>
          <w:szCs w:val="24"/>
        </w:rPr>
        <w:t>商务</w:t>
      </w:r>
      <w:r>
        <w:rPr>
          <w:rFonts w:hint="eastAsia" w:ascii="宋体" w:hAnsi="宋体" w:eastAsia="宋体" w:cs="Times New Roman"/>
          <w:bCs w:val="0"/>
          <w:sz w:val="24"/>
          <w:szCs w:val="24"/>
        </w:rPr>
        <w:t>要求</w:t>
      </w:r>
      <w:r>
        <w:rPr>
          <w:rFonts w:hint="eastAsia" w:ascii="宋体" w:hAnsi="宋体" w:eastAsia="宋体"/>
          <w:sz w:val="24"/>
          <w:szCs w:val="24"/>
        </w:rPr>
        <w:t>响应偏离说明表</w:t>
      </w:r>
      <w:bookmarkEnd w:id="683"/>
      <w:bookmarkEnd w:id="684"/>
      <w:bookmarkEnd w:id="685"/>
      <w:bookmarkEnd w:id="686"/>
      <w:bookmarkEnd w:id="687"/>
    </w:p>
    <w:p>
      <w:pPr>
        <w:wordWrap w:val="0"/>
        <w:spacing w:line="360" w:lineRule="auto"/>
        <w:jc w:val="left"/>
        <w:rPr>
          <w:b/>
        </w:rPr>
      </w:pPr>
      <w:r>
        <w:rPr>
          <w:rFonts w:hint="eastAsia"/>
          <w:b/>
        </w:rPr>
        <w:t>投 标 人：</w:t>
      </w:r>
      <w:r>
        <w:rPr>
          <w:rFonts w:hint="eastAsia"/>
          <w:b/>
          <w:szCs w:val="21"/>
          <w:u w:val="single"/>
          <w:lang w:val="zh-CN"/>
        </w:rPr>
        <w:t xml:space="preserve">                     </w:t>
      </w:r>
      <w:r>
        <w:rPr>
          <w:rFonts w:hint="eastAsia"/>
          <w:b/>
          <w:szCs w:val="21"/>
          <w:lang w:val="zh-CN"/>
        </w:rPr>
        <w:t xml:space="preserve"> </w:t>
      </w:r>
    </w:p>
    <w:p>
      <w:pPr>
        <w:wordWrap w:val="0"/>
        <w:spacing w:line="360" w:lineRule="auto"/>
        <w:jc w:val="left"/>
        <w:rPr>
          <w:b/>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w:t>
      </w:r>
      <w:r>
        <w:rPr>
          <w:b/>
          <w:bCs/>
          <w:szCs w:val="21"/>
          <w:lang w:val="zh-CN"/>
        </w:rPr>
        <w:t xml:space="preserve">        </w:t>
      </w:r>
      <w:r>
        <w:rPr>
          <w:rFonts w:hint="eastAsia"/>
          <w:b/>
          <w:bCs/>
          <w:szCs w:val="21"/>
          <w:lang w:val="zh-CN"/>
        </w:rPr>
        <w:t>包号：</w:t>
      </w:r>
      <w:r>
        <w:rPr>
          <w:rFonts w:hint="eastAsia"/>
          <w:b/>
          <w:bCs/>
          <w:szCs w:val="21"/>
          <w:u w:val="single"/>
          <w:lang w:val="zh-CN"/>
        </w:rPr>
        <w:t xml:space="preserve">           </w:t>
      </w:r>
    </w:p>
    <w:tbl>
      <w:tblPr>
        <w:tblStyle w:val="29"/>
        <w:tblW w:w="4908"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98"/>
        <w:gridCol w:w="1264"/>
        <w:gridCol w:w="2553"/>
        <w:gridCol w:w="2836"/>
        <w:gridCol w:w="1132"/>
        <w:gridCol w:w="117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2309" w:type="pct"/>
            <w:gridSpan w:val="3"/>
            <w:tcBorders>
              <w:bottom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招标文件商务要求</w:t>
            </w:r>
          </w:p>
        </w:tc>
        <w:tc>
          <w:tcPr>
            <w:tcW w:w="1483" w:type="pct"/>
            <w:vMerge w:val="restart"/>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投标文件响应的内容</w:t>
            </w:r>
          </w:p>
        </w:tc>
        <w:tc>
          <w:tcPr>
            <w:tcW w:w="592" w:type="pct"/>
            <w:vMerge w:val="restart"/>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偏离说明</w:t>
            </w:r>
          </w:p>
        </w:tc>
        <w:tc>
          <w:tcPr>
            <w:tcW w:w="616" w:type="pct"/>
            <w:vMerge w:val="restart"/>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投标文件对应页码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1" w:hRule="atLeast"/>
          <w:jc w:val="center"/>
        </w:trPr>
        <w:tc>
          <w:tcPr>
            <w:tcW w:w="313" w:type="pct"/>
            <w:tcBorders>
              <w:top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120" w:leftChars="-50" w:right="-120" w:rightChars="-50"/>
              <w:jc w:val="center"/>
              <w:rPr>
                <w:rFonts w:cs="仿宋_GB2312"/>
                <w:szCs w:val="24"/>
              </w:rPr>
            </w:pPr>
            <w:r>
              <w:rPr>
                <w:rFonts w:hint="eastAsia" w:cs="仿宋_GB2312"/>
                <w:szCs w:val="24"/>
              </w:rPr>
              <w:t>序号</w:t>
            </w:r>
          </w:p>
        </w:tc>
        <w:tc>
          <w:tcPr>
            <w:tcW w:w="661" w:type="pct"/>
            <w:tcBorders>
              <w:top w:val="single" w:color="auto" w:sz="4" w:space="0"/>
              <w:right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商务条款</w:t>
            </w:r>
          </w:p>
        </w:tc>
        <w:tc>
          <w:tcPr>
            <w:tcW w:w="1335" w:type="pct"/>
            <w:tcBorders>
              <w:top w:val="single" w:color="auto" w:sz="4" w:space="0"/>
              <w:left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具体要求</w:t>
            </w:r>
          </w:p>
        </w:tc>
        <w:tc>
          <w:tcPr>
            <w:tcW w:w="1483" w:type="pct"/>
            <w:vMerge w:val="continue"/>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p>
        </w:tc>
        <w:tc>
          <w:tcPr>
            <w:tcW w:w="592" w:type="pct"/>
            <w:vMerge w:val="continue"/>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p>
        </w:tc>
        <w:tc>
          <w:tcPr>
            <w:tcW w:w="616" w:type="pct"/>
            <w:vMerge w:val="continue"/>
            <w:shd w:val="pct10" w:color="C3BD96" w:themeColor="background2" w:themeShade="BF" w:fill="DDD9C4" w:themeFill="background2" w:themeFillShade="E6"/>
          </w:tcPr>
          <w:p>
            <w:pPr>
              <w:wordWrap w:val="0"/>
              <w:spacing w:before="100" w:beforeAutospacing="1" w:after="100" w:afterAutospacing="1" w:line="360" w:lineRule="auto"/>
              <w:ind w:left="-60" w:leftChars="-25" w:right="-60" w:rightChars="-25"/>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26" w:hRule="atLeast"/>
          <w:jc w:val="center"/>
        </w:trPr>
        <w:tc>
          <w:tcPr>
            <w:tcW w:w="313" w:type="pct"/>
            <w:vMerge w:val="restart"/>
            <w:vAlign w:val="center"/>
          </w:tcPr>
          <w:p>
            <w:pPr>
              <w:numPr>
                <w:ilvl w:val="0"/>
                <w:numId w:val="80"/>
              </w:numPr>
              <w:tabs>
                <w:tab w:val="left" w:pos="61"/>
              </w:tabs>
              <w:wordWrap w:val="0"/>
              <w:adjustRightInd w:val="0"/>
              <w:snapToGrid w:val="0"/>
              <w:spacing w:line="360" w:lineRule="auto"/>
              <w:ind w:left="-72" w:leftChars="-30" w:firstLine="0"/>
              <w:jc w:val="center"/>
            </w:pPr>
          </w:p>
        </w:tc>
        <w:tc>
          <w:tcPr>
            <w:tcW w:w="661" w:type="pct"/>
            <w:vMerge w:val="restart"/>
            <w:tcBorders>
              <w:right w:val="single" w:color="auto" w:sz="4" w:space="0"/>
            </w:tcBorders>
            <w:vAlign w:val="center"/>
          </w:tcPr>
          <w:p>
            <w:pPr>
              <w:wordWrap w:val="0"/>
              <w:spacing w:line="360" w:lineRule="auto"/>
              <w:jc w:val="center"/>
              <w:rPr>
                <w:rFonts w:cs="仿宋_GB2312"/>
                <w:szCs w:val="24"/>
              </w:rPr>
            </w:pPr>
          </w:p>
        </w:tc>
        <w:tc>
          <w:tcPr>
            <w:tcW w:w="1335" w:type="pct"/>
            <w:tcBorders>
              <w:left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1.1</w:t>
            </w:r>
          </w:p>
        </w:tc>
        <w:tc>
          <w:tcPr>
            <w:tcW w:w="1483" w:type="pct"/>
            <w:tcBorders>
              <w:bottom w:val="single" w:color="auto" w:sz="4" w:space="0"/>
            </w:tcBorders>
            <w:vAlign w:val="center"/>
          </w:tcPr>
          <w:p>
            <w:pPr>
              <w:wordWrap w:val="0"/>
              <w:spacing w:line="360" w:lineRule="auto"/>
              <w:jc w:val="left"/>
              <w:rPr>
                <w:rFonts w:cs="仿宋_GB2312"/>
                <w:szCs w:val="24"/>
              </w:rPr>
            </w:pPr>
            <w:r>
              <w:rPr>
                <w:rFonts w:hint="eastAsia" w:cs="仿宋_GB2312"/>
                <w:szCs w:val="24"/>
              </w:rPr>
              <w:t>1.1</w:t>
            </w:r>
          </w:p>
        </w:tc>
        <w:tc>
          <w:tcPr>
            <w:tcW w:w="592" w:type="pct"/>
            <w:tcBorders>
              <w:bottom w:val="single" w:color="auto" w:sz="4" w:space="0"/>
            </w:tcBorders>
            <w:vAlign w:val="center"/>
          </w:tcPr>
          <w:p>
            <w:pPr>
              <w:wordWrap w:val="0"/>
              <w:spacing w:line="360" w:lineRule="auto"/>
              <w:jc w:val="center"/>
              <w:rPr>
                <w:rFonts w:cs="仿宋_GB2312"/>
                <w:szCs w:val="24"/>
              </w:rPr>
            </w:pPr>
          </w:p>
        </w:tc>
        <w:tc>
          <w:tcPr>
            <w:tcW w:w="616" w:type="pct"/>
            <w:tcBorders>
              <w:bottom w:val="single" w:color="auto" w:sz="4" w:space="0"/>
            </w:tcBorders>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8" w:hRule="atLeast"/>
          <w:jc w:val="center"/>
        </w:trPr>
        <w:tc>
          <w:tcPr>
            <w:tcW w:w="313" w:type="pct"/>
            <w:vMerge w:val="continue"/>
            <w:vAlign w:val="center"/>
          </w:tcPr>
          <w:p>
            <w:pPr>
              <w:numPr>
                <w:ilvl w:val="0"/>
                <w:numId w:val="80"/>
              </w:numPr>
              <w:tabs>
                <w:tab w:val="left" w:pos="61"/>
              </w:tabs>
              <w:wordWrap w:val="0"/>
              <w:adjustRightInd w:val="0"/>
              <w:snapToGrid w:val="0"/>
              <w:spacing w:line="360" w:lineRule="auto"/>
              <w:ind w:left="-72" w:leftChars="-30" w:firstLine="0"/>
              <w:jc w:val="center"/>
            </w:pPr>
          </w:p>
        </w:tc>
        <w:tc>
          <w:tcPr>
            <w:tcW w:w="661" w:type="pct"/>
            <w:vMerge w:val="continue"/>
            <w:tcBorders>
              <w:right w:val="single" w:color="auto" w:sz="4" w:space="0"/>
            </w:tcBorders>
            <w:vAlign w:val="center"/>
          </w:tcPr>
          <w:p>
            <w:pPr>
              <w:wordWrap w:val="0"/>
              <w:spacing w:line="360" w:lineRule="auto"/>
              <w:jc w:val="center"/>
              <w:rPr>
                <w:rFonts w:cs="仿宋_GB2312"/>
                <w:szCs w:val="24"/>
              </w:rPr>
            </w:pPr>
          </w:p>
        </w:tc>
        <w:tc>
          <w:tcPr>
            <w:tcW w:w="1335" w:type="pct"/>
            <w:tcBorders>
              <w:top w:val="single" w:color="auto" w:sz="4" w:space="0"/>
              <w:left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1.2</w:t>
            </w:r>
          </w:p>
        </w:tc>
        <w:tc>
          <w:tcPr>
            <w:tcW w:w="1483" w:type="pct"/>
            <w:tcBorders>
              <w:top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1.2</w:t>
            </w:r>
          </w:p>
        </w:tc>
        <w:tc>
          <w:tcPr>
            <w:tcW w:w="592" w:type="pct"/>
            <w:tcBorders>
              <w:top w:val="single" w:color="auto" w:sz="4" w:space="0"/>
              <w:bottom w:val="single" w:color="auto" w:sz="4" w:space="0"/>
            </w:tcBorders>
            <w:vAlign w:val="center"/>
          </w:tcPr>
          <w:p>
            <w:pPr>
              <w:wordWrap w:val="0"/>
              <w:spacing w:line="360" w:lineRule="auto"/>
              <w:jc w:val="center"/>
              <w:rPr>
                <w:rFonts w:cs="仿宋_GB2312"/>
                <w:szCs w:val="24"/>
              </w:rPr>
            </w:pPr>
          </w:p>
        </w:tc>
        <w:tc>
          <w:tcPr>
            <w:tcW w:w="616" w:type="pct"/>
            <w:tcBorders>
              <w:top w:val="single" w:color="auto" w:sz="4" w:space="0"/>
              <w:bottom w:val="single" w:color="auto" w:sz="4" w:space="0"/>
            </w:tcBorders>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66" w:hRule="atLeast"/>
          <w:jc w:val="center"/>
        </w:trPr>
        <w:tc>
          <w:tcPr>
            <w:tcW w:w="313" w:type="pct"/>
            <w:vMerge w:val="continue"/>
            <w:vAlign w:val="center"/>
          </w:tcPr>
          <w:p>
            <w:pPr>
              <w:numPr>
                <w:ilvl w:val="0"/>
                <w:numId w:val="80"/>
              </w:numPr>
              <w:tabs>
                <w:tab w:val="left" w:pos="61"/>
              </w:tabs>
              <w:wordWrap w:val="0"/>
              <w:adjustRightInd w:val="0"/>
              <w:snapToGrid w:val="0"/>
              <w:spacing w:line="360" w:lineRule="auto"/>
              <w:ind w:left="-72" w:leftChars="-30" w:firstLine="0"/>
              <w:jc w:val="center"/>
            </w:pPr>
          </w:p>
        </w:tc>
        <w:tc>
          <w:tcPr>
            <w:tcW w:w="661" w:type="pct"/>
            <w:vMerge w:val="continue"/>
            <w:tcBorders>
              <w:right w:val="single" w:color="auto" w:sz="4" w:space="0"/>
            </w:tcBorders>
            <w:vAlign w:val="center"/>
          </w:tcPr>
          <w:p>
            <w:pPr>
              <w:wordWrap w:val="0"/>
              <w:spacing w:line="360" w:lineRule="auto"/>
              <w:jc w:val="center"/>
              <w:rPr>
                <w:rFonts w:cs="仿宋_GB2312"/>
                <w:szCs w:val="24"/>
              </w:rPr>
            </w:pPr>
          </w:p>
        </w:tc>
        <w:tc>
          <w:tcPr>
            <w:tcW w:w="1335" w:type="pct"/>
            <w:tcBorders>
              <w:top w:val="single" w:color="auto" w:sz="4" w:space="0"/>
              <w:left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1.3</w:t>
            </w:r>
          </w:p>
        </w:tc>
        <w:tc>
          <w:tcPr>
            <w:tcW w:w="1483" w:type="pct"/>
            <w:tcBorders>
              <w:top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1.3</w:t>
            </w:r>
          </w:p>
        </w:tc>
        <w:tc>
          <w:tcPr>
            <w:tcW w:w="592" w:type="pct"/>
            <w:tcBorders>
              <w:top w:val="single" w:color="auto" w:sz="4" w:space="0"/>
              <w:bottom w:val="single" w:color="auto" w:sz="4" w:space="0"/>
            </w:tcBorders>
            <w:vAlign w:val="center"/>
          </w:tcPr>
          <w:p>
            <w:pPr>
              <w:wordWrap w:val="0"/>
              <w:spacing w:line="360" w:lineRule="auto"/>
              <w:jc w:val="center"/>
              <w:rPr>
                <w:rFonts w:cs="仿宋_GB2312"/>
                <w:szCs w:val="24"/>
              </w:rPr>
            </w:pPr>
          </w:p>
        </w:tc>
        <w:tc>
          <w:tcPr>
            <w:tcW w:w="616" w:type="pct"/>
            <w:tcBorders>
              <w:top w:val="single" w:color="auto" w:sz="4" w:space="0"/>
              <w:bottom w:val="single" w:color="auto" w:sz="4" w:space="0"/>
            </w:tcBorders>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32" w:hRule="atLeast"/>
          <w:jc w:val="center"/>
        </w:trPr>
        <w:tc>
          <w:tcPr>
            <w:tcW w:w="313" w:type="pct"/>
            <w:vMerge w:val="continue"/>
            <w:vAlign w:val="center"/>
          </w:tcPr>
          <w:p>
            <w:pPr>
              <w:numPr>
                <w:ilvl w:val="0"/>
                <w:numId w:val="80"/>
              </w:numPr>
              <w:tabs>
                <w:tab w:val="left" w:pos="61"/>
              </w:tabs>
              <w:wordWrap w:val="0"/>
              <w:adjustRightInd w:val="0"/>
              <w:snapToGrid w:val="0"/>
              <w:spacing w:line="360" w:lineRule="auto"/>
              <w:ind w:left="-72" w:leftChars="-30" w:firstLine="0"/>
              <w:jc w:val="center"/>
            </w:pPr>
          </w:p>
        </w:tc>
        <w:tc>
          <w:tcPr>
            <w:tcW w:w="661" w:type="pct"/>
            <w:vMerge w:val="continue"/>
            <w:tcBorders>
              <w:right w:val="single" w:color="auto" w:sz="4" w:space="0"/>
            </w:tcBorders>
            <w:vAlign w:val="center"/>
          </w:tcPr>
          <w:p>
            <w:pPr>
              <w:wordWrap w:val="0"/>
              <w:spacing w:line="360" w:lineRule="auto"/>
              <w:jc w:val="center"/>
              <w:rPr>
                <w:rFonts w:cs="仿宋_GB2312"/>
                <w:szCs w:val="24"/>
              </w:rPr>
            </w:pPr>
          </w:p>
        </w:tc>
        <w:tc>
          <w:tcPr>
            <w:tcW w:w="1335" w:type="pct"/>
            <w:tcBorders>
              <w:top w:val="single" w:color="auto" w:sz="4" w:space="0"/>
              <w:left w:val="single" w:color="auto" w:sz="4" w:space="0"/>
            </w:tcBorders>
            <w:vAlign w:val="center"/>
          </w:tcPr>
          <w:p>
            <w:pPr>
              <w:wordWrap w:val="0"/>
              <w:spacing w:line="360" w:lineRule="auto"/>
              <w:jc w:val="left"/>
              <w:rPr>
                <w:rFonts w:cs="仿宋_GB2312"/>
                <w:szCs w:val="24"/>
              </w:rPr>
            </w:pPr>
            <w:r>
              <w:rPr>
                <w:rFonts w:hint="eastAsia" w:cs="宋体"/>
                <w:szCs w:val="24"/>
              </w:rPr>
              <w:t>……</w:t>
            </w:r>
          </w:p>
        </w:tc>
        <w:tc>
          <w:tcPr>
            <w:tcW w:w="1483" w:type="pct"/>
            <w:tcBorders>
              <w:top w:val="single" w:color="auto" w:sz="4" w:space="0"/>
            </w:tcBorders>
            <w:vAlign w:val="center"/>
          </w:tcPr>
          <w:p>
            <w:pPr>
              <w:wordWrap w:val="0"/>
              <w:spacing w:line="360" w:lineRule="auto"/>
              <w:jc w:val="left"/>
              <w:rPr>
                <w:rFonts w:cs="仿宋_GB2312"/>
                <w:szCs w:val="24"/>
              </w:rPr>
            </w:pPr>
            <w:r>
              <w:rPr>
                <w:rFonts w:hint="eastAsia" w:cs="宋体"/>
                <w:szCs w:val="24"/>
              </w:rPr>
              <w:t>……</w:t>
            </w:r>
          </w:p>
        </w:tc>
        <w:tc>
          <w:tcPr>
            <w:tcW w:w="592" w:type="pct"/>
            <w:tcBorders>
              <w:top w:val="single" w:color="auto" w:sz="4" w:space="0"/>
            </w:tcBorders>
            <w:vAlign w:val="center"/>
          </w:tcPr>
          <w:p>
            <w:pPr>
              <w:wordWrap w:val="0"/>
              <w:spacing w:line="360" w:lineRule="auto"/>
              <w:jc w:val="left"/>
              <w:rPr>
                <w:rFonts w:cs="仿宋_GB2312"/>
                <w:szCs w:val="24"/>
              </w:rPr>
            </w:pPr>
            <w:r>
              <w:rPr>
                <w:rFonts w:hint="eastAsia" w:cs="宋体"/>
                <w:szCs w:val="24"/>
              </w:rPr>
              <w:t>……</w:t>
            </w:r>
          </w:p>
        </w:tc>
        <w:tc>
          <w:tcPr>
            <w:tcW w:w="616" w:type="pct"/>
            <w:tcBorders>
              <w:top w:val="single" w:color="auto" w:sz="4" w:space="0"/>
            </w:tcBorders>
            <w:vAlign w:val="center"/>
          </w:tcPr>
          <w:p>
            <w:pPr>
              <w:wordWrap w:val="0"/>
              <w:spacing w:line="360" w:lineRule="auto"/>
              <w:jc w:val="left"/>
              <w:rPr>
                <w:rFonts w:cs="仿宋_GB2312"/>
                <w:szCs w:val="24"/>
              </w:rPr>
            </w:pPr>
            <w:r>
              <w:rPr>
                <w:rFonts w:hint="eastAsia" w:cs="宋体"/>
                <w:szCs w:val="24"/>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26" w:hRule="atLeast"/>
          <w:jc w:val="center"/>
        </w:trPr>
        <w:tc>
          <w:tcPr>
            <w:tcW w:w="313" w:type="pct"/>
            <w:vMerge w:val="restart"/>
            <w:vAlign w:val="center"/>
          </w:tcPr>
          <w:p>
            <w:pPr>
              <w:numPr>
                <w:ilvl w:val="0"/>
                <w:numId w:val="80"/>
              </w:numPr>
              <w:tabs>
                <w:tab w:val="left" w:pos="61"/>
              </w:tabs>
              <w:wordWrap w:val="0"/>
              <w:adjustRightInd w:val="0"/>
              <w:snapToGrid w:val="0"/>
              <w:spacing w:line="360" w:lineRule="auto"/>
              <w:ind w:left="-72" w:leftChars="-30" w:firstLine="0"/>
              <w:jc w:val="center"/>
            </w:pPr>
          </w:p>
        </w:tc>
        <w:tc>
          <w:tcPr>
            <w:tcW w:w="661" w:type="pct"/>
            <w:vMerge w:val="restart"/>
            <w:tcBorders>
              <w:right w:val="single" w:color="auto" w:sz="4" w:space="0"/>
            </w:tcBorders>
            <w:vAlign w:val="center"/>
          </w:tcPr>
          <w:p>
            <w:pPr>
              <w:wordWrap w:val="0"/>
              <w:spacing w:line="360" w:lineRule="auto"/>
              <w:jc w:val="center"/>
              <w:rPr>
                <w:rFonts w:cs="仿宋_GB2312"/>
                <w:szCs w:val="24"/>
              </w:rPr>
            </w:pPr>
          </w:p>
        </w:tc>
        <w:tc>
          <w:tcPr>
            <w:tcW w:w="1335" w:type="pct"/>
            <w:tcBorders>
              <w:left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2.1</w:t>
            </w:r>
          </w:p>
        </w:tc>
        <w:tc>
          <w:tcPr>
            <w:tcW w:w="1483" w:type="pct"/>
            <w:tcBorders>
              <w:bottom w:val="single" w:color="auto" w:sz="4" w:space="0"/>
            </w:tcBorders>
            <w:vAlign w:val="center"/>
          </w:tcPr>
          <w:p>
            <w:pPr>
              <w:wordWrap w:val="0"/>
              <w:spacing w:line="360" w:lineRule="auto"/>
              <w:jc w:val="left"/>
              <w:rPr>
                <w:rFonts w:cs="仿宋_GB2312"/>
                <w:szCs w:val="24"/>
              </w:rPr>
            </w:pPr>
            <w:r>
              <w:rPr>
                <w:rFonts w:hint="eastAsia" w:cs="仿宋_GB2312"/>
                <w:szCs w:val="24"/>
              </w:rPr>
              <w:t>2.1</w:t>
            </w:r>
          </w:p>
        </w:tc>
        <w:tc>
          <w:tcPr>
            <w:tcW w:w="592" w:type="pct"/>
            <w:tcBorders>
              <w:bottom w:val="single" w:color="auto" w:sz="4" w:space="0"/>
            </w:tcBorders>
            <w:vAlign w:val="center"/>
          </w:tcPr>
          <w:p>
            <w:pPr>
              <w:wordWrap w:val="0"/>
              <w:spacing w:line="360" w:lineRule="auto"/>
              <w:jc w:val="center"/>
              <w:rPr>
                <w:rFonts w:cs="仿宋_GB2312"/>
                <w:szCs w:val="24"/>
              </w:rPr>
            </w:pPr>
          </w:p>
        </w:tc>
        <w:tc>
          <w:tcPr>
            <w:tcW w:w="616" w:type="pct"/>
            <w:tcBorders>
              <w:bottom w:val="single" w:color="auto" w:sz="4" w:space="0"/>
            </w:tcBorders>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38" w:hRule="atLeast"/>
          <w:jc w:val="center"/>
        </w:trPr>
        <w:tc>
          <w:tcPr>
            <w:tcW w:w="313" w:type="pct"/>
            <w:vMerge w:val="continue"/>
            <w:vAlign w:val="center"/>
          </w:tcPr>
          <w:p>
            <w:pPr>
              <w:numPr>
                <w:ilvl w:val="0"/>
                <w:numId w:val="80"/>
              </w:numPr>
              <w:tabs>
                <w:tab w:val="left" w:pos="61"/>
              </w:tabs>
              <w:wordWrap w:val="0"/>
              <w:adjustRightInd w:val="0"/>
              <w:snapToGrid w:val="0"/>
              <w:spacing w:line="360" w:lineRule="auto"/>
              <w:ind w:left="-72" w:leftChars="-30" w:firstLine="0"/>
              <w:jc w:val="center"/>
            </w:pPr>
          </w:p>
        </w:tc>
        <w:tc>
          <w:tcPr>
            <w:tcW w:w="661" w:type="pct"/>
            <w:vMerge w:val="continue"/>
            <w:tcBorders>
              <w:right w:val="single" w:color="auto" w:sz="4" w:space="0"/>
            </w:tcBorders>
            <w:vAlign w:val="center"/>
          </w:tcPr>
          <w:p>
            <w:pPr>
              <w:wordWrap w:val="0"/>
              <w:spacing w:line="360" w:lineRule="auto"/>
              <w:jc w:val="center"/>
              <w:rPr>
                <w:rFonts w:cs="仿宋_GB2312"/>
                <w:szCs w:val="24"/>
              </w:rPr>
            </w:pPr>
          </w:p>
        </w:tc>
        <w:tc>
          <w:tcPr>
            <w:tcW w:w="1335" w:type="pct"/>
            <w:tcBorders>
              <w:top w:val="single" w:color="auto" w:sz="4" w:space="0"/>
              <w:left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2.2</w:t>
            </w:r>
          </w:p>
        </w:tc>
        <w:tc>
          <w:tcPr>
            <w:tcW w:w="1483" w:type="pct"/>
            <w:tcBorders>
              <w:top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2.2</w:t>
            </w:r>
          </w:p>
        </w:tc>
        <w:tc>
          <w:tcPr>
            <w:tcW w:w="592" w:type="pct"/>
            <w:tcBorders>
              <w:top w:val="single" w:color="auto" w:sz="4" w:space="0"/>
              <w:bottom w:val="single" w:color="auto" w:sz="4" w:space="0"/>
            </w:tcBorders>
            <w:vAlign w:val="center"/>
          </w:tcPr>
          <w:p>
            <w:pPr>
              <w:wordWrap w:val="0"/>
              <w:spacing w:line="360" w:lineRule="auto"/>
              <w:jc w:val="center"/>
              <w:rPr>
                <w:rFonts w:cs="仿宋_GB2312"/>
                <w:szCs w:val="24"/>
              </w:rPr>
            </w:pPr>
          </w:p>
        </w:tc>
        <w:tc>
          <w:tcPr>
            <w:tcW w:w="616" w:type="pct"/>
            <w:tcBorders>
              <w:top w:val="single" w:color="auto" w:sz="4" w:space="0"/>
              <w:bottom w:val="single" w:color="auto" w:sz="4" w:space="0"/>
            </w:tcBorders>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66" w:hRule="atLeast"/>
          <w:jc w:val="center"/>
        </w:trPr>
        <w:tc>
          <w:tcPr>
            <w:tcW w:w="313" w:type="pct"/>
            <w:vMerge w:val="continue"/>
            <w:vAlign w:val="center"/>
          </w:tcPr>
          <w:p>
            <w:pPr>
              <w:numPr>
                <w:ilvl w:val="0"/>
                <w:numId w:val="80"/>
              </w:numPr>
              <w:tabs>
                <w:tab w:val="left" w:pos="61"/>
              </w:tabs>
              <w:wordWrap w:val="0"/>
              <w:adjustRightInd w:val="0"/>
              <w:snapToGrid w:val="0"/>
              <w:spacing w:line="360" w:lineRule="auto"/>
              <w:ind w:left="-72" w:leftChars="-30" w:firstLine="0"/>
              <w:jc w:val="center"/>
            </w:pPr>
          </w:p>
        </w:tc>
        <w:tc>
          <w:tcPr>
            <w:tcW w:w="661" w:type="pct"/>
            <w:vMerge w:val="continue"/>
            <w:tcBorders>
              <w:right w:val="single" w:color="auto" w:sz="4" w:space="0"/>
            </w:tcBorders>
            <w:vAlign w:val="center"/>
          </w:tcPr>
          <w:p>
            <w:pPr>
              <w:wordWrap w:val="0"/>
              <w:spacing w:line="360" w:lineRule="auto"/>
              <w:jc w:val="center"/>
              <w:rPr>
                <w:rFonts w:cs="仿宋_GB2312"/>
                <w:szCs w:val="24"/>
              </w:rPr>
            </w:pPr>
          </w:p>
        </w:tc>
        <w:tc>
          <w:tcPr>
            <w:tcW w:w="1335" w:type="pct"/>
            <w:tcBorders>
              <w:top w:val="single" w:color="auto" w:sz="4" w:space="0"/>
              <w:left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2.3</w:t>
            </w:r>
          </w:p>
        </w:tc>
        <w:tc>
          <w:tcPr>
            <w:tcW w:w="1483" w:type="pct"/>
            <w:tcBorders>
              <w:top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2.3</w:t>
            </w:r>
          </w:p>
        </w:tc>
        <w:tc>
          <w:tcPr>
            <w:tcW w:w="592" w:type="pct"/>
            <w:tcBorders>
              <w:top w:val="single" w:color="auto" w:sz="4" w:space="0"/>
              <w:bottom w:val="single" w:color="auto" w:sz="4" w:space="0"/>
            </w:tcBorders>
            <w:vAlign w:val="center"/>
          </w:tcPr>
          <w:p>
            <w:pPr>
              <w:wordWrap w:val="0"/>
              <w:spacing w:line="360" w:lineRule="auto"/>
              <w:jc w:val="center"/>
              <w:rPr>
                <w:rFonts w:cs="仿宋_GB2312"/>
                <w:szCs w:val="24"/>
              </w:rPr>
            </w:pPr>
          </w:p>
        </w:tc>
        <w:tc>
          <w:tcPr>
            <w:tcW w:w="616" w:type="pct"/>
            <w:tcBorders>
              <w:top w:val="single" w:color="auto" w:sz="4" w:space="0"/>
              <w:bottom w:val="single" w:color="auto" w:sz="4" w:space="0"/>
            </w:tcBorders>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80" w:hRule="atLeast"/>
          <w:jc w:val="center"/>
        </w:trPr>
        <w:tc>
          <w:tcPr>
            <w:tcW w:w="313" w:type="pct"/>
            <w:vMerge w:val="continue"/>
            <w:vAlign w:val="center"/>
          </w:tcPr>
          <w:p>
            <w:pPr>
              <w:numPr>
                <w:ilvl w:val="0"/>
                <w:numId w:val="80"/>
              </w:numPr>
              <w:tabs>
                <w:tab w:val="left" w:pos="61"/>
              </w:tabs>
              <w:wordWrap w:val="0"/>
              <w:adjustRightInd w:val="0"/>
              <w:snapToGrid w:val="0"/>
              <w:spacing w:line="360" w:lineRule="auto"/>
              <w:ind w:left="-72" w:leftChars="-30" w:firstLine="0"/>
              <w:jc w:val="center"/>
            </w:pPr>
          </w:p>
        </w:tc>
        <w:tc>
          <w:tcPr>
            <w:tcW w:w="661" w:type="pct"/>
            <w:vMerge w:val="continue"/>
            <w:tcBorders>
              <w:right w:val="single" w:color="auto" w:sz="4" w:space="0"/>
            </w:tcBorders>
            <w:vAlign w:val="center"/>
          </w:tcPr>
          <w:p>
            <w:pPr>
              <w:wordWrap w:val="0"/>
              <w:spacing w:line="360" w:lineRule="auto"/>
              <w:jc w:val="center"/>
              <w:rPr>
                <w:rFonts w:cs="仿宋_GB2312"/>
                <w:szCs w:val="24"/>
              </w:rPr>
            </w:pPr>
          </w:p>
        </w:tc>
        <w:tc>
          <w:tcPr>
            <w:tcW w:w="1335" w:type="pct"/>
            <w:tcBorders>
              <w:top w:val="single" w:color="auto" w:sz="4" w:space="0"/>
              <w:left w:val="single" w:color="auto" w:sz="4" w:space="0"/>
            </w:tcBorders>
            <w:vAlign w:val="center"/>
          </w:tcPr>
          <w:p>
            <w:pPr>
              <w:wordWrap w:val="0"/>
              <w:spacing w:line="360" w:lineRule="auto"/>
              <w:jc w:val="left"/>
              <w:rPr>
                <w:rFonts w:cs="仿宋_GB2312"/>
                <w:szCs w:val="24"/>
              </w:rPr>
            </w:pPr>
            <w:r>
              <w:rPr>
                <w:rFonts w:hint="eastAsia" w:cs="宋体"/>
                <w:szCs w:val="24"/>
              </w:rPr>
              <w:t>……</w:t>
            </w:r>
          </w:p>
        </w:tc>
        <w:tc>
          <w:tcPr>
            <w:tcW w:w="1483" w:type="pct"/>
            <w:tcBorders>
              <w:top w:val="single" w:color="auto" w:sz="4" w:space="0"/>
            </w:tcBorders>
            <w:vAlign w:val="center"/>
          </w:tcPr>
          <w:p>
            <w:pPr>
              <w:wordWrap w:val="0"/>
              <w:spacing w:line="360" w:lineRule="auto"/>
              <w:jc w:val="left"/>
              <w:rPr>
                <w:rFonts w:cs="仿宋_GB2312"/>
                <w:szCs w:val="24"/>
              </w:rPr>
            </w:pPr>
            <w:r>
              <w:rPr>
                <w:rFonts w:hint="eastAsia" w:cs="宋体"/>
                <w:szCs w:val="24"/>
              </w:rPr>
              <w:t>……</w:t>
            </w:r>
          </w:p>
        </w:tc>
        <w:tc>
          <w:tcPr>
            <w:tcW w:w="592" w:type="pct"/>
            <w:tcBorders>
              <w:top w:val="single" w:color="auto" w:sz="4" w:space="0"/>
            </w:tcBorders>
            <w:vAlign w:val="center"/>
          </w:tcPr>
          <w:p>
            <w:pPr>
              <w:wordWrap w:val="0"/>
              <w:spacing w:line="360" w:lineRule="auto"/>
              <w:jc w:val="left"/>
              <w:rPr>
                <w:rFonts w:cs="仿宋_GB2312"/>
                <w:szCs w:val="24"/>
              </w:rPr>
            </w:pPr>
            <w:r>
              <w:rPr>
                <w:rFonts w:hint="eastAsia" w:cs="宋体"/>
                <w:szCs w:val="24"/>
              </w:rPr>
              <w:t>……</w:t>
            </w:r>
          </w:p>
        </w:tc>
        <w:tc>
          <w:tcPr>
            <w:tcW w:w="616" w:type="pct"/>
            <w:tcBorders>
              <w:top w:val="single" w:color="auto" w:sz="4" w:space="0"/>
            </w:tcBorders>
            <w:vAlign w:val="center"/>
          </w:tcPr>
          <w:p>
            <w:pPr>
              <w:wordWrap w:val="0"/>
              <w:spacing w:line="360" w:lineRule="auto"/>
              <w:jc w:val="left"/>
              <w:rPr>
                <w:rFonts w:cs="仿宋_GB2312"/>
                <w:szCs w:val="24"/>
              </w:rPr>
            </w:pPr>
            <w:r>
              <w:rPr>
                <w:rFonts w:hint="eastAsia" w:cs="宋体"/>
                <w:szCs w:val="24"/>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53" w:hRule="atLeast"/>
          <w:jc w:val="center"/>
        </w:trPr>
        <w:tc>
          <w:tcPr>
            <w:tcW w:w="313" w:type="pct"/>
            <w:vMerge w:val="restart"/>
            <w:vAlign w:val="center"/>
          </w:tcPr>
          <w:p>
            <w:pPr>
              <w:numPr>
                <w:ilvl w:val="0"/>
                <w:numId w:val="80"/>
              </w:numPr>
              <w:tabs>
                <w:tab w:val="left" w:pos="61"/>
              </w:tabs>
              <w:wordWrap w:val="0"/>
              <w:adjustRightInd w:val="0"/>
              <w:snapToGrid w:val="0"/>
              <w:spacing w:line="360" w:lineRule="auto"/>
              <w:ind w:left="-72" w:leftChars="-30" w:firstLine="0"/>
              <w:jc w:val="center"/>
            </w:pPr>
          </w:p>
        </w:tc>
        <w:tc>
          <w:tcPr>
            <w:tcW w:w="661" w:type="pct"/>
            <w:vMerge w:val="restart"/>
            <w:tcBorders>
              <w:right w:val="single" w:color="auto" w:sz="4" w:space="0"/>
            </w:tcBorders>
            <w:vAlign w:val="center"/>
          </w:tcPr>
          <w:p>
            <w:pPr>
              <w:wordWrap w:val="0"/>
              <w:spacing w:line="360" w:lineRule="auto"/>
              <w:jc w:val="center"/>
              <w:rPr>
                <w:rFonts w:cs="仿宋_GB2312"/>
                <w:szCs w:val="24"/>
              </w:rPr>
            </w:pPr>
          </w:p>
        </w:tc>
        <w:tc>
          <w:tcPr>
            <w:tcW w:w="1335" w:type="pct"/>
            <w:tcBorders>
              <w:left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3.1</w:t>
            </w:r>
          </w:p>
        </w:tc>
        <w:tc>
          <w:tcPr>
            <w:tcW w:w="1483" w:type="pct"/>
            <w:tcBorders>
              <w:bottom w:val="single" w:color="auto" w:sz="4" w:space="0"/>
            </w:tcBorders>
            <w:vAlign w:val="center"/>
          </w:tcPr>
          <w:p>
            <w:pPr>
              <w:wordWrap w:val="0"/>
              <w:spacing w:line="360" w:lineRule="auto"/>
              <w:jc w:val="left"/>
              <w:rPr>
                <w:rFonts w:cs="仿宋_GB2312"/>
                <w:szCs w:val="24"/>
              </w:rPr>
            </w:pPr>
            <w:r>
              <w:rPr>
                <w:rFonts w:hint="eastAsia" w:cs="仿宋_GB2312"/>
                <w:szCs w:val="24"/>
              </w:rPr>
              <w:t>3.1</w:t>
            </w:r>
          </w:p>
        </w:tc>
        <w:tc>
          <w:tcPr>
            <w:tcW w:w="592" w:type="pct"/>
            <w:tcBorders>
              <w:bottom w:val="single" w:color="auto" w:sz="4" w:space="0"/>
            </w:tcBorders>
            <w:vAlign w:val="center"/>
          </w:tcPr>
          <w:p>
            <w:pPr>
              <w:wordWrap w:val="0"/>
              <w:spacing w:line="360" w:lineRule="auto"/>
              <w:jc w:val="center"/>
              <w:rPr>
                <w:rFonts w:cs="仿宋_GB2312"/>
                <w:szCs w:val="24"/>
              </w:rPr>
            </w:pPr>
          </w:p>
        </w:tc>
        <w:tc>
          <w:tcPr>
            <w:tcW w:w="616" w:type="pct"/>
            <w:tcBorders>
              <w:bottom w:val="single" w:color="auto" w:sz="4" w:space="0"/>
            </w:tcBorders>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91" w:hRule="atLeast"/>
          <w:jc w:val="center"/>
        </w:trPr>
        <w:tc>
          <w:tcPr>
            <w:tcW w:w="313" w:type="pct"/>
            <w:vMerge w:val="continue"/>
            <w:vAlign w:val="center"/>
          </w:tcPr>
          <w:p>
            <w:pPr>
              <w:numPr>
                <w:ilvl w:val="0"/>
                <w:numId w:val="80"/>
              </w:numPr>
              <w:tabs>
                <w:tab w:val="left" w:pos="61"/>
              </w:tabs>
              <w:wordWrap w:val="0"/>
              <w:adjustRightInd w:val="0"/>
              <w:snapToGrid w:val="0"/>
              <w:spacing w:line="360" w:lineRule="auto"/>
              <w:ind w:left="-72" w:leftChars="-30" w:firstLine="0"/>
              <w:jc w:val="center"/>
            </w:pPr>
          </w:p>
        </w:tc>
        <w:tc>
          <w:tcPr>
            <w:tcW w:w="661" w:type="pct"/>
            <w:vMerge w:val="continue"/>
            <w:tcBorders>
              <w:right w:val="single" w:color="auto" w:sz="4" w:space="0"/>
            </w:tcBorders>
            <w:vAlign w:val="center"/>
          </w:tcPr>
          <w:p>
            <w:pPr>
              <w:wordWrap w:val="0"/>
              <w:spacing w:line="360" w:lineRule="auto"/>
              <w:jc w:val="center"/>
              <w:rPr>
                <w:rFonts w:cs="仿宋_GB2312"/>
                <w:szCs w:val="24"/>
              </w:rPr>
            </w:pPr>
          </w:p>
        </w:tc>
        <w:tc>
          <w:tcPr>
            <w:tcW w:w="1335" w:type="pct"/>
            <w:tcBorders>
              <w:top w:val="single" w:color="auto" w:sz="4" w:space="0"/>
              <w:left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3.2</w:t>
            </w:r>
          </w:p>
        </w:tc>
        <w:tc>
          <w:tcPr>
            <w:tcW w:w="1483" w:type="pct"/>
            <w:tcBorders>
              <w:top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3.2</w:t>
            </w:r>
          </w:p>
        </w:tc>
        <w:tc>
          <w:tcPr>
            <w:tcW w:w="592" w:type="pct"/>
            <w:tcBorders>
              <w:top w:val="single" w:color="auto" w:sz="4" w:space="0"/>
              <w:bottom w:val="single" w:color="auto" w:sz="4" w:space="0"/>
            </w:tcBorders>
            <w:vAlign w:val="center"/>
          </w:tcPr>
          <w:p>
            <w:pPr>
              <w:wordWrap w:val="0"/>
              <w:spacing w:line="360" w:lineRule="auto"/>
              <w:jc w:val="center"/>
              <w:rPr>
                <w:rFonts w:cs="仿宋_GB2312"/>
                <w:szCs w:val="24"/>
              </w:rPr>
            </w:pPr>
          </w:p>
        </w:tc>
        <w:tc>
          <w:tcPr>
            <w:tcW w:w="616" w:type="pct"/>
            <w:tcBorders>
              <w:top w:val="single" w:color="auto" w:sz="4" w:space="0"/>
              <w:bottom w:val="single" w:color="auto" w:sz="4" w:space="0"/>
            </w:tcBorders>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52" w:hRule="atLeast"/>
          <w:jc w:val="center"/>
        </w:trPr>
        <w:tc>
          <w:tcPr>
            <w:tcW w:w="313" w:type="pct"/>
            <w:vMerge w:val="continue"/>
            <w:vAlign w:val="center"/>
          </w:tcPr>
          <w:p>
            <w:pPr>
              <w:numPr>
                <w:ilvl w:val="0"/>
                <w:numId w:val="80"/>
              </w:numPr>
              <w:tabs>
                <w:tab w:val="left" w:pos="61"/>
              </w:tabs>
              <w:wordWrap w:val="0"/>
              <w:adjustRightInd w:val="0"/>
              <w:snapToGrid w:val="0"/>
              <w:spacing w:line="360" w:lineRule="auto"/>
              <w:ind w:left="-72" w:leftChars="-30" w:firstLine="0"/>
              <w:jc w:val="center"/>
            </w:pPr>
          </w:p>
        </w:tc>
        <w:tc>
          <w:tcPr>
            <w:tcW w:w="661" w:type="pct"/>
            <w:vMerge w:val="continue"/>
            <w:tcBorders>
              <w:right w:val="single" w:color="auto" w:sz="4" w:space="0"/>
            </w:tcBorders>
            <w:vAlign w:val="center"/>
          </w:tcPr>
          <w:p>
            <w:pPr>
              <w:wordWrap w:val="0"/>
              <w:spacing w:line="360" w:lineRule="auto"/>
              <w:jc w:val="center"/>
              <w:rPr>
                <w:rFonts w:cs="仿宋_GB2312"/>
                <w:szCs w:val="24"/>
              </w:rPr>
            </w:pPr>
          </w:p>
        </w:tc>
        <w:tc>
          <w:tcPr>
            <w:tcW w:w="1335" w:type="pct"/>
            <w:tcBorders>
              <w:top w:val="single" w:color="auto" w:sz="4" w:space="0"/>
              <w:left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3.3</w:t>
            </w:r>
          </w:p>
        </w:tc>
        <w:tc>
          <w:tcPr>
            <w:tcW w:w="1483" w:type="pct"/>
            <w:tcBorders>
              <w:top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3.3</w:t>
            </w:r>
          </w:p>
        </w:tc>
        <w:tc>
          <w:tcPr>
            <w:tcW w:w="592" w:type="pct"/>
            <w:tcBorders>
              <w:top w:val="single" w:color="auto" w:sz="4" w:space="0"/>
              <w:bottom w:val="single" w:color="auto" w:sz="4" w:space="0"/>
            </w:tcBorders>
            <w:vAlign w:val="center"/>
          </w:tcPr>
          <w:p>
            <w:pPr>
              <w:wordWrap w:val="0"/>
              <w:spacing w:line="360" w:lineRule="auto"/>
              <w:jc w:val="center"/>
              <w:rPr>
                <w:rFonts w:cs="仿宋_GB2312"/>
                <w:szCs w:val="24"/>
              </w:rPr>
            </w:pPr>
          </w:p>
        </w:tc>
        <w:tc>
          <w:tcPr>
            <w:tcW w:w="616" w:type="pct"/>
            <w:tcBorders>
              <w:top w:val="single" w:color="auto" w:sz="4" w:space="0"/>
              <w:bottom w:val="single" w:color="auto" w:sz="4" w:space="0"/>
            </w:tcBorders>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46" w:hRule="atLeast"/>
          <w:jc w:val="center"/>
        </w:trPr>
        <w:tc>
          <w:tcPr>
            <w:tcW w:w="313" w:type="pct"/>
            <w:vMerge w:val="continue"/>
            <w:vAlign w:val="center"/>
          </w:tcPr>
          <w:p>
            <w:pPr>
              <w:numPr>
                <w:ilvl w:val="0"/>
                <w:numId w:val="80"/>
              </w:numPr>
              <w:tabs>
                <w:tab w:val="left" w:pos="61"/>
              </w:tabs>
              <w:wordWrap w:val="0"/>
              <w:adjustRightInd w:val="0"/>
              <w:snapToGrid w:val="0"/>
              <w:spacing w:line="360" w:lineRule="auto"/>
              <w:ind w:left="-72" w:leftChars="-30" w:firstLine="0"/>
              <w:jc w:val="center"/>
            </w:pPr>
          </w:p>
        </w:tc>
        <w:tc>
          <w:tcPr>
            <w:tcW w:w="661" w:type="pct"/>
            <w:vMerge w:val="continue"/>
            <w:tcBorders>
              <w:right w:val="single" w:color="auto" w:sz="4" w:space="0"/>
            </w:tcBorders>
            <w:vAlign w:val="center"/>
          </w:tcPr>
          <w:p>
            <w:pPr>
              <w:wordWrap w:val="0"/>
              <w:spacing w:line="360" w:lineRule="auto"/>
              <w:jc w:val="center"/>
              <w:rPr>
                <w:rFonts w:cs="仿宋_GB2312"/>
                <w:szCs w:val="24"/>
              </w:rPr>
            </w:pPr>
          </w:p>
        </w:tc>
        <w:tc>
          <w:tcPr>
            <w:tcW w:w="1335" w:type="pct"/>
            <w:tcBorders>
              <w:top w:val="single" w:color="auto" w:sz="4" w:space="0"/>
              <w:left w:val="single" w:color="auto" w:sz="4" w:space="0"/>
            </w:tcBorders>
            <w:vAlign w:val="center"/>
          </w:tcPr>
          <w:p>
            <w:pPr>
              <w:wordWrap w:val="0"/>
              <w:spacing w:line="360" w:lineRule="auto"/>
              <w:jc w:val="left"/>
              <w:rPr>
                <w:rFonts w:cs="仿宋_GB2312"/>
                <w:szCs w:val="24"/>
              </w:rPr>
            </w:pPr>
            <w:r>
              <w:rPr>
                <w:rFonts w:hint="eastAsia" w:cs="宋体"/>
                <w:szCs w:val="24"/>
              </w:rPr>
              <w:t>……</w:t>
            </w:r>
          </w:p>
        </w:tc>
        <w:tc>
          <w:tcPr>
            <w:tcW w:w="1483" w:type="pct"/>
            <w:tcBorders>
              <w:top w:val="single" w:color="auto" w:sz="4" w:space="0"/>
            </w:tcBorders>
            <w:vAlign w:val="center"/>
          </w:tcPr>
          <w:p>
            <w:pPr>
              <w:wordWrap w:val="0"/>
              <w:spacing w:line="360" w:lineRule="auto"/>
              <w:jc w:val="left"/>
              <w:rPr>
                <w:rFonts w:cs="仿宋_GB2312"/>
                <w:szCs w:val="24"/>
              </w:rPr>
            </w:pPr>
            <w:r>
              <w:rPr>
                <w:rFonts w:hint="eastAsia" w:cs="宋体"/>
                <w:szCs w:val="24"/>
              </w:rPr>
              <w:t>……</w:t>
            </w:r>
          </w:p>
        </w:tc>
        <w:tc>
          <w:tcPr>
            <w:tcW w:w="592" w:type="pct"/>
            <w:tcBorders>
              <w:top w:val="single" w:color="auto" w:sz="4" w:space="0"/>
            </w:tcBorders>
            <w:vAlign w:val="center"/>
          </w:tcPr>
          <w:p>
            <w:pPr>
              <w:wordWrap w:val="0"/>
              <w:spacing w:line="360" w:lineRule="auto"/>
              <w:jc w:val="left"/>
              <w:rPr>
                <w:rFonts w:cs="仿宋_GB2312"/>
                <w:szCs w:val="24"/>
              </w:rPr>
            </w:pPr>
            <w:r>
              <w:rPr>
                <w:rFonts w:hint="eastAsia" w:cs="宋体"/>
                <w:szCs w:val="24"/>
              </w:rPr>
              <w:t>……</w:t>
            </w:r>
          </w:p>
        </w:tc>
        <w:tc>
          <w:tcPr>
            <w:tcW w:w="616" w:type="pct"/>
            <w:tcBorders>
              <w:top w:val="single" w:color="auto" w:sz="4" w:space="0"/>
            </w:tcBorders>
            <w:vAlign w:val="center"/>
          </w:tcPr>
          <w:p>
            <w:pPr>
              <w:wordWrap w:val="0"/>
              <w:spacing w:line="360" w:lineRule="auto"/>
              <w:jc w:val="left"/>
              <w:rPr>
                <w:rFonts w:cs="仿宋_GB2312"/>
                <w:szCs w:val="24"/>
              </w:rPr>
            </w:pPr>
            <w:r>
              <w:rPr>
                <w:rFonts w:hint="eastAsia" w:cs="宋体"/>
                <w:szCs w:val="24"/>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752" w:hRule="atLeast"/>
          <w:jc w:val="center"/>
        </w:trPr>
        <w:tc>
          <w:tcPr>
            <w:tcW w:w="313" w:type="pct"/>
            <w:vAlign w:val="center"/>
          </w:tcPr>
          <w:p>
            <w:pPr>
              <w:wordWrap w:val="0"/>
              <w:spacing w:line="360" w:lineRule="auto"/>
              <w:jc w:val="center"/>
              <w:rPr>
                <w:rFonts w:cs="仿宋_GB2312"/>
                <w:szCs w:val="24"/>
              </w:rPr>
            </w:pPr>
            <w:r>
              <w:rPr>
                <w:rFonts w:hint="eastAsia" w:cs="仿宋_GB2312"/>
                <w:szCs w:val="24"/>
              </w:rPr>
              <w:t>…</w:t>
            </w:r>
          </w:p>
        </w:tc>
        <w:tc>
          <w:tcPr>
            <w:tcW w:w="661" w:type="pct"/>
            <w:tcBorders>
              <w:right w:val="single" w:color="auto" w:sz="4" w:space="0"/>
            </w:tcBorders>
            <w:vAlign w:val="center"/>
          </w:tcPr>
          <w:p>
            <w:pPr>
              <w:wordWrap w:val="0"/>
              <w:spacing w:line="360" w:lineRule="auto"/>
              <w:jc w:val="left"/>
              <w:rPr>
                <w:rFonts w:cs="仿宋_GB2312"/>
                <w:szCs w:val="24"/>
              </w:rPr>
            </w:pPr>
            <w:r>
              <w:rPr>
                <w:rFonts w:hint="eastAsia" w:cs="宋体"/>
                <w:szCs w:val="24"/>
              </w:rPr>
              <w:t>……</w:t>
            </w:r>
          </w:p>
        </w:tc>
        <w:tc>
          <w:tcPr>
            <w:tcW w:w="1335" w:type="pct"/>
            <w:tcBorders>
              <w:left w:val="single" w:color="auto" w:sz="4" w:space="0"/>
            </w:tcBorders>
            <w:vAlign w:val="center"/>
          </w:tcPr>
          <w:p>
            <w:pPr>
              <w:wordWrap w:val="0"/>
              <w:spacing w:line="360" w:lineRule="auto"/>
              <w:jc w:val="left"/>
              <w:rPr>
                <w:rFonts w:cs="仿宋_GB2312"/>
                <w:szCs w:val="24"/>
              </w:rPr>
            </w:pPr>
            <w:r>
              <w:rPr>
                <w:rFonts w:hint="eastAsia" w:cs="宋体"/>
                <w:szCs w:val="24"/>
              </w:rPr>
              <w:t>……</w:t>
            </w:r>
          </w:p>
        </w:tc>
        <w:tc>
          <w:tcPr>
            <w:tcW w:w="1483" w:type="pct"/>
            <w:vAlign w:val="center"/>
          </w:tcPr>
          <w:p>
            <w:pPr>
              <w:wordWrap w:val="0"/>
              <w:spacing w:line="360" w:lineRule="auto"/>
              <w:jc w:val="left"/>
              <w:rPr>
                <w:rFonts w:cs="仿宋_GB2312"/>
                <w:szCs w:val="24"/>
              </w:rPr>
            </w:pPr>
            <w:r>
              <w:rPr>
                <w:rFonts w:hint="eastAsia" w:cs="宋体"/>
                <w:szCs w:val="24"/>
              </w:rPr>
              <w:t>……</w:t>
            </w:r>
          </w:p>
        </w:tc>
        <w:tc>
          <w:tcPr>
            <w:tcW w:w="592" w:type="pct"/>
            <w:vAlign w:val="center"/>
          </w:tcPr>
          <w:p>
            <w:pPr>
              <w:wordWrap w:val="0"/>
              <w:spacing w:line="360" w:lineRule="auto"/>
              <w:jc w:val="left"/>
              <w:rPr>
                <w:rFonts w:cs="仿宋_GB2312"/>
                <w:szCs w:val="24"/>
              </w:rPr>
            </w:pPr>
            <w:r>
              <w:rPr>
                <w:rFonts w:hint="eastAsia" w:cs="宋体"/>
                <w:szCs w:val="24"/>
              </w:rPr>
              <w:t>……</w:t>
            </w:r>
          </w:p>
        </w:tc>
        <w:tc>
          <w:tcPr>
            <w:tcW w:w="616" w:type="pct"/>
            <w:vAlign w:val="center"/>
          </w:tcPr>
          <w:p>
            <w:pPr>
              <w:wordWrap w:val="0"/>
              <w:spacing w:line="360" w:lineRule="auto"/>
              <w:jc w:val="left"/>
              <w:rPr>
                <w:rFonts w:cs="仿宋_GB2312"/>
                <w:szCs w:val="24"/>
              </w:rPr>
            </w:pPr>
            <w:r>
              <w:rPr>
                <w:rFonts w:hint="eastAsia" w:cs="宋体"/>
                <w:szCs w:val="24"/>
              </w:rPr>
              <w:t>……</w:t>
            </w:r>
          </w:p>
        </w:tc>
      </w:tr>
    </w:tbl>
    <w:p>
      <w:pPr>
        <w:wordWrap w:val="0"/>
        <w:spacing w:line="360" w:lineRule="auto"/>
        <w:ind w:left="1132" w:hanging="1132" w:hangingChars="470"/>
        <w:jc w:val="left"/>
        <w:rPr>
          <w:szCs w:val="24"/>
        </w:rPr>
      </w:pPr>
      <w:r>
        <w:rPr>
          <w:rFonts w:hint="eastAsia"/>
          <w:b/>
          <w:szCs w:val="24"/>
        </w:rPr>
        <w:t>说明</w:t>
      </w:r>
      <w:r>
        <w:rPr>
          <w:rFonts w:hint="eastAsia" w:cs="Corbel"/>
          <w:b/>
          <w:szCs w:val="24"/>
        </w:rPr>
        <w:t>：</w:t>
      </w:r>
      <w:r>
        <w:rPr>
          <w:rFonts w:hint="eastAsia" w:cs="Corbel"/>
          <w:szCs w:val="24"/>
        </w:rPr>
        <w:t>1.应按招标文件“第三章 采购需求”中“商务要求”条款逐项在“投标文件响应的内容”栏中进行响应说明，并在“偏离说明”栏中注明是否偏离，如有偏离,投标人应详细说明。未按照要求填写此表或在“投标文件响应的内容”栏中仅注明“符合”、“满足”的，导致的后果由投标人自行承担</w:t>
      </w:r>
      <w:r>
        <w:rPr>
          <w:rFonts w:hint="eastAsia"/>
          <w:szCs w:val="24"/>
        </w:rPr>
        <w:t>。</w:t>
      </w:r>
    </w:p>
    <w:p>
      <w:pPr>
        <w:wordWrap w:val="0"/>
        <w:spacing w:line="360" w:lineRule="auto"/>
        <w:ind w:left="1130" w:leftChars="296" w:hanging="420" w:hangingChars="175"/>
        <w:jc w:val="left"/>
        <w:rPr>
          <w:szCs w:val="24"/>
        </w:rPr>
      </w:pPr>
      <w:r>
        <w:rPr>
          <w:rFonts w:hint="eastAsia" w:cs="Corbel"/>
          <w:szCs w:val="24"/>
        </w:rPr>
        <w:t>2.应将对应响应内容的页码（多页的，起码和止码）填写到上表“投标文件对应页码”栏中。未提供准确页码或页码与对应内容不一致的，导致的后果由投标人自行承担。</w:t>
      </w:r>
    </w:p>
    <w:p>
      <w:pPr>
        <w:wordWrap w:val="0"/>
        <w:spacing w:before="100" w:beforeAutospacing="1" w:after="100" w:afterAutospacing="1" w:line="360" w:lineRule="auto"/>
        <w:ind w:firstLine="3316" w:firstLineChars="1382"/>
        <w:rPr>
          <w:bCs/>
          <w:u w:val="single"/>
        </w:rPr>
      </w:pPr>
      <w:r>
        <w:rPr>
          <w:rFonts w:hint="eastAsia"/>
          <w:bCs/>
        </w:rPr>
        <w:t>投标人（公章）：</w:t>
      </w:r>
      <w:r>
        <w:rPr>
          <w:rFonts w:hint="eastAsia"/>
          <w:bCs/>
          <w:u w:val="single"/>
        </w:rPr>
        <w:t xml:space="preserve">                          </w:t>
      </w:r>
    </w:p>
    <w:p>
      <w:pPr>
        <w:wordWrap w:val="0"/>
        <w:spacing w:before="100" w:beforeAutospacing="1" w:after="100" w:afterAutospacing="1" w:line="360" w:lineRule="auto"/>
        <w:ind w:firstLine="3316" w:firstLineChars="1382"/>
        <w:rPr>
          <w:bCs/>
        </w:rPr>
      </w:pPr>
      <w:r>
        <w:rPr>
          <w:rFonts w:hint="eastAsia"/>
          <w:szCs w:val="24"/>
        </w:rPr>
        <w:t>日   期：</w:t>
      </w:r>
      <w:r>
        <w:rPr>
          <w:rFonts w:hint="eastAsia"/>
          <w:bCs/>
          <w:u w:val="single"/>
        </w:rPr>
        <w:t xml:space="preserve">                               </w:t>
      </w:r>
    </w:p>
    <w:p>
      <w:pPr>
        <w:pStyle w:val="3"/>
        <w:numPr>
          <w:ilvl w:val="0"/>
          <w:numId w:val="79"/>
        </w:numPr>
        <w:wordWrap w:val="0"/>
        <w:spacing w:before="40" w:after="40" w:line="360" w:lineRule="auto"/>
        <w:ind w:left="1285" w:hanging="1285" w:hangingChars="400"/>
        <w:jc w:val="left"/>
        <w:rPr>
          <w:rFonts w:ascii="宋体" w:hAnsi="宋体" w:eastAsia="宋体" w:cs="Times New Roman"/>
          <w:bCs w:val="0"/>
        </w:rPr>
        <w:sectPr>
          <w:pgSz w:w="11906" w:h="16838"/>
          <w:pgMar w:top="1134" w:right="1191" w:bottom="1134" w:left="1191" w:header="851" w:footer="992" w:gutter="0"/>
          <w:pgBorders>
            <w:top w:val="none" w:sz="0" w:space="0"/>
            <w:left w:val="none" w:sz="0" w:space="0"/>
            <w:bottom w:val="none" w:sz="0" w:space="0"/>
            <w:right w:val="none" w:sz="0" w:space="0"/>
          </w:pgBorders>
          <w:cols w:space="425" w:num="1"/>
          <w:docGrid w:type="lines" w:linePitch="312" w:charSpace="0"/>
        </w:sectPr>
      </w:pPr>
    </w:p>
    <w:p>
      <w:pPr>
        <w:pStyle w:val="3"/>
        <w:numPr>
          <w:ilvl w:val="0"/>
          <w:numId w:val="77"/>
        </w:numPr>
        <w:tabs>
          <w:tab w:val="left" w:pos="567"/>
        </w:tabs>
        <w:spacing w:line="360" w:lineRule="auto"/>
        <w:ind w:left="482" w:hanging="482" w:hangingChars="200"/>
        <w:jc w:val="left"/>
        <w:rPr>
          <w:rFonts w:ascii="宋体" w:hAnsi="宋体" w:eastAsia="宋体"/>
          <w:sz w:val="24"/>
          <w:szCs w:val="24"/>
        </w:rPr>
      </w:pPr>
      <w:bookmarkStart w:id="688" w:name="_Toc117244502"/>
      <w:bookmarkStart w:id="689" w:name="_Toc117244387"/>
      <w:bookmarkStart w:id="690" w:name="_Toc25920"/>
      <w:bookmarkStart w:id="691" w:name="_Toc4969"/>
      <w:bookmarkStart w:id="692" w:name="_Toc107561308"/>
      <w:r>
        <w:rPr>
          <w:rFonts w:hint="eastAsia" w:ascii="宋体" w:hAnsi="宋体" w:eastAsia="宋体"/>
          <w:sz w:val="24"/>
          <w:szCs w:val="24"/>
        </w:rPr>
        <w:t>技术要求</w:t>
      </w:r>
      <w:r>
        <w:rPr>
          <w:rFonts w:hint="eastAsia" w:ascii="宋体" w:hAnsi="宋体" w:eastAsia="宋体" w:cs="Times New Roman"/>
          <w:bCs w:val="0"/>
          <w:sz w:val="24"/>
          <w:szCs w:val="24"/>
        </w:rPr>
        <w:t>响应</w:t>
      </w:r>
      <w:r>
        <w:rPr>
          <w:rFonts w:hint="eastAsia" w:ascii="宋体" w:hAnsi="宋体" w:eastAsia="宋体"/>
          <w:sz w:val="24"/>
          <w:szCs w:val="24"/>
        </w:rPr>
        <w:t>偏离说明表</w:t>
      </w:r>
      <w:bookmarkEnd w:id="688"/>
      <w:bookmarkEnd w:id="689"/>
      <w:bookmarkEnd w:id="690"/>
      <w:bookmarkEnd w:id="691"/>
    </w:p>
    <w:p>
      <w:pPr>
        <w:wordWrap w:val="0"/>
        <w:spacing w:line="360" w:lineRule="auto"/>
        <w:jc w:val="left"/>
        <w:rPr>
          <w:b/>
        </w:rPr>
      </w:pPr>
      <w:r>
        <w:rPr>
          <w:rFonts w:hint="eastAsia"/>
          <w:b/>
        </w:rPr>
        <w:t>投 标 人：</w:t>
      </w:r>
      <w:r>
        <w:rPr>
          <w:rFonts w:hint="eastAsia"/>
          <w:b/>
          <w:szCs w:val="21"/>
          <w:u w:val="single"/>
          <w:lang w:val="zh-CN"/>
        </w:rPr>
        <w:t xml:space="preserve">                     </w:t>
      </w:r>
      <w:r>
        <w:rPr>
          <w:rFonts w:hint="eastAsia"/>
          <w:b/>
          <w:szCs w:val="21"/>
          <w:lang w:val="zh-CN"/>
        </w:rPr>
        <w:t xml:space="preserve"> </w:t>
      </w:r>
    </w:p>
    <w:p>
      <w:pPr>
        <w:wordWrap w:val="0"/>
        <w:spacing w:line="360" w:lineRule="auto"/>
        <w:jc w:val="left"/>
        <w:rPr>
          <w:b/>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w:t>
      </w:r>
      <w:r>
        <w:rPr>
          <w:b/>
          <w:bCs/>
          <w:szCs w:val="21"/>
          <w:lang w:val="zh-CN"/>
        </w:rPr>
        <w:t xml:space="preserve">        </w:t>
      </w:r>
      <w:r>
        <w:rPr>
          <w:rFonts w:hint="eastAsia"/>
          <w:b/>
          <w:bCs/>
          <w:szCs w:val="21"/>
          <w:lang w:val="zh-CN"/>
        </w:rPr>
        <w:t>包号：</w:t>
      </w:r>
      <w:r>
        <w:rPr>
          <w:rFonts w:hint="eastAsia"/>
          <w:b/>
          <w:bCs/>
          <w:szCs w:val="21"/>
          <w:u w:val="single"/>
          <w:lang w:val="zh-CN"/>
        </w:rPr>
        <w:t xml:space="preserve">           </w:t>
      </w:r>
    </w:p>
    <w:tbl>
      <w:tblPr>
        <w:tblStyle w:val="29"/>
        <w:tblW w:w="4926"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96"/>
        <w:gridCol w:w="1033"/>
        <w:gridCol w:w="2698"/>
        <w:gridCol w:w="2923"/>
        <w:gridCol w:w="1150"/>
        <w:gridCol w:w="1196"/>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6" w:hRule="atLeast"/>
          <w:jc w:val="center"/>
        </w:trPr>
        <w:tc>
          <w:tcPr>
            <w:tcW w:w="2255" w:type="pct"/>
            <w:gridSpan w:val="3"/>
            <w:tcBorders>
              <w:bottom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招标文件技术要求</w:t>
            </w:r>
          </w:p>
        </w:tc>
        <w:tc>
          <w:tcPr>
            <w:tcW w:w="1523" w:type="pct"/>
            <w:vMerge w:val="restart"/>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投标文件响应的内容</w:t>
            </w:r>
          </w:p>
        </w:tc>
        <w:tc>
          <w:tcPr>
            <w:tcW w:w="599" w:type="pct"/>
            <w:vMerge w:val="restart"/>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偏离说明</w:t>
            </w:r>
          </w:p>
        </w:tc>
        <w:tc>
          <w:tcPr>
            <w:tcW w:w="623" w:type="pct"/>
            <w:vMerge w:val="restart"/>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投标文件对应页码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1" w:hRule="atLeast"/>
          <w:jc w:val="center"/>
        </w:trPr>
        <w:tc>
          <w:tcPr>
            <w:tcW w:w="311" w:type="pct"/>
            <w:tcBorders>
              <w:top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120" w:leftChars="-50" w:right="-120" w:rightChars="-50"/>
              <w:jc w:val="center"/>
              <w:rPr>
                <w:rFonts w:cs="仿宋_GB2312"/>
                <w:szCs w:val="24"/>
              </w:rPr>
            </w:pPr>
            <w:r>
              <w:rPr>
                <w:rFonts w:hint="eastAsia" w:cs="仿宋_GB2312"/>
                <w:szCs w:val="24"/>
              </w:rPr>
              <w:t>序号</w:t>
            </w:r>
          </w:p>
        </w:tc>
        <w:tc>
          <w:tcPr>
            <w:tcW w:w="538" w:type="pct"/>
            <w:tcBorders>
              <w:top w:val="single" w:color="auto" w:sz="4" w:space="0"/>
              <w:right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名称</w:t>
            </w:r>
          </w:p>
        </w:tc>
        <w:tc>
          <w:tcPr>
            <w:tcW w:w="1406" w:type="pct"/>
            <w:tcBorders>
              <w:top w:val="single" w:color="auto" w:sz="4" w:space="0"/>
              <w:left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bCs/>
                <w:szCs w:val="24"/>
              </w:rPr>
              <w:t>功能及技术参数</w:t>
            </w:r>
          </w:p>
        </w:tc>
        <w:tc>
          <w:tcPr>
            <w:tcW w:w="1523" w:type="pct"/>
            <w:vMerge w:val="continue"/>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p>
        </w:tc>
        <w:tc>
          <w:tcPr>
            <w:tcW w:w="599" w:type="pct"/>
            <w:vMerge w:val="continue"/>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p>
        </w:tc>
        <w:tc>
          <w:tcPr>
            <w:tcW w:w="623" w:type="pct"/>
            <w:vMerge w:val="continue"/>
            <w:shd w:val="pct10" w:color="C3BD96" w:themeColor="background2" w:themeShade="BF" w:fill="DDD9C4" w:themeFill="background2" w:themeFillShade="E6"/>
          </w:tcPr>
          <w:p>
            <w:pPr>
              <w:wordWrap w:val="0"/>
              <w:spacing w:before="100" w:beforeAutospacing="1" w:after="100" w:afterAutospacing="1" w:line="360" w:lineRule="auto"/>
              <w:ind w:left="-60" w:leftChars="-25" w:right="-60" w:rightChars="-25"/>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35" w:hRule="atLeast"/>
          <w:jc w:val="center"/>
        </w:trPr>
        <w:tc>
          <w:tcPr>
            <w:tcW w:w="311" w:type="pct"/>
            <w:vMerge w:val="restart"/>
            <w:vAlign w:val="center"/>
          </w:tcPr>
          <w:p>
            <w:pPr>
              <w:numPr>
                <w:ilvl w:val="0"/>
                <w:numId w:val="81"/>
              </w:numPr>
              <w:tabs>
                <w:tab w:val="left" w:pos="60"/>
              </w:tabs>
              <w:wordWrap w:val="0"/>
              <w:adjustRightInd w:val="0"/>
              <w:snapToGrid w:val="0"/>
              <w:spacing w:line="360" w:lineRule="auto"/>
              <w:ind w:left="-72" w:leftChars="-30" w:firstLine="0"/>
              <w:jc w:val="center"/>
            </w:pPr>
          </w:p>
        </w:tc>
        <w:tc>
          <w:tcPr>
            <w:tcW w:w="538" w:type="pct"/>
            <w:vMerge w:val="restart"/>
            <w:tcBorders>
              <w:right w:val="single" w:color="auto" w:sz="4" w:space="0"/>
            </w:tcBorders>
            <w:vAlign w:val="center"/>
          </w:tcPr>
          <w:p>
            <w:pPr>
              <w:wordWrap w:val="0"/>
              <w:spacing w:line="360" w:lineRule="auto"/>
              <w:jc w:val="center"/>
              <w:rPr>
                <w:rFonts w:cs="仿宋_GB2312"/>
                <w:szCs w:val="24"/>
              </w:rPr>
            </w:pPr>
          </w:p>
        </w:tc>
        <w:tc>
          <w:tcPr>
            <w:tcW w:w="1406" w:type="pct"/>
            <w:tcBorders>
              <w:left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1.1</w:t>
            </w:r>
          </w:p>
        </w:tc>
        <w:tc>
          <w:tcPr>
            <w:tcW w:w="1523" w:type="pct"/>
            <w:tcBorders>
              <w:bottom w:val="single" w:color="auto" w:sz="4" w:space="0"/>
            </w:tcBorders>
            <w:vAlign w:val="center"/>
          </w:tcPr>
          <w:p>
            <w:pPr>
              <w:wordWrap w:val="0"/>
              <w:spacing w:line="360" w:lineRule="auto"/>
              <w:jc w:val="left"/>
              <w:rPr>
                <w:rFonts w:cs="仿宋_GB2312"/>
                <w:szCs w:val="24"/>
              </w:rPr>
            </w:pPr>
            <w:r>
              <w:rPr>
                <w:rFonts w:hint="eastAsia" w:cs="仿宋_GB2312"/>
                <w:szCs w:val="24"/>
              </w:rPr>
              <w:t>1.1</w:t>
            </w:r>
          </w:p>
        </w:tc>
        <w:tc>
          <w:tcPr>
            <w:tcW w:w="599" w:type="pct"/>
            <w:tcBorders>
              <w:bottom w:val="single" w:color="auto" w:sz="4" w:space="0"/>
            </w:tcBorders>
            <w:vAlign w:val="center"/>
          </w:tcPr>
          <w:p>
            <w:pPr>
              <w:wordWrap w:val="0"/>
              <w:spacing w:line="360" w:lineRule="auto"/>
              <w:jc w:val="center"/>
              <w:rPr>
                <w:rFonts w:cs="仿宋_GB2312"/>
                <w:szCs w:val="24"/>
              </w:rPr>
            </w:pPr>
          </w:p>
        </w:tc>
        <w:tc>
          <w:tcPr>
            <w:tcW w:w="623" w:type="pct"/>
            <w:tcBorders>
              <w:bottom w:val="single" w:color="auto" w:sz="4" w:space="0"/>
            </w:tcBorders>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42" w:hRule="atLeast"/>
          <w:jc w:val="center"/>
        </w:trPr>
        <w:tc>
          <w:tcPr>
            <w:tcW w:w="311" w:type="pct"/>
            <w:vMerge w:val="continue"/>
            <w:vAlign w:val="center"/>
          </w:tcPr>
          <w:p>
            <w:pPr>
              <w:numPr>
                <w:ilvl w:val="0"/>
                <w:numId w:val="81"/>
              </w:numPr>
              <w:tabs>
                <w:tab w:val="left" w:pos="60"/>
              </w:tabs>
              <w:wordWrap w:val="0"/>
              <w:adjustRightInd w:val="0"/>
              <w:snapToGrid w:val="0"/>
              <w:spacing w:line="360" w:lineRule="auto"/>
              <w:ind w:left="-72" w:leftChars="-30" w:firstLine="0"/>
              <w:jc w:val="center"/>
            </w:pPr>
          </w:p>
        </w:tc>
        <w:tc>
          <w:tcPr>
            <w:tcW w:w="538" w:type="pct"/>
            <w:vMerge w:val="continue"/>
            <w:tcBorders>
              <w:right w:val="single" w:color="auto" w:sz="4" w:space="0"/>
            </w:tcBorders>
            <w:vAlign w:val="center"/>
          </w:tcPr>
          <w:p>
            <w:pPr>
              <w:wordWrap w:val="0"/>
              <w:spacing w:line="360" w:lineRule="auto"/>
              <w:jc w:val="center"/>
              <w:rPr>
                <w:rFonts w:cs="仿宋_GB2312"/>
                <w:szCs w:val="24"/>
              </w:rPr>
            </w:pPr>
          </w:p>
        </w:tc>
        <w:tc>
          <w:tcPr>
            <w:tcW w:w="1406" w:type="pct"/>
            <w:tcBorders>
              <w:top w:val="single" w:color="auto" w:sz="4" w:space="0"/>
              <w:left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1.2</w:t>
            </w:r>
          </w:p>
        </w:tc>
        <w:tc>
          <w:tcPr>
            <w:tcW w:w="1523" w:type="pct"/>
            <w:tcBorders>
              <w:top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1.2</w:t>
            </w:r>
          </w:p>
        </w:tc>
        <w:tc>
          <w:tcPr>
            <w:tcW w:w="599" w:type="pct"/>
            <w:tcBorders>
              <w:top w:val="single" w:color="auto" w:sz="4" w:space="0"/>
              <w:bottom w:val="single" w:color="auto" w:sz="4" w:space="0"/>
            </w:tcBorders>
            <w:vAlign w:val="center"/>
          </w:tcPr>
          <w:p>
            <w:pPr>
              <w:wordWrap w:val="0"/>
              <w:spacing w:line="360" w:lineRule="auto"/>
              <w:jc w:val="center"/>
              <w:rPr>
                <w:rFonts w:cs="仿宋_GB2312"/>
                <w:szCs w:val="24"/>
              </w:rPr>
            </w:pPr>
          </w:p>
        </w:tc>
        <w:tc>
          <w:tcPr>
            <w:tcW w:w="623" w:type="pct"/>
            <w:tcBorders>
              <w:top w:val="single" w:color="auto" w:sz="4" w:space="0"/>
              <w:bottom w:val="single" w:color="auto" w:sz="4" w:space="0"/>
            </w:tcBorders>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42" w:hRule="atLeast"/>
          <w:jc w:val="center"/>
        </w:trPr>
        <w:tc>
          <w:tcPr>
            <w:tcW w:w="311" w:type="pct"/>
            <w:vMerge w:val="continue"/>
            <w:vAlign w:val="center"/>
          </w:tcPr>
          <w:p>
            <w:pPr>
              <w:numPr>
                <w:ilvl w:val="0"/>
                <w:numId w:val="81"/>
              </w:numPr>
              <w:tabs>
                <w:tab w:val="left" w:pos="60"/>
              </w:tabs>
              <w:wordWrap w:val="0"/>
              <w:adjustRightInd w:val="0"/>
              <w:snapToGrid w:val="0"/>
              <w:spacing w:line="360" w:lineRule="auto"/>
              <w:ind w:left="-72" w:leftChars="-30" w:firstLine="0"/>
              <w:jc w:val="center"/>
            </w:pPr>
          </w:p>
        </w:tc>
        <w:tc>
          <w:tcPr>
            <w:tcW w:w="538" w:type="pct"/>
            <w:vMerge w:val="continue"/>
            <w:tcBorders>
              <w:right w:val="single" w:color="auto" w:sz="4" w:space="0"/>
            </w:tcBorders>
            <w:vAlign w:val="center"/>
          </w:tcPr>
          <w:p>
            <w:pPr>
              <w:wordWrap w:val="0"/>
              <w:spacing w:line="360" w:lineRule="auto"/>
              <w:jc w:val="center"/>
              <w:rPr>
                <w:rFonts w:cs="仿宋_GB2312"/>
                <w:szCs w:val="24"/>
              </w:rPr>
            </w:pPr>
          </w:p>
        </w:tc>
        <w:tc>
          <w:tcPr>
            <w:tcW w:w="1406" w:type="pct"/>
            <w:tcBorders>
              <w:top w:val="single" w:color="auto" w:sz="4" w:space="0"/>
              <w:left w:val="single" w:color="auto" w:sz="4" w:space="0"/>
            </w:tcBorders>
            <w:vAlign w:val="center"/>
          </w:tcPr>
          <w:p>
            <w:pPr>
              <w:wordWrap w:val="0"/>
              <w:spacing w:line="360" w:lineRule="auto"/>
              <w:jc w:val="left"/>
              <w:rPr>
                <w:rFonts w:cs="仿宋_GB2312"/>
                <w:szCs w:val="24"/>
              </w:rPr>
            </w:pPr>
            <w:r>
              <w:rPr>
                <w:rFonts w:hint="eastAsia" w:cs="宋体"/>
                <w:szCs w:val="24"/>
              </w:rPr>
              <w:t>……</w:t>
            </w:r>
          </w:p>
        </w:tc>
        <w:tc>
          <w:tcPr>
            <w:tcW w:w="1523" w:type="pct"/>
            <w:tcBorders>
              <w:top w:val="single" w:color="auto" w:sz="4" w:space="0"/>
            </w:tcBorders>
            <w:vAlign w:val="center"/>
          </w:tcPr>
          <w:p>
            <w:pPr>
              <w:wordWrap w:val="0"/>
              <w:spacing w:line="360" w:lineRule="auto"/>
              <w:jc w:val="left"/>
              <w:rPr>
                <w:rFonts w:cs="仿宋_GB2312"/>
                <w:szCs w:val="24"/>
              </w:rPr>
            </w:pPr>
            <w:r>
              <w:rPr>
                <w:rFonts w:hint="eastAsia" w:cs="宋体"/>
                <w:szCs w:val="24"/>
              </w:rPr>
              <w:t>……</w:t>
            </w:r>
          </w:p>
        </w:tc>
        <w:tc>
          <w:tcPr>
            <w:tcW w:w="599" w:type="pct"/>
            <w:tcBorders>
              <w:top w:val="single" w:color="auto" w:sz="4" w:space="0"/>
            </w:tcBorders>
            <w:vAlign w:val="center"/>
          </w:tcPr>
          <w:p>
            <w:pPr>
              <w:wordWrap w:val="0"/>
              <w:spacing w:line="360" w:lineRule="auto"/>
              <w:jc w:val="center"/>
              <w:rPr>
                <w:rFonts w:cs="仿宋_GB2312"/>
                <w:szCs w:val="24"/>
              </w:rPr>
            </w:pPr>
            <w:r>
              <w:rPr>
                <w:rFonts w:hint="eastAsia" w:cs="宋体"/>
                <w:szCs w:val="24"/>
              </w:rPr>
              <w:t>……</w:t>
            </w:r>
          </w:p>
        </w:tc>
        <w:tc>
          <w:tcPr>
            <w:tcW w:w="623" w:type="pct"/>
            <w:tcBorders>
              <w:top w:val="single" w:color="auto" w:sz="4" w:space="0"/>
            </w:tcBorders>
            <w:vAlign w:val="center"/>
          </w:tcPr>
          <w:p>
            <w:pPr>
              <w:wordWrap w:val="0"/>
              <w:spacing w:line="360" w:lineRule="auto"/>
              <w:jc w:val="center"/>
              <w:rPr>
                <w:rFonts w:cs="仿宋_GB2312"/>
                <w:szCs w:val="24"/>
              </w:rPr>
            </w:pPr>
            <w:r>
              <w:rPr>
                <w:rFonts w:hint="eastAsia" w:cs="宋体"/>
                <w:szCs w:val="24"/>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35" w:hRule="atLeast"/>
          <w:jc w:val="center"/>
        </w:trPr>
        <w:tc>
          <w:tcPr>
            <w:tcW w:w="311" w:type="pct"/>
            <w:vMerge w:val="restart"/>
            <w:vAlign w:val="center"/>
          </w:tcPr>
          <w:p>
            <w:pPr>
              <w:numPr>
                <w:ilvl w:val="0"/>
                <w:numId w:val="81"/>
              </w:numPr>
              <w:tabs>
                <w:tab w:val="left" w:pos="60"/>
              </w:tabs>
              <w:wordWrap w:val="0"/>
              <w:adjustRightInd w:val="0"/>
              <w:snapToGrid w:val="0"/>
              <w:spacing w:line="360" w:lineRule="auto"/>
              <w:ind w:left="-72" w:leftChars="-30" w:firstLine="0"/>
              <w:jc w:val="center"/>
            </w:pPr>
          </w:p>
        </w:tc>
        <w:tc>
          <w:tcPr>
            <w:tcW w:w="538" w:type="pct"/>
            <w:vMerge w:val="restart"/>
            <w:tcBorders>
              <w:right w:val="single" w:color="auto" w:sz="4" w:space="0"/>
            </w:tcBorders>
            <w:vAlign w:val="center"/>
          </w:tcPr>
          <w:p>
            <w:pPr>
              <w:wordWrap w:val="0"/>
              <w:spacing w:line="360" w:lineRule="auto"/>
              <w:jc w:val="center"/>
              <w:rPr>
                <w:rFonts w:cs="仿宋_GB2312"/>
                <w:szCs w:val="24"/>
              </w:rPr>
            </w:pPr>
          </w:p>
        </w:tc>
        <w:tc>
          <w:tcPr>
            <w:tcW w:w="1406" w:type="pct"/>
            <w:tcBorders>
              <w:left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2.1</w:t>
            </w:r>
          </w:p>
        </w:tc>
        <w:tc>
          <w:tcPr>
            <w:tcW w:w="1523" w:type="pct"/>
            <w:tcBorders>
              <w:bottom w:val="single" w:color="auto" w:sz="4" w:space="0"/>
            </w:tcBorders>
            <w:vAlign w:val="center"/>
          </w:tcPr>
          <w:p>
            <w:pPr>
              <w:wordWrap w:val="0"/>
              <w:spacing w:line="360" w:lineRule="auto"/>
              <w:jc w:val="left"/>
              <w:rPr>
                <w:rFonts w:cs="仿宋_GB2312"/>
                <w:szCs w:val="24"/>
              </w:rPr>
            </w:pPr>
            <w:r>
              <w:rPr>
                <w:rFonts w:hint="eastAsia" w:cs="仿宋_GB2312"/>
                <w:szCs w:val="24"/>
              </w:rPr>
              <w:t>2.1</w:t>
            </w:r>
          </w:p>
        </w:tc>
        <w:tc>
          <w:tcPr>
            <w:tcW w:w="599" w:type="pct"/>
            <w:tcBorders>
              <w:bottom w:val="single" w:color="auto" w:sz="4" w:space="0"/>
            </w:tcBorders>
            <w:vAlign w:val="center"/>
          </w:tcPr>
          <w:p>
            <w:pPr>
              <w:wordWrap w:val="0"/>
              <w:spacing w:line="360" w:lineRule="auto"/>
              <w:jc w:val="center"/>
              <w:rPr>
                <w:rFonts w:cs="仿宋_GB2312"/>
                <w:szCs w:val="24"/>
              </w:rPr>
            </w:pPr>
          </w:p>
        </w:tc>
        <w:tc>
          <w:tcPr>
            <w:tcW w:w="623" w:type="pct"/>
            <w:tcBorders>
              <w:bottom w:val="single" w:color="auto" w:sz="4" w:space="0"/>
            </w:tcBorders>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42" w:hRule="atLeast"/>
          <w:jc w:val="center"/>
        </w:trPr>
        <w:tc>
          <w:tcPr>
            <w:tcW w:w="311" w:type="pct"/>
            <w:vMerge w:val="continue"/>
            <w:vAlign w:val="center"/>
          </w:tcPr>
          <w:p>
            <w:pPr>
              <w:numPr>
                <w:ilvl w:val="0"/>
                <w:numId w:val="81"/>
              </w:numPr>
              <w:tabs>
                <w:tab w:val="left" w:pos="60"/>
              </w:tabs>
              <w:wordWrap w:val="0"/>
              <w:adjustRightInd w:val="0"/>
              <w:snapToGrid w:val="0"/>
              <w:spacing w:line="360" w:lineRule="auto"/>
              <w:ind w:left="-72" w:leftChars="-30" w:firstLine="0"/>
              <w:jc w:val="center"/>
            </w:pPr>
          </w:p>
        </w:tc>
        <w:tc>
          <w:tcPr>
            <w:tcW w:w="538" w:type="pct"/>
            <w:vMerge w:val="continue"/>
            <w:tcBorders>
              <w:right w:val="single" w:color="auto" w:sz="4" w:space="0"/>
            </w:tcBorders>
            <w:vAlign w:val="center"/>
          </w:tcPr>
          <w:p>
            <w:pPr>
              <w:wordWrap w:val="0"/>
              <w:spacing w:line="360" w:lineRule="auto"/>
              <w:jc w:val="center"/>
              <w:rPr>
                <w:rFonts w:cs="仿宋_GB2312"/>
                <w:szCs w:val="24"/>
              </w:rPr>
            </w:pPr>
          </w:p>
        </w:tc>
        <w:tc>
          <w:tcPr>
            <w:tcW w:w="1406" w:type="pct"/>
            <w:tcBorders>
              <w:top w:val="single" w:color="auto" w:sz="4" w:space="0"/>
              <w:left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2.2</w:t>
            </w:r>
          </w:p>
        </w:tc>
        <w:tc>
          <w:tcPr>
            <w:tcW w:w="1523" w:type="pct"/>
            <w:tcBorders>
              <w:top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2.2</w:t>
            </w:r>
          </w:p>
        </w:tc>
        <w:tc>
          <w:tcPr>
            <w:tcW w:w="599" w:type="pct"/>
            <w:tcBorders>
              <w:top w:val="single" w:color="auto" w:sz="4" w:space="0"/>
              <w:bottom w:val="single" w:color="auto" w:sz="4" w:space="0"/>
            </w:tcBorders>
            <w:vAlign w:val="center"/>
          </w:tcPr>
          <w:p>
            <w:pPr>
              <w:wordWrap w:val="0"/>
              <w:spacing w:line="360" w:lineRule="auto"/>
              <w:jc w:val="center"/>
              <w:rPr>
                <w:rFonts w:cs="仿宋_GB2312"/>
                <w:szCs w:val="24"/>
              </w:rPr>
            </w:pPr>
          </w:p>
        </w:tc>
        <w:tc>
          <w:tcPr>
            <w:tcW w:w="623" w:type="pct"/>
            <w:tcBorders>
              <w:top w:val="single" w:color="auto" w:sz="4" w:space="0"/>
              <w:bottom w:val="single" w:color="auto" w:sz="4" w:space="0"/>
            </w:tcBorders>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42" w:hRule="atLeast"/>
          <w:jc w:val="center"/>
        </w:trPr>
        <w:tc>
          <w:tcPr>
            <w:tcW w:w="311" w:type="pct"/>
            <w:vMerge w:val="continue"/>
            <w:vAlign w:val="center"/>
          </w:tcPr>
          <w:p>
            <w:pPr>
              <w:numPr>
                <w:ilvl w:val="0"/>
                <w:numId w:val="81"/>
              </w:numPr>
              <w:tabs>
                <w:tab w:val="left" w:pos="60"/>
              </w:tabs>
              <w:wordWrap w:val="0"/>
              <w:adjustRightInd w:val="0"/>
              <w:snapToGrid w:val="0"/>
              <w:spacing w:line="360" w:lineRule="auto"/>
              <w:ind w:left="-72" w:leftChars="-30" w:firstLine="0"/>
              <w:jc w:val="center"/>
            </w:pPr>
          </w:p>
        </w:tc>
        <w:tc>
          <w:tcPr>
            <w:tcW w:w="538" w:type="pct"/>
            <w:vMerge w:val="continue"/>
            <w:tcBorders>
              <w:right w:val="single" w:color="auto" w:sz="4" w:space="0"/>
            </w:tcBorders>
            <w:vAlign w:val="center"/>
          </w:tcPr>
          <w:p>
            <w:pPr>
              <w:wordWrap w:val="0"/>
              <w:spacing w:line="360" w:lineRule="auto"/>
              <w:jc w:val="center"/>
              <w:rPr>
                <w:rFonts w:cs="仿宋_GB2312"/>
                <w:szCs w:val="24"/>
              </w:rPr>
            </w:pPr>
          </w:p>
        </w:tc>
        <w:tc>
          <w:tcPr>
            <w:tcW w:w="1406" w:type="pct"/>
            <w:tcBorders>
              <w:top w:val="single" w:color="auto" w:sz="4" w:space="0"/>
              <w:left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2.3</w:t>
            </w:r>
          </w:p>
        </w:tc>
        <w:tc>
          <w:tcPr>
            <w:tcW w:w="1523" w:type="pct"/>
            <w:tcBorders>
              <w:top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2.3</w:t>
            </w:r>
          </w:p>
        </w:tc>
        <w:tc>
          <w:tcPr>
            <w:tcW w:w="599" w:type="pct"/>
            <w:tcBorders>
              <w:top w:val="single" w:color="auto" w:sz="4" w:space="0"/>
              <w:bottom w:val="single" w:color="auto" w:sz="4" w:space="0"/>
            </w:tcBorders>
            <w:vAlign w:val="center"/>
          </w:tcPr>
          <w:p>
            <w:pPr>
              <w:wordWrap w:val="0"/>
              <w:spacing w:line="360" w:lineRule="auto"/>
              <w:jc w:val="center"/>
              <w:rPr>
                <w:rFonts w:cs="仿宋_GB2312"/>
                <w:szCs w:val="24"/>
              </w:rPr>
            </w:pPr>
          </w:p>
        </w:tc>
        <w:tc>
          <w:tcPr>
            <w:tcW w:w="623" w:type="pct"/>
            <w:tcBorders>
              <w:top w:val="single" w:color="auto" w:sz="4" w:space="0"/>
              <w:bottom w:val="single" w:color="auto" w:sz="4" w:space="0"/>
            </w:tcBorders>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42" w:hRule="atLeast"/>
          <w:jc w:val="center"/>
        </w:trPr>
        <w:tc>
          <w:tcPr>
            <w:tcW w:w="311" w:type="pct"/>
            <w:vMerge w:val="continue"/>
            <w:vAlign w:val="center"/>
          </w:tcPr>
          <w:p>
            <w:pPr>
              <w:numPr>
                <w:ilvl w:val="0"/>
                <w:numId w:val="81"/>
              </w:numPr>
              <w:tabs>
                <w:tab w:val="left" w:pos="60"/>
              </w:tabs>
              <w:wordWrap w:val="0"/>
              <w:adjustRightInd w:val="0"/>
              <w:snapToGrid w:val="0"/>
              <w:spacing w:line="360" w:lineRule="auto"/>
              <w:ind w:left="-72" w:leftChars="-30" w:firstLine="0"/>
              <w:jc w:val="center"/>
            </w:pPr>
          </w:p>
        </w:tc>
        <w:tc>
          <w:tcPr>
            <w:tcW w:w="538" w:type="pct"/>
            <w:vMerge w:val="continue"/>
            <w:tcBorders>
              <w:right w:val="single" w:color="auto" w:sz="4" w:space="0"/>
            </w:tcBorders>
            <w:vAlign w:val="center"/>
          </w:tcPr>
          <w:p>
            <w:pPr>
              <w:wordWrap w:val="0"/>
              <w:spacing w:line="360" w:lineRule="auto"/>
              <w:jc w:val="center"/>
              <w:rPr>
                <w:rFonts w:cs="仿宋_GB2312"/>
                <w:szCs w:val="24"/>
              </w:rPr>
            </w:pPr>
          </w:p>
        </w:tc>
        <w:tc>
          <w:tcPr>
            <w:tcW w:w="1406" w:type="pct"/>
            <w:tcBorders>
              <w:top w:val="single" w:color="auto" w:sz="4" w:space="0"/>
              <w:left w:val="single" w:color="auto" w:sz="4" w:space="0"/>
            </w:tcBorders>
            <w:vAlign w:val="center"/>
          </w:tcPr>
          <w:p>
            <w:pPr>
              <w:wordWrap w:val="0"/>
              <w:spacing w:line="360" w:lineRule="auto"/>
              <w:jc w:val="left"/>
              <w:rPr>
                <w:rFonts w:cs="仿宋_GB2312"/>
                <w:szCs w:val="24"/>
              </w:rPr>
            </w:pPr>
            <w:r>
              <w:rPr>
                <w:rFonts w:hint="eastAsia" w:cs="宋体"/>
                <w:szCs w:val="24"/>
              </w:rPr>
              <w:t>……</w:t>
            </w:r>
          </w:p>
        </w:tc>
        <w:tc>
          <w:tcPr>
            <w:tcW w:w="1523" w:type="pct"/>
            <w:tcBorders>
              <w:top w:val="single" w:color="auto" w:sz="4" w:space="0"/>
            </w:tcBorders>
            <w:vAlign w:val="center"/>
          </w:tcPr>
          <w:p>
            <w:pPr>
              <w:wordWrap w:val="0"/>
              <w:spacing w:line="360" w:lineRule="auto"/>
              <w:jc w:val="left"/>
              <w:rPr>
                <w:rFonts w:cs="仿宋_GB2312"/>
                <w:szCs w:val="24"/>
              </w:rPr>
            </w:pPr>
            <w:r>
              <w:rPr>
                <w:rFonts w:hint="eastAsia" w:cs="宋体"/>
                <w:szCs w:val="24"/>
              </w:rPr>
              <w:t>……</w:t>
            </w:r>
          </w:p>
        </w:tc>
        <w:tc>
          <w:tcPr>
            <w:tcW w:w="599" w:type="pct"/>
            <w:tcBorders>
              <w:top w:val="single" w:color="auto" w:sz="4" w:space="0"/>
            </w:tcBorders>
            <w:vAlign w:val="center"/>
          </w:tcPr>
          <w:p>
            <w:pPr>
              <w:wordWrap w:val="0"/>
              <w:spacing w:line="360" w:lineRule="auto"/>
              <w:jc w:val="center"/>
              <w:rPr>
                <w:rFonts w:cs="仿宋_GB2312"/>
                <w:szCs w:val="24"/>
              </w:rPr>
            </w:pPr>
            <w:r>
              <w:rPr>
                <w:rFonts w:hint="eastAsia" w:cs="宋体"/>
                <w:szCs w:val="24"/>
              </w:rPr>
              <w:t>……</w:t>
            </w:r>
          </w:p>
        </w:tc>
        <w:tc>
          <w:tcPr>
            <w:tcW w:w="623" w:type="pct"/>
            <w:tcBorders>
              <w:top w:val="single" w:color="auto" w:sz="4" w:space="0"/>
            </w:tcBorders>
            <w:vAlign w:val="center"/>
          </w:tcPr>
          <w:p>
            <w:pPr>
              <w:wordWrap w:val="0"/>
              <w:spacing w:line="360" w:lineRule="auto"/>
              <w:jc w:val="center"/>
              <w:rPr>
                <w:rFonts w:cs="仿宋_GB2312"/>
                <w:szCs w:val="24"/>
              </w:rPr>
            </w:pPr>
            <w:r>
              <w:rPr>
                <w:rFonts w:hint="eastAsia" w:cs="宋体"/>
                <w:szCs w:val="24"/>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35" w:hRule="atLeast"/>
          <w:jc w:val="center"/>
        </w:trPr>
        <w:tc>
          <w:tcPr>
            <w:tcW w:w="311" w:type="pct"/>
            <w:vMerge w:val="restart"/>
            <w:vAlign w:val="center"/>
          </w:tcPr>
          <w:p>
            <w:pPr>
              <w:numPr>
                <w:ilvl w:val="0"/>
                <w:numId w:val="81"/>
              </w:numPr>
              <w:tabs>
                <w:tab w:val="left" w:pos="60"/>
              </w:tabs>
              <w:wordWrap w:val="0"/>
              <w:adjustRightInd w:val="0"/>
              <w:snapToGrid w:val="0"/>
              <w:spacing w:line="360" w:lineRule="auto"/>
              <w:ind w:left="-72" w:leftChars="-30" w:firstLine="0"/>
              <w:jc w:val="center"/>
            </w:pPr>
          </w:p>
        </w:tc>
        <w:tc>
          <w:tcPr>
            <w:tcW w:w="538" w:type="pct"/>
            <w:vMerge w:val="restart"/>
            <w:tcBorders>
              <w:right w:val="single" w:color="auto" w:sz="4" w:space="0"/>
            </w:tcBorders>
            <w:vAlign w:val="center"/>
          </w:tcPr>
          <w:p>
            <w:pPr>
              <w:wordWrap w:val="0"/>
              <w:spacing w:line="360" w:lineRule="auto"/>
              <w:jc w:val="center"/>
              <w:rPr>
                <w:rFonts w:cs="仿宋_GB2312"/>
                <w:szCs w:val="24"/>
              </w:rPr>
            </w:pPr>
          </w:p>
        </w:tc>
        <w:tc>
          <w:tcPr>
            <w:tcW w:w="1406" w:type="pct"/>
            <w:tcBorders>
              <w:left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3.1</w:t>
            </w:r>
          </w:p>
        </w:tc>
        <w:tc>
          <w:tcPr>
            <w:tcW w:w="1523" w:type="pct"/>
            <w:tcBorders>
              <w:bottom w:val="single" w:color="auto" w:sz="4" w:space="0"/>
            </w:tcBorders>
            <w:vAlign w:val="center"/>
          </w:tcPr>
          <w:p>
            <w:pPr>
              <w:wordWrap w:val="0"/>
              <w:spacing w:line="360" w:lineRule="auto"/>
              <w:jc w:val="left"/>
              <w:rPr>
                <w:rFonts w:cs="仿宋_GB2312"/>
                <w:szCs w:val="24"/>
              </w:rPr>
            </w:pPr>
            <w:r>
              <w:rPr>
                <w:rFonts w:hint="eastAsia" w:cs="仿宋_GB2312"/>
                <w:szCs w:val="24"/>
              </w:rPr>
              <w:t>3.1</w:t>
            </w:r>
          </w:p>
        </w:tc>
        <w:tc>
          <w:tcPr>
            <w:tcW w:w="599" w:type="pct"/>
            <w:tcBorders>
              <w:bottom w:val="single" w:color="auto" w:sz="4" w:space="0"/>
            </w:tcBorders>
            <w:vAlign w:val="center"/>
          </w:tcPr>
          <w:p>
            <w:pPr>
              <w:wordWrap w:val="0"/>
              <w:spacing w:line="360" w:lineRule="auto"/>
              <w:jc w:val="center"/>
              <w:rPr>
                <w:rFonts w:cs="仿宋_GB2312"/>
                <w:szCs w:val="24"/>
              </w:rPr>
            </w:pPr>
          </w:p>
        </w:tc>
        <w:tc>
          <w:tcPr>
            <w:tcW w:w="623" w:type="pct"/>
            <w:tcBorders>
              <w:bottom w:val="single" w:color="auto" w:sz="4" w:space="0"/>
            </w:tcBorders>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42" w:hRule="atLeast"/>
          <w:jc w:val="center"/>
        </w:trPr>
        <w:tc>
          <w:tcPr>
            <w:tcW w:w="311" w:type="pct"/>
            <w:vMerge w:val="continue"/>
            <w:vAlign w:val="center"/>
          </w:tcPr>
          <w:p>
            <w:pPr>
              <w:numPr>
                <w:ilvl w:val="0"/>
                <w:numId w:val="81"/>
              </w:numPr>
              <w:tabs>
                <w:tab w:val="left" w:pos="60"/>
              </w:tabs>
              <w:wordWrap w:val="0"/>
              <w:adjustRightInd w:val="0"/>
              <w:snapToGrid w:val="0"/>
              <w:spacing w:line="360" w:lineRule="auto"/>
              <w:ind w:left="-72" w:leftChars="-30" w:firstLine="0"/>
              <w:jc w:val="center"/>
            </w:pPr>
          </w:p>
        </w:tc>
        <w:tc>
          <w:tcPr>
            <w:tcW w:w="538" w:type="pct"/>
            <w:vMerge w:val="continue"/>
            <w:tcBorders>
              <w:right w:val="single" w:color="auto" w:sz="4" w:space="0"/>
            </w:tcBorders>
            <w:vAlign w:val="center"/>
          </w:tcPr>
          <w:p>
            <w:pPr>
              <w:wordWrap w:val="0"/>
              <w:spacing w:line="360" w:lineRule="auto"/>
              <w:jc w:val="center"/>
              <w:rPr>
                <w:rFonts w:cs="仿宋_GB2312"/>
                <w:szCs w:val="24"/>
              </w:rPr>
            </w:pPr>
          </w:p>
        </w:tc>
        <w:tc>
          <w:tcPr>
            <w:tcW w:w="1406" w:type="pct"/>
            <w:tcBorders>
              <w:top w:val="single" w:color="auto" w:sz="4" w:space="0"/>
              <w:left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3.2</w:t>
            </w:r>
          </w:p>
        </w:tc>
        <w:tc>
          <w:tcPr>
            <w:tcW w:w="1523" w:type="pct"/>
            <w:tcBorders>
              <w:top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3.2</w:t>
            </w:r>
          </w:p>
        </w:tc>
        <w:tc>
          <w:tcPr>
            <w:tcW w:w="599" w:type="pct"/>
            <w:tcBorders>
              <w:top w:val="single" w:color="auto" w:sz="4" w:space="0"/>
              <w:bottom w:val="single" w:color="auto" w:sz="4" w:space="0"/>
            </w:tcBorders>
            <w:vAlign w:val="center"/>
          </w:tcPr>
          <w:p>
            <w:pPr>
              <w:wordWrap w:val="0"/>
              <w:spacing w:line="360" w:lineRule="auto"/>
              <w:jc w:val="center"/>
              <w:rPr>
                <w:rFonts w:cs="仿宋_GB2312"/>
                <w:szCs w:val="24"/>
              </w:rPr>
            </w:pPr>
          </w:p>
        </w:tc>
        <w:tc>
          <w:tcPr>
            <w:tcW w:w="623" w:type="pct"/>
            <w:tcBorders>
              <w:top w:val="single" w:color="auto" w:sz="4" w:space="0"/>
              <w:bottom w:val="single" w:color="auto" w:sz="4" w:space="0"/>
            </w:tcBorders>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42" w:hRule="atLeast"/>
          <w:jc w:val="center"/>
        </w:trPr>
        <w:tc>
          <w:tcPr>
            <w:tcW w:w="311" w:type="pct"/>
            <w:vMerge w:val="continue"/>
            <w:vAlign w:val="center"/>
          </w:tcPr>
          <w:p>
            <w:pPr>
              <w:numPr>
                <w:ilvl w:val="0"/>
                <w:numId w:val="81"/>
              </w:numPr>
              <w:tabs>
                <w:tab w:val="left" w:pos="60"/>
              </w:tabs>
              <w:wordWrap w:val="0"/>
              <w:adjustRightInd w:val="0"/>
              <w:snapToGrid w:val="0"/>
              <w:spacing w:line="360" w:lineRule="auto"/>
              <w:ind w:left="-72" w:leftChars="-30" w:firstLine="0"/>
              <w:jc w:val="center"/>
            </w:pPr>
          </w:p>
        </w:tc>
        <w:tc>
          <w:tcPr>
            <w:tcW w:w="538" w:type="pct"/>
            <w:vMerge w:val="continue"/>
            <w:tcBorders>
              <w:right w:val="single" w:color="auto" w:sz="4" w:space="0"/>
            </w:tcBorders>
            <w:vAlign w:val="center"/>
          </w:tcPr>
          <w:p>
            <w:pPr>
              <w:wordWrap w:val="0"/>
              <w:spacing w:line="360" w:lineRule="auto"/>
              <w:jc w:val="center"/>
              <w:rPr>
                <w:rFonts w:cs="仿宋_GB2312"/>
                <w:szCs w:val="24"/>
              </w:rPr>
            </w:pPr>
          </w:p>
        </w:tc>
        <w:tc>
          <w:tcPr>
            <w:tcW w:w="1406" w:type="pct"/>
            <w:tcBorders>
              <w:top w:val="single" w:color="auto" w:sz="4" w:space="0"/>
              <w:left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3.3</w:t>
            </w:r>
          </w:p>
        </w:tc>
        <w:tc>
          <w:tcPr>
            <w:tcW w:w="1523" w:type="pct"/>
            <w:tcBorders>
              <w:top w:val="single" w:color="auto" w:sz="4" w:space="0"/>
              <w:bottom w:val="single" w:color="auto" w:sz="4" w:space="0"/>
            </w:tcBorders>
            <w:vAlign w:val="center"/>
          </w:tcPr>
          <w:p>
            <w:pPr>
              <w:wordWrap w:val="0"/>
              <w:spacing w:line="360" w:lineRule="auto"/>
              <w:jc w:val="left"/>
              <w:rPr>
                <w:rFonts w:cs="仿宋_GB2312"/>
                <w:szCs w:val="24"/>
              </w:rPr>
            </w:pPr>
            <w:r>
              <w:rPr>
                <w:rFonts w:hint="eastAsia" w:cs="仿宋_GB2312"/>
                <w:szCs w:val="24"/>
              </w:rPr>
              <w:t>3.3</w:t>
            </w:r>
          </w:p>
        </w:tc>
        <w:tc>
          <w:tcPr>
            <w:tcW w:w="599" w:type="pct"/>
            <w:tcBorders>
              <w:top w:val="single" w:color="auto" w:sz="4" w:space="0"/>
              <w:bottom w:val="single" w:color="auto" w:sz="4" w:space="0"/>
            </w:tcBorders>
            <w:vAlign w:val="center"/>
          </w:tcPr>
          <w:p>
            <w:pPr>
              <w:wordWrap w:val="0"/>
              <w:spacing w:line="360" w:lineRule="auto"/>
              <w:jc w:val="center"/>
              <w:rPr>
                <w:rFonts w:cs="仿宋_GB2312"/>
                <w:szCs w:val="24"/>
              </w:rPr>
            </w:pPr>
          </w:p>
        </w:tc>
        <w:tc>
          <w:tcPr>
            <w:tcW w:w="623" w:type="pct"/>
            <w:tcBorders>
              <w:top w:val="single" w:color="auto" w:sz="4" w:space="0"/>
              <w:bottom w:val="single" w:color="auto" w:sz="4" w:space="0"/>
            </w:tcBorders>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42" w:hRule="atLeast"/>
          <w:jc w:val="center"/>
        </w:trPr>
        <w:tc>
          <w:tcPr>
            <w:tcW w:w="311" w:type="pct"/>
            <w:vMerge w:val="continue"/>
            <w:vAlign w:val="center"/>
          </w:tcPr>
          <w:p>
            <w:pPr>
              <w:numPr>
                <w:ilvl w:val="0"/>
                <w:numId w:val="81"/>
              </w:numPr>
              <w:tabs>
                <w:tab w:val="left" w:pos="60"/>
              </w:tabs>
              <w:wordWrap w:val="0"/>
              <w:adjustRightInd w:val="0"/>
              <w:snapToGrid w:val="0"/>
              <w:spacing w:line="360" w:lineRule="auto"/>
              <w:ind w:left="-72" w:leftChars="-30" w:firstLine="0"/>
              <w:jc w:val="center"/>
            </w:pPr>
          </w:p>
        </w:tc>
        <w:tc>
          <w:tcPr>
            <w:tcW w:w="538" w:type="pct"/>
            <w:vMerge w:val="continue"/>
            <w:tcBorders>
              <w:right w:val="single" w:color="auto" w:sz="4" w:space="0"/>
            </w:tcBorders>
            <w:vAlign w:val="center"/>
          </w:tcPr>
          <w:p>
            <w:pPr>
              <w:wordWrap w:val="0"/>
              <w:spacing w:line="360" w:lineRule="auto"/>
              <w:jc w:val="center"/>
              <w:rPr>
                <w:rFonts w:cs="仿宋_GB2312"/>
                <w:szCs w:val="24"/>
              </w:rPr>
            </w:pPr>
          </w:p>
        </w:tc>
        <w:tc>
          <w:tcPr>
            <w:tcW w:w="1406" w:type="pct"/>
            <w:tcBorders>
              <w:top w:val="single" w:color="auto" w:sz="4" w:space="0"/>
              <w:left w:val="single" w:color="auto" w:sz="4" w:space="0"/>
            </w:tcBorders>
            <w:vAlign w:val="center"/>
          </w:tcPr>
          <w:p>
            <w:pPr>
              <w:wordWrap w:val="0"/>
              <w:spacing w:line="360" w:lineRule="auto"/>
              <w:jc w:val="left"/>
              <w:rPr>
                <w:rFonts w:cs="仿宋_GB2312"/>
                <w:szCs w:val="24"/>
              </w:rPr>
            </w:pPr>
            <w:r>
              <w:rPr>
                <w:rFonts w:hint="eastAsia" w:cs="宋体"/>
                <w:szCs w:val="24"/>
              </w:rPr>
              <w:t>……</w:t>
            </w:r>
          </w:p>
        </w:tc>
        <w:tc>
          <w:tcPr>
            <w:tcW w:w="1523" w:type="pct"/>
            <w:tcBorders>
              <w:top w:val="single" w:color="auto" w:sz="4" w:space="0"/>
            </w:tcBorders>
            <w:vAlign w:val="center"/>
          </w:tcPr>
          <w:p>
            <w:pPr>
              <w:wordWrap w:val="0"/>
              <w:spacing w:line="360" w:lineRule="auto"/>
              <w:jc w:val="left"/>
              <w:rPr>
                <w:rFonts w:cs="仿宋_GB2312"/>
                <w:szCs w:val="24"/>
              </w:rPr>
            </w:pPr>
            <w:r>
              <w:rPr>
                <w:rFonts w:hint="eastAsia" w:cs="宋体"/>
                <w:szCs w:val="24"/>
              </w:rPr>
              <w:t>……</w:t>
            </w:r>
          </w:p>
        </w:tc>
        <w:tc>
          <w:tcPr>
            <w:tcW w:w="599" w:type="pct"/>
            <w:tcBorders>
              <w:top w:val="single" w:color="auto" w:sz="4" w:space="0"/>
            </w:tcBorders>
            <w:vAlign w:val="center"/>
          </w:tcPr>
          <w:p>
            <w:pPr>
              <w:wordWrap w:val="0"/>
              <w:spacing w:line="360" w:lineRule="auto"/>
              <w:jc w:val="center"/>
              <w:rPr>
                <w:rFonts w:cs="仿宋_GB2312"/>
                <w:szCs w:val="24"/>
              </w:rPr>
            </w:pPr>
            <w:r>
              <w:rPr>
                <w:rFonts w:hint="eastAsia" w:cs="宋体"/>
                <w:szCs w:val="24"/>
              </w:rPr>
              <w:t>……</w:t>
            </w:r>
          </w:p>
        </w:tc>
        <w:tc>
          <w:tcPr>
            <w:tcW w:w="623" w:type="pct"/>
            <w:tcBorders>
              <w:top w:val="single" w:color="auto" w:sz="4" w:space="0"/>
            </w:tcBorders>
            <w:vAlign w:val="center"/>
          </w:tcPr>
          <w:p>
            <w:pPr>
              <w:wordWrap w:val="0"/>
              <w:spacing w:line="360" w:lineRule="auto"/>
              <w:jc w:val="center"/>
              <w:rPr>
                <w:rFonts w:cs="仿宋_GB2312"/>
                <w:szCs w:val="24"/>
              </w:rPr>
            </w:pPr>
            <w:r>
              <w:rPr>
                <w:rFonts w:hint="eastAsia" w:cs="宋体"/>
                <w:szCs w:val="24"/>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835" w:hRule="atLeast"/>
          <w:jc w:val="center"/>
        </w:trPr>
        <w:tc>
          <w:tcPr>
            <w:tcW w:w="311" w:type="pct"/>
            <w:vAlign w:val="center"/>
          </w:tcPr>
          <w:p>
            <w:pPr>
              <w:wordWrap w:val="0"/>
              <w:spacing w:line="360" w:lineRule="auto"/>
              <w:jc w:val="center"/>
              <w:rPr>
                <w:rFonts w:cs="仿宋_GB2312"/>
                <w:szCs w:val="24"/>
              </w:rPr>
            </w:pPr>
            <w:r>
              <w:rPr>
                <w:rFonts w:hint="eastAsia" w:cs="仿宋_GB2312"/>
                <w:szCs w:val="24"/>
              </w:rPr>
              <w:t>…</w:t>
            </w:r>
          </w:p>
        </w:tc>
        <w:tc>
          <w:tcPr>
            <w:tcW w:w="538" w:type="pct"/>
            <w:tcBorders>
              <w:right w:val="single" w:color="auto" w:sz="4" w:space="0"/>
            </w:tcBorders>
            <w:vAlign w:val="center"/>
          </w:tcPr>
          <w:p>
            <w:pPr>
              <w:wordWrap w:val="0"/>
              <w:spacing w:line="360" w:lineRule="auto"/>
              <w:jc w:val="center"/>
              <w:rPr>
                <w:rFonts w:cs="仿宋_GB2312"/>
                <w:szCs w:val="24"/>
              </w:rPr>
            </w:pPr>
            <w:r>
              <w:rPr>
                <w:rFonts w:hint="eastAsia" w:cs="宋体"/>
                <w:szCs w:val="24"/>
              </w:rPr>
              <w:t>……</w:t>
            </w:r>
          </w:p>
        </w:tc>
        <w:tc>
          <w:tcPr>
            <w:tcW w:w="1406" w:type="pct"/>
            <w:tcBorders>
              <w:left w:val="single" w:color="auto" w:sz="4" w:space="0"/>
            </w:tcBorders>
            <w:vAlign w:val="center"/>
          </w:tcPr>
          <w:p>
            <w:pPr>
              <w:wordWrap w:val="0"/>
              <w:spacing w:line="360" w:lineRule="auto"/>
              <w:jc w:val="center"/>
              <w:rPr>
                <w:rFonts w:cs="仿宋_GB2312"/>
                <w:szCs w:val="24"/>
              </w:rPr>
            </w:pPr>
            <w:r>
              <w:rPr>
                <w:rFonts w:hint="eastAsia" w:cs="宋体"/>
                <w:szCs w:val="24"/>
              </w:rPr>
              <w:t>……</w:t>
            </w:r>
          </w:p>
        </w:tc>
        <w:tc>
          <w:tcPr>
            <w:tcW w:w="1523" w:type="pct"/>
            <w:vAlign w:val="center"/>
          </w:tcPr>
          <w:p>
            <w:pPr>
              <w:wordWrap w:val="0"/>
              <w:spacing w:line="360" w:lineRule="auto"/>
              <w:jc w:val="center"/>
              <w:rPr>
                <w:rFonts w:cs="仿宋_GB2312"/>
                <w:szCs w:val="24"/>
              </w:rPr>
            </w:pPr>
            <w:r>
              <w:rPr>
                <w:rFonts w:hint="eastAsia" w:cs="宋体"/>
                <w:szCs w:val="24"/>
              </w:rPr>
              <w:t>……</w:t>
            </w:r>
          </w:p>
        </w:tc>
        <w:tc>
          <w:tcPr>
            <w:tcW w:w="599" w:type="pct"/>
            <w:vAlign w:val="center"/>
          </w:tcPr>
          <w:p>
            <w:pPr>
              <w:wordWrap w:val="0"/>
              <w:spacing w:line="360" w:lineRule="auto"/>
              <w:jc w:val="center"/>
              <w:rPr>
                <w:rFonts w:cs="仿宋_GB2312"/>
                <w:szCs w:val="24"/>
              </w:rPr>
            </w:pPr>
            <w:r>
              <w:rPr>
                <w:rFonts w:hint="eastAsia" w:cs="宋体"/>
                <w:szCs w:val="24"/>
              </w:rPr>
              <w:t>……</w:t>
            </w:r>
          </w:p>
        </w:tc>
        <w:tc>
          <w:tcPr>
            <w:tcW w:w="623" w:type="pct"/>
            <w:vAlign w:val="center"/>
          </w:tcPr>
          <w:p>
            <w:pPr>
              <w:wordWrap w:val="0"/>
              <w:spacing w:line="360" w:lineRule="auto"/>
              <w:jc w:val="center"/>
              <w:rPr>
                <w:rFonts w:cs="仿宋_GB2312"/>
                <w:szCs w:val="24"/>
              </w:rPr>
            </w:pPr>
            <w:r>
              <w:rPr>
                <w:rFonts w:hint="eastAsia" w:cs="宋体"/>
                <w:szCs w:val="24"/>
              </w:rPr>
              <w:t>……</w:t>
            </w:r>
          </w:p>
        </w:tc>
      </w:tr>
    </w:tbl>
    <w:p>
      <w:pPr>
        <w:wordWrap w:val="0"/>
        <w:spacing w:line="360" w:lineRule="auto"/>
        <w:ind w:left="1132" w:hanging="1132" w:hangingChars="470"/>
        <w:jc w:val="left"/>
        <w:rPr>
          <w:szCs w:val="24"/>
        </w:rPr>
      </w:pPr>
      <w:r>
        <w:rPr>
          <w:rFonts w:hint="eastAsia" w:cs="Corbel"/>
          <w:b/>
          <w:szCs w:val="24"/>
        </w:rPr>
        <w:t>说明：</w:t>
      </w:r>
      <w:r>
        <w:rPr>
          <w:rFonts w:hint="eastAsia" w:cs="Corbel"/>
          <w:szCs w:val="24"/>
        </w:rPr>
        <w:t>1.应按招标文件“第三章 采购需求”中“技术要求”条款逐项在“投标文件响应的内容”栏中进行响应说明，并在“偏离说明”栏注明是否偏离，如有偏离,投标人应详细说明。未按照要求填写此表或在“投标文件响应的内容”栏中仅注明“符合”、“满足”的，导致的后果由投标人自行承担</w:t>
      </w:r>
      <w:r>
        <w:rPr>
          <w:rFonts w:hint="eastAsia"/>
          <w:szCs w:val="24"/>
        </w:rPr>
        <w:t>。</w:t>
      </w:r>
    </w:p>
    <w:p>
      <w:pPr>
        <w:wordWrap w:val="0"/>
        <w:spacing w:line="360" w:lineRule="auto"/>
        <w:ind w:left="1130" w:leftChars="295" w:hanging="422" w:hangingChars="176"/>
        <w:jc w:val="left"/>
        <w:rPr>
          <w:rFonts w:cs="Corbel"/>
          <w:szCs w:val="24"/>
        </w:rPr>
      </w:pPr>
      <w:r>
        <w:rPr>
          <w:rFonts w:hint="eastAsia" w:cs="Corbel"/>
          <w:szCs w:val="24"/>
        </w:rPr>
        <w:t>2.应将对应响应内容的页码（多页的，起码和止码）填写到上表“投标文件对应页码”栏中。未提供准确页码或页码与对应内容不一致的，导致的后果由投标人自行承担。</w:t>
      </w:r>
    </w:p>
    <w:p>
      <w:pPr>
        <w:wordWrap w:val="0"/>
        <w:spacing w:before="100" w:beforeAutospacing="1" w:after="100" w:afterAutospacing="1" w:line="360" w:lineRule="auto"/>
        <w:ind w:firstLine="3316" w:firstLineChars="1382"/>
        <w:rPr>
          <w:bCs/>
          <w:u w:val="single"/>
        </w:rPr>
      </w:pPr>
      <w:r>
        <w:rPr>
          <w:rFonts w:hint="eastAsia"/>
          <w:bCs/>
        </w:rPr>
        <w:t>投标人（公章）：</w:t>
      </w:r>
      <w:r>
        <w:rPr>
          <w:rFonts w:hint="eastAsia"/>
          <w:bCs/>
          <w:u w:val="single"/>
        </w:rPr>
        <w:t xml:space="preserve">                          </w:t>
      </w:r>
    </w:p>
    <w:p>
      <w:pPr>
        <w:wordWrap w:val="0"/>
        <w:spacing w:before="100" w:beforeAutospacing="1" w:after="100" w:afterAutospacing="1" w:line="360" w:lineRule="auto"/>
        <w:ind w:firstLine="3316" w:firstLineChars="1382"/>
        <w:rPr>
          <w:bCs/>
        </w:rPr>
      </w:pPr>
      <w:r>
        <w:rPr>
          <w:rFonts w:hint="eastAsia"/>
          <w:szCs w:val="24"/>
        </w:rPr>
        <w:t>日   期：</w:t>
      </w:r>
      <w:r>
        <w:rPr>
          <w:rFonts w:hint="eastAsia"/>
          <w:bCs/>
          <w:u w:val="single"/>
        </w:rPr>
        <w:t xml:space="preserve">                               </w:t>
      </w:r>
    </w:p>
    <w:p>
      <w:pPr>
        <w:widowControl/>
        <w:spacing w:line="360" w:lineRule="auto"/>
        <w:jc w:val="left"/>
        <w:rPr>
          <w:rFonts w:cstheme="majorBidi"/>
          <w:b/>
          <w:bCs/>
          <w:szCs w:val="24"/>
        </w:rPr>
      </w:pPr>
      <w:r>
        <w:rPr>
          <w:szCs w:val="24"/>
        </w:rPr>
        <w:br w:type="page"/>
      </w:r>
    </w:p>
    <w:p>
      <w:pPr>
        <w:pStyle w:val="3"/>
        <w:numPr>
          <w:ilvl w:val="0"/>
          <w:numId w:val="77"/>
        </w:numPr>
        <w:tabs>
          <w:tab w:val="left" w:pos="567"/>
        </w:tabs>
        <w:spacing w:line="360" w:lineRule="auto"/>
        <w:ind w:left="482" w:hanging="482" w:hangingChars="200"/>
        <w:jc w:val="left"/>
        <w:rPr>
          <w:rFonts w:ascii="宋体" w:hAnsi="宋体" w:eastAsia="宋体"/>
          <w:sz w:val="24"/>
          <w:szCs w:val="24"/>
        </w:rPr>
      </w:pPr>
      <w:bookmarkStart w:id="693" w:name="_Toc29834"/>
      <w:bookmarkStart w:id="694" w:name="_Toc117244388"/>
      <w:bookmarkStart w:id="695" w:name="_Toc117244503"/>
      <w:bookmarkStart w:id="696" w:name="_Toc7535"/>
      <w:r>
        <w:rPr>
          <w:rFonts w:hint="eastAsia" w:ascii="宋体" w:hAnsi="宋体" w:eastAsia="宋体"/>
          <w:sz w:val="24"/>
          <w:szCs w:val="24"/>
        </w:rPr>
        <w:t>商务评分对照表</w:t>
      </w:r>
      <w:bookmarkEnd w:id="692"/>
      <w:bookmarkEnd w:id="693"/>
      <w:bookmarkEnd w:id="694"/>
      <w:bookmarkEnd w:id="695"/>
      <w:bookmarkEnd w:id="696"/>
    </w:p>
    <w:p>
      <w:pPr>
        <w:wordWrap w:val="0"/>
        <w:spacing w:line="360" w:lineRule="auto"/>
        <w:jc w:val="left"/>
        <w:rPr>
          <w:b/>
        </w:rPr>
      </w:pPr>
      <w:r>
        <w:rPr>
          <w:rFonts w:hint="eastAsia"/>
          <w:b/>
        </w:rPr>
        <w:t>投 标 人：</w:t>
      </w:r>
      <w:r>
        <w:rPr>
          <w:rFonts w:hint="eastAsia"/>
          <w:b/>
          <w:szCs w:val="21"/>
          <w:u w:val="single"/>
          <w:lang w:val="zh-CN"/>
        </w:rPr>
        <w:t xml:space="preserve">                     </w:t>
      </w:r>
      <w:r>
        <w:rPr>
          <w:rFonts w:hint="eastAsia"/>
          <w:b/>
          <w:szCs w:val="21"/>
          <w:lang w:val="zh-CN"/>
        </w:rPr>
        <w:t xml:space="preserve"> </w:t>
      </w:r>
    </w:p>
    <w:p>
      <w:pPr>
        <w:wordWrap w:val="0"/>
        <w:spacing w:line="360" w:lineRule="auto"/>
        <w:jc w:val="left"/>
        <w:rPr>
          <w:b/>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w:t>
      </w:r>
      <w:r>
        <w:rPr>
          <w:b/>
          <w:bCs/>
          <w:szCs w:val="21"/>
          <w:lang w:val="zh-CN"/>
        </w:rPr>
        <w:t xml:space="preserve">        </w:t>
      </w:r>
      <w:r>
        <w:rPr>
          <w:rFonts w:hint="eastAsia"/>
          <w:b/>
          <w:bCs/>
          <w:szCs w:val="21"/>
          <w:lang w:val="zh-CN"/>
        </w:rPr>
        <w:t>包号：</w:t>
      </w:r>
      <w:r>
        <w:rPr>
          <w:rFonts w:hint="eastAsia"/>
          <w:b/>
          <w:bCs/>
          <w:szCs w:val="21"/>
          <w:u w:val="single"/>
          <w:lang w:val="zh-CN"/>
        </w:rPr>
        <w:t xml:space="preserve">           </w:t>
      </w:r>
    </w:p>
    <w:tbl>
      <w:tblPr>
        <w:tblStyle w:val="29"/>
        <w:tblW w:w="4908"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21"/>
        <w:gridCol w:w="1154"/>
        <w:gridCol w:w="696"/>
        <w:gridCol w:w="2124"/>
        <w:gridCol w:w="2610"/>
        <w:gridCol w:w="1161"/>
        <w:gridCol w:w="129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6" w:hRule="atLeast"/>
          <w:jc w:val="center"/>
        </w:trPr>
        <w:tc>
          <w:tcPr>
            <w:tcW w:w="2318" w:type="pct"/>
            <w:gridSpan w:val="4"/>
            <w:tcBorders>
              <w:bottom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招标文件商务评分内容</w:t>
            </w:r>
          </w:p>
        </w:tc>
        <w:tc>
          <w:tcPr>
            <w:tcW w:w="1376" w:type="pct"/>
            <w:vMerge w:val="restart"/>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投标文件响应的内容</w:t>
            </w:r>
          </w:p>
        </w:tc>
        <w:tc>
          <w:tcPr>
            <w:tcW w:w="618" w:type="pct"/>
            <w:vMerge w:val="restart"/>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偏离说明</w:t>
            </w:r>
          </w:p>
        </w:tc>
        <w:tc>
          <w:tcPr>
            <w:tcW w:w="688" w:type="pct"/>
            <w:vMerge w:val="restart"/>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投标文件对应页码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1" w:hRule="atLeast"/>
          <w:jc w:val="center"/>
        </w:trPr>
        <w:tc>
          <w:tcPr>
            <w:tcW w:w="284" w:type="pct"/>
            <w:tcBorders>
              <w:top w:val="single" w:color="auto" w:sz="4" w:space="0"/>
              <w:bottom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120" w:leftChars="-50" w:right="-120" w:rightChars="-50"/>
              <w:jc w:val="center"/>
              <w:rPr>
                <w:rFonts w:cs="仿宋_GB2312"/>
                <w:szCs w:val="24"/>
              </w:rPr>
            </w:pPr>
            <w:r>
              <w:rPr>
                <w:rFonts w:hint="eastAsia" w:cs="仿宋_GB2312"/>
                <w:szCs w:val="24"/>
              </w:rPr>
              <w:t>序号</w:t>
            </w:r>
          </w:p>
        </w:tc>
        <w:tc>
          <w:tcPr>
            <w:tcW w:w="615" w:type="pct"/>
            <w:tcBorders>
              <w:top w:val="single" w:color="auto" w:sz="4" w:space="0"/>
              <w:bottom w:val="single" w:color="auto" w:sz="4" w:space="0"/>
              <w:right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评审因素</w:t>
            </w:r>
          </w:p>
        </w:tc>
        <w:tc>
          <w:tcPr>
            <w:tcW w:w="297" w:type="pct"/>
            <w:tcBorders>
              <w:top w:val="single" w:color="auto" w:sz="4" w:space="0"/>
              <w:left w:val="single" w:color="auto" w:sz="4" w:space="0"/>
              <w:bottom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分值</w:t>
            </w:r>
          </w:p>
        </w:tc>
        <w:tc>
          <w:tcPr>
            <w:tcW w:w="1122" w:type="pct"/>
            <w:tcBorders>
              <w:top w:val="single" w:color="auto" w:sz="4" w:space="0"/>
              <w:left w:val="single" w:color="auto" w:sz="4" w:space="0"/>
              <w:bottom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评分标准</w:t>
            </w:r>
          </w:p>
        </w:tc>
        <w:tc>
          <w:tcPr>
            <w:tcW w:w="1376" w:type="pct"/>
            <w:vMerge w:val="continue"/>
            <w:tcBorders>
              <w:bottom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p>
        </w:tc>
        <w:tc>
          <w:tcPr>
            <w:tcW w:w="618" w:type="pct"/>
            <w:vMerge w:val="continue"/>
            <w:tcBorders>
              <w:bottom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p>
        </w:tc>
        <w:tc>
          <w:tcPr>
            <w:tcW w:w="688" w:type="pct"/>
            <w:vMerge w:val="continue"/>
            <w:tcBorders>
              <w:bottom w:val="single" w:color="auto" w:sz="4" w:space="0"/>
            </w:tcBorders>
            <w:shd w:val="pct10" w:color="C3BD96" w:themeColor="background2" w:themeShade="BF" w:fill="DDD9C4" w:themeFill="background2" w:themeFillShade="E6"/>
          </w:tcPr>
          <w:p>
            <w:pPr>
              <w:wordWrap w:val="0"/>
              <w:spacing w:before="100" w:beforeAutospacing="1" w:after="100" w:afterAutospacing="1" w:line="360" w:lineRule="auto"/>
              <w:ind w:left="-60" w:leftChars="-25" w:right="-60" w:rightChars="-25"/>
              <w:jc w:val="center"/>
              <w:rPr>
                <w:rFonts w:cs="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jc w:val="center"/>
        </w:trPr>
        <w:tc>
          <w:tcPr>
            <w:tcW w:w="284" w:type="pct"/>
            <w:tcBorders>
              <w:top w:val="single" w:color="auto" w:sz="4" w:space="0"/>
            </w:tcBorders>
            <w:vAlign w:val="center"/>
          </w:tcPr>
          <w:p>
            <w:pPr>
              <w:numPr>
                <w:ilvl w:val="0"/>
                <w:numId w:val="82"/>
              </w:numPr>
              <w:wordWrap w:val="0"/>
              <w:spacing w:line="360" w:lineRule="auto"/>
              <w:jc w:val="center"/>
              <w:rPr>
                <w:rFonts w:cs="仿宋_GB2312"/>
                <w:szCs w:val="24"/>
              </w:rPr>
            </w:pPr>
          </w:p>
        </w:tc>
        <w:tc>
          <w:tcPr>
            <w:tcW w:w="615" w:type="pct"/>
            <w:tcBorders>
              <w:top w:val="single" w:color="auto" w:sz="4" w:space="0"/>
            </w:tcBorders>
            <w:vAlign w:val="center"/>
          </w:tcPr>
          <w:p>
            <w:pPr>
              <w:wordWrap w:val="0"/>
              <w:spacing w:line="360" w:lineRule="auto"/>
              <w:jc w:val="center"/>
              <w:rPr>
                <w:rFonts w:cs="仿宋_GB2312"/>
                <w:szCs w:val="24"/>
              </w:rPr>
            </w:pPr>
          </w:p>
        </w:tc>
        <w:tc>
          <w:tcPr>
            <w:tcW w:w="297" w:type="pct"/>
            <w:tcBorders>
              <w:top w:val="single" w:color="auto" w:sz="4" w:space="0"/>
            </w:tcBorders>
            <w:vAlign w:val="center"/>
          </w:tcPr>
          <w:p>
            <w:pPr>
              <w:wordWrap w:val="0"/>
              <w:spacing w:line="360" w:lineRule="auto"/>
              <w:jc w:val="center"/>
              <w:rPr>
                <w:rFonts w:cs="仿宋_GB2312"/>
                <w:szCs w:val="24"/>
              </w:rPr>
            </w:pPr>
          </w:p>
        </w:tc>
        <w:tc>
          <w:tcPr>
            <w:tcW w:w="1122" w:type="pct"/>
            <w:tcBorders>
              <w:top w:val="single" w:color="auto" w:sz="4" w:space="0"/>
            </w:tcBorders>
            <w:vAlign w:val="center"/>
          </w:tcPr>
          <w:p>
            <w:pPr>
              <w:wordWrap w:val="0"/>
              <w:spacing w:line="360" w:lineRule="auto"/>
              <w:jc w:val="center"/>
              <w:rPr>
                <w:rFonts w:cs="仿宋_GB2312"/>
                <w:szCs w:val="24"/>
              </w:rPr>
            </w:pPr>
          </w:p>
        </w:tc>
        <w:tc>
          <w:tcPr>
            <w:tcW w:w="1376" w:type="pct"/>
            <w:tcBorders>
              <w:top w:val="single" w:color="auto" w:sz="4" w:space="0"/>
            </w:tcBorders>
            <w:vAlign w:val="center"/>
          </w:tcPr>
          <w:p>
            <w:pPr>
              <w:wordWrap w:val="0"/>
              <w:spacing w:line="360" w:lineRule="auto"/>
              <w:jc w:val="center"/>
              <w:rPr>
                <w:rFonts w:cs="仿宋_GB2312"/>
                <w:szCs w:val="24"/>
              </w:rPr>
            </w:pPr>
          </w:p>
        </w:tc>
        <w:tc>
          <w:tcPr>
            <w:tcW w:w="618" w:type="pct"/>
            <w:tcBorders>
              <w:top w:val="single" w:color="auto" w:sz="4" w:space="0"/>
            </w:tcBorders>
            <w:vAlign w:val="center"/>
          </w:tcPr>
          <w:p>
            <w:pPr>
              <w:wordWrap w:val="0"/>
              <w:spacing w:line="360" w:lineRule="auto"/>
              <w:jc w:val="center"/>
              <w:rPr>
                <w:rFonts w:cs="仿宋_GB2312"/>
                <w:szCs w:val="24"/>
              </w:rPr>
            </w:pPr>
          </w:p>
        </w:tc>
        <w:tc>
          <w:tcPr>
            <w:tcW w:w="688" w:type="pct"/>
            <w:tcBorders>
              <w:top w:val="single" w:color="auto" w:sz="4" w:space="0"/>
            </w:tcBorders>
            <w:vAlign w:val="center"/>
          </w:tcPr>
          <w:p>
            <w:pPr>
              <w:wordWrap w:val="0"/>
              <w:spacing w:line="360" w:lineRule="auto"/>
              <w:jc w:val="center"/>
              <w:rPr>
                <w:rFonts w:cs="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jc w:val="center"/>
        </w:trPr>
        <w:tc>
          <w:tcPr>
            <w:tcW w:w="284" w:type="pct"/>
            <w:vAlign w:val="center"/>
          </w:tcPr>
          <w:p>
            <w:pPr>
              <w:numPr>
                <w:ilvl w:val="0"/>
                <w:numId w:val="82"/>
              </w:numPr>
              <w:wordWrap w:val="0"/>
              <w:spacing w:line="360" w:lineRule="auto"/>
              <w:jc w:val="center"/>
              <w:rPr>
                <w:rFonts w:cs="仿宋_GB2312"/>
                <w:szCs w:val="24"/>
              </w:rPr>
            </w:pPr>
          </w:p>
        </w:tc>
        <w:tc>
          <w:tcPr>
            <w:tcW w:w="615" w:type="pct"/>
            <w:vAlign w:val="center"/>
          </w:tcPr>
          <w:p>
            <w:pPr>
              <w:wordWrap w:val="0"/>
              <w:spacing w:line="360" w:lineRule="auto"/>
              <w:jc w:val="center"/>
              <w:rPr>
                <w:rFonts w:cs="仿宋_GB2312"/>
                <w:szCs w:val="24"/>
              </w:rPr>
            </w:pPr>
          </w:p>
        </w:tc>
        <w:tc>
          <w:tcPr>
            <w:tcW w:w="297" w:type="pct"/>
            <w:vAlign w:val="center"/>
          </w:tcPr>
          <w:p>
            <w:pPr>
              <w:wordWrap w:val="0"/>
              <w:spacing w:line="360" w:lineRule="auto"/>
              <w:jc w:val="center"/>
              <w:rPr>
                <w:rFonts w:cs="仿宋_GB2312"/>
                <w:szCs w:val="24"/>
              </w:rPr>
            </w:pPr>
          </w:p>
        </w:tc>
        <w:tc>
          <w:tcPr>
            <w:tcW w:w="1122" w:type="pct"/>
            <w:vAlign w:val="center"/>
          </w:tcPr>
          <w:p>
            <w:pPr>
              <w:wordWrap w:val="0"/>
              <w:spacing w:line="360" w:lineRule="auto"/>
              <w:jc w:val="center"/>
              <w:rPr>
                <w:rFonts w:cs="仿宋_GB2312"/>
                <w:szCs w:val="24"/>
              </w:rPr>
            </w:pPr>
          </w:p>
        </w:tc>
        <w:tc>
          <w:tcPr>
            <w:tcW w:w="1376" w:type="pct"/>
            <w:vAlign w:val="center"/>
          </w:tcPr>
          <w:p>
            <w:pPr>
              <w:wordWrap w:val="0"/>
              <w:spacing w:line="360" w:lineRule="auto"/>
              <w:jc w:val="center"/>
              <w:rPr>
                <w:rFonts w:cs="仿宋_GB2312"/>
                <w:szCs w:val="24"/>
              </w:rPr>
            </w:pPr>
          </w:p>
        </w:tc>
        <w:tc>
          <w:tcPr>
            <w:tcW w:w="618" w:type="pct"/>
            <w:vAlign w:val="center"/>
          </w:tcPr>
          <w:p>
            <w:pPr>
              <w:wordWrap w:val="0"/>
              <w:spacing w:line="360" w:lineRule="auto"/>
              <w:jc w:val="center"/>
              <w:rPr>
                <w:rFonts w:cs="仿宋_GB2312"/>
                <w:szCs w:val="24"/>
              </w:rPr>
            </w:pPr>
          </w:p>
        </w:tc>
        <w:tc>
          <w:tcPr>
            <w:tcW w:w="688" w:type="pct"/>
            <w:vAlign w:val="center"/>
          </w:tcPr>
          <w:p>
            <w:pPr>
              <w:wordWrap w:val="0"/>
              <w:spacing w:line="360" w:lineRule="auto"/>
              <w:jc w:val="center"/>
              <w:rPr>
                <w:rFonts w:cs="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jc w:val="center"/>
        </w:trPr>
        <w:tc>
          <w:tcPr>
            <w:tcW w:w="284" w:type="pct"/>
            <w:vAlign w:val="center"/>
          </w:tcPr>
          <w:p>
            <w:pPr>
              <w:numPr>
                <w:ilvl w:val="0"/>
                <w:numId w:val="82"/>
              </w:numPr>
              <w:wordWrap w:val="0"/>
              <w:spacing w:line="360" w:lineRule="auto"/>
              <w:jc w:val="center"/>
              <w:rPr>
                <w:rFonts w:cs="仿宋_GB2312"/>
                <w:szCs w:val="24"/>
              </w:rPr>
            </w:pPr>
          </w:p>
        </w:tc>
        <w:tc>
          <w:tcPr>
            <w:tcW w:w="615" w:type="pct"/>
            <w:vAlign w:val="center"/>
          </w:tcPr>
          <w:p>
            <w:pPr>
              <w:wordWrap w:val="0"/>
              <w:spacing w:line="360" w:lineRule="auto"/>
              <w:jc w:val="center"/>
              <w:rPr>
                <w:rFonts w:cs="仿宋_GB2312"/>
                <w:szCs w:val="24"/>
              </w:rPr>
            </w:pPr>
          </w:p>
        </w:tc>
        <w:tc>
          <w:tcPr>
            <w:tcW w:w="297" w:type="pct"/>
            <w:vAlign w:val="center"/>
          </w:tcPr>
          <w:p>
            <w:pPr>
              <w:wordWrap w:val="0"/>
              <w:spacing w:line="360" w:lineRule="auto"/>
              <w:jc w:val="center"/>
              <w:rPr>
                <w:rFonts w:cs="仿宋_GB2312"/>
                <w:szCs w:val="24"/>
              </w:rPr>
            </w:pPr>
          </w:p>
        </w:tc>
        <w:tc>
          <w:tcPr>
            <w:tcW w:w="1122" w:type="pct"/>
            <w:vAlign w:val="center"/>
          </w:tcPr>
          <w:p>
            <w:pPr>
              <w:wordWrap w:val="0"/>
              <w:spacing w:line="360" w:lineRule="auto"/>
              <w:jc w:val="center"/>
              <w:rPr>
                <w:rFonts w:cs="仿宋_GB2312"/>
                <w:szCs w:val="24"/>
              </w:rPr>
            </w:pPr>
          </w:p>
        </w:tc>
        <w:tc>
          <w:tcPr>
            <w:tcW w:w="1376" w:type="pct"/>
            <w:vAlign w:val="center"/>
          </w:tcPr>
          <w:p>
            <w:pPr>
              <w:wordWrap w:val="0"/>
              <w:spacing w:line="360" w:lineRule="auto"/>
              <w:jc w:val="center"/>
              <w:rPr>
                <w:rFonts w:cs="仿宋_GB2312"/>
                <w:szCs w:val="24"/>
              </w:rPr>
            </w:pPr>
          </w:p>
        </w:tc>
        <w:tc>
          <w:tcPr>
            <w:tcW w:w="618" w:type="pct"/>
            <w:vAlign w:val="center"/>
          </w:tcPr>
          <w:p>
            <w:pPr>
              <w:wordWrap w:val="0"/>
              <w:spacing w:line="360" w:lineRule="auto"/>
              <w:jc w:val="center"/>
              <w:rPr>
                <w:rFonts w:cs="仿宋_GB2312"/>
                <w:szCs w:val="24"/>
              </w:rPr>
            </w:pPr>
          </w:p>
        </w:tc>
        <w:tc>
          <w:tcPr>
            <w:tcW w:w="688" w:type="pct"/>
            <w:vAlign w:val="center"/>
          </w:tcPr>
          <w:p>
            <w:pPr>
              <w:wordWrap w:val="0"/>
              <w:spacing w:line="360" w:lineRule="auto"/>
              <w:jc w:val="center"/>
              <w:rPr>
                <w:rFonts w:cs="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jc w:val="center"/>
        </w:trPr>
        <w:tc>
          <w:tcPr>
            <w:tcW w:w="284" w:type="pct"/>
            <w:vAlign w:val="center"/>
          </w:tcPr>
          <w:p>
            <w:pPr>
              <w:numPr>
                <w:ilvl w:val="0"/>
                <w:numId w:val="82"/>
              </w:numPr>
              <w:wordWrap w:val="0"/>
              <w:spacing w:line="360" w:lineRule="auto"/>
              <w:jc w:val="center"/>
              <w:rPr>
                <w:rFonts w:cs="仿宋_GB2312"/>
                <w:szCs w:val="24"/>
              </w:rPr>
            </w:pPr>
          </w:p>
        </w:tc>
        <w:tc>
          <w:tcPr>
            <w:tcW w:w="615" w:type="pct"/>
            <w:vAlign w:val="center"/>
          </w:tcPr>
          <w:p>
            <w:pPr>
              <w:wordWrap w:val="0"/>
              <w:spacing w:line="360" w:lineRule="auto"/>
              <w:jc w:val="center"/>
              <w:rPr>
                <w:rFonts w:cs="仿宋_GB2312"/>
                <w:szCs w:val="24"/>
              </w:rPr>
            </w:pPr>
          </w:p>
        </w:tc>
        <w:tc>
          <w:tcPr>
            <w:tcW w:w="297" w:type="pct"/>
            <w:vAlign w:val="center"/>
          </w:tcPr>
          <w:p>
            <w:pPr>
              <w:wordWrap w:val="0"/>
              <w:spacing w:line="360" w:lineRule="auto"/>
              <w:jc w:val="center"/>
              <w:rPr>
                <w:rFonts w:cs="仿宋_GB2312"/>
                <w:szCs w:val="24"/>
              </w:rPr>
            </w:pPr>
          </w:p>
        </w:tc>
        <w:tc>
          <w:tcPr>
            <w:tcW w:w="1122" w:type="pct"/>
            <w:vAlign w:val="center"/>
          </w:tcPr>
          <w:p>
            <w:pPr>
              <w:wordWrap w:val="0"/>
              <w:spacing w:line="360" w:lineRule="auto"/>
              <w:jc w:val="center"/>
              <w:rPr>
                <w:rFonts w:cs="仿宋_GB2312"/>
                <w:szCs w:val="24"/>
              </w:rPr>
            </w:pPr>
          </w:p>
        </w:tc>
        <w:tc>
          <w:tcPr>
            <w:tcW w:w="1376" w:type="pct"/>
            <w:vAlign w:val="center"/>
          </w:tcPr>
          <w:p>
            <w:pPr>
              <w:wordWrap w:val="0"/>
              <w:spacing w:line="360" w:lineRule="auto"/>
              <w:jc w:val="center"/>
              <w:rPr>
                <w:rFonts w:cs="仿宋_GB2312"/>
                <w:szCs w:val="24"/>
              </w:rPr>
            </w:pPr>
          </w:p>
        </w:tc>
        <w:tc>
          <w:tcPr>
            <w:tcW w:w="618" w:type="pct"/>
            <w:vAlign w:val="center"/>
          </w:tcPr>
          <w:p>
            <w:pPr>
              <w:wordWrap w:val="0"/>
              <w:spacing w:line="360" w:lineRule="auto"/>
              <w:jc w:val="center"/>
              <w:rPr>
                <w:rFonts w:cs="仿宋_GB2312"/>
                <w:szCs w:val="24"/>
              </w:rPr>
            </w:pPr>
          </w:p>
        </w:tc>
        <w:tc>
          <w:tcPr>
            <w:tcW w:w="688" w:type="pct"/>
            <w:vAlign w:val="center"/>
          </w:tcPr>
          <w:p>
            <w:pPr>
              <w:wordWrap w:val="0"/>
              <w:spacing w:line="360" w:lineRule="auto"/>
              <w:jc w:val="center"/>
              <w:rPr>
                <w:rFonts w:cs="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jc w:val="center"/>
        </w:trPr>
        <w:tc>
          <w:tcPr>
            <w:tcW w:w="284" w:type="pct"/>
            <w:vAlign w:val="center"/>
          </w:tcPr>
          <w:p>
            <w:pPr>
              <w:numPr>
                <w:ilvl w:val="0"/>
                <w:numId w:val="82"/>
              </w:numPr>
              <w:wordWrap w:val="0"/>
              <w:spacing w:line="360" w:lineRule="auto"/>
              <w:jc w:val="center"/>
              <w:rPr>
                <w:rFonts w:cs="仿宋_GB2312"/>
                <w:szCs w:val="24"/>
              </w:rPr>
            </w:pPr>
          </w:p>
        </w:tc>
        <w:tc>
          <w:tcPr>
            <w:tcW w:w="615" w:type="pct"/>
            <w:vAlign w:val="center"/>
          </w:tcPr>
          <w:p>
            <w:pPr>
              <w:wordWrap w:val="0"/>
              <w:spacing w:line="360" w:lineRule="auto"/>
              <w:jc w:val="center"/>
              <w:rPr>
                <w:rFonts w:cs="仿宋_GB2312"/>
                <w:szCs w:val="24"/>
              </w:rPr>
            </w:pPr>
          </w:p>
        </w:tc>
        <w:tc>
          <w:tcPr>
            <w:tcW w:w="297" w:type="pct"/>
            <w:vAlign w:val="center"/>
          </w:tcPr>
          <w:p>
            <w:pPr>
              <w:wordWrap w:val="0"/>
              <w:spacing w:line="360" w:lineRule="auto"/>
              <w:jc w:val="center"/>
              <w:rPr>
                <w:rFonts w:cs="仿宋_GB2312"/>
                <w:szCs w:val="24"/>
              </w:rPr>
            </w:pPr>
          </w:p>
        </w:tc>
        <w:tc>
          <w:tcPr>
            <w:tcW w:w="1122" w:type="pct"/>
            <w:vAlign w:val="center"/>
          </w:tcPr>
          <w:p>
            <w:pPr>
              <w:wordWrap w:val="0"/>
              <w:spacing w:line="360" w:lineRule="auto"/>
              <w:jc w:val="center"/>
              <w:rPr>
                <w:rFonts w:cs="仿宋_GB2312"/>
                <w:szCs w:val="24"/>
              </w:rPr>
            </w:pPr>
          </w:p>
        </w:tc>
        <w:tc>
          <w:tcPr>
            <w:tcW w:w="1376" w:type="pct"/>
            <w:vAlign w:val="center"/>
          </w:tcPr>
          <w:p>
            <w:pPr>
              <w:wordWrap w:val="0"/>
              <w:spacing w:line="360" w:lineRule="auto"/>
              <w:jc w:val="center"/>
              <w:rPr>
                <w:rFonts w:cs="仿宋_GB2312"/>
                <w:szCs w:val="24"/>
              </w:rPr>
            </w:pPr>
          </w:p>
        </w:tc>
        <w:tc>
          <w:tcPr>
            <w:tcW w:w="618" w:type="pct"/>
            <w:vAlign w:val="center"/>
          </w:tcPr>
          <w:p>
            <w:pPr>
              <w:wordWrap w:val="0"/>
              <w:spacing w:line="360" w:lineRule="auto"/>
              <w:jc w:val="center"/>
              <w:rPr>
                <w:rFonts w:cs="仿宋_GB2312"/>
                <w:szCs w:val="24"/>
              </w:rPr>
            </w:pPr>
          </w:p>
        </w:tc>
        <w:tc>
          <w:tcPr>
            <w:tcW w:w="688" w:type="pct"/>
            <w:vAlign w:val="center"/>
          </w:tcPr>
          <w:p>
            <w:pPr>
              <w:wordWrap w:val="0"/>
              <w:spacing w:line="360" w:lineRule="auto"/>
              <w:jc w:val="center"/>
              <w:rPr>
                <w:rFonts w:cs="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jc w:val="center"/>
        </w:trPr>
        <w:tc>
          <w:tcPr>
            <w:tcW w:w="284" w:type="pct"/>
            <w:vAlign w:val="center"/>
          </w:tcPr>
          <w:p>
            <w:pPr>
              <w:numPr>
                <w:ilvl w:val="0"/>
                <w:numId w:val="82"/>
              </w:numPr>
              <w:wordWrap w:val="0"/>
              <w:spacing w:line="360" w:lineRule="auto"/>
              <w:jc w:val="center"/>
              <w:rPr>
                <w:rFonts w:cs="仿宋_GB2312"/>
                <w:szCs w:val="24"/>
              </w:rPr>
            </w:pPr>
          </w:p>
        </w:tc>
        <w:tc>
          <w:tcPr>
            <w:tcW w:w="615" w:type="pct"/>
            <w:vAlign w:val="center"/>
          </w:tcPr>
          <w:p>
            <w:pPr>
              <w:wordWrap w:val="0"/>
              <w:spacing w:line="360" w:lineRule="auto"/>
              <w:jc w:val="center"/>
              <w:rPr>
                <w:rFonts w:cs="仿宋_GB2312"/>
                <w:szCs w:val="24"/>
              </w:rPr>
            </w:pPr>
          </w:p>
        </w:tc>
        <w:tc>
          <w:tcPr>
            <w:tcW w:w="297" w:type="pct"/>
            <w:vAlign w:val="center"/>
          </w:tcPr>
          <w:p>
            <w:pPr>
              <w:wordWrap w:val="0"/>
              <w:spacing w:line="360" w:lineRule="auto"/>
              <w:jc w:val="center"/>
              <w:rPr>
                <w:rFonts w:cs="仿宋_GB2312"/>
                <w:szCs w:val="24"/>
              </w:rPr>
            </w:pPr>
          </w:p>
        </w:tc>
        <w:tc>
          <w:tcPr>
            <w:tcW w:w="1122" w:type="pct"/>
            <w:vAlign w:val="center"/>
          </w:tcPr>
          <w:p>
            <w:pPr>
              <w:wordWrap w:val="0"/>
              <w:spacing w:line="360" w:lineRule="auto"/>
              <w:jc w:val="center"/>
              <w:rPr>
                <w:rFonts w:cs="仿宋_GB2312"/>
                <w:szCs w:val="24"/>
              </w:rPr>
            </w:pPr>
          </w:p>
        </w:tc>
        <w:tc>
          <w:tcPr>
            <w:tcW w:w="1376" w:type="pct"/>
            <w:vAlign w:val="center"/>
          </w:tcPr>
          <w:p>
            <w:pPr>
              <w:wordWrap w:val="0"/>
              <w:spacing w:line="360" w:lineRule="auto"/>
              <w:jc w:val="center"/>
              <w:rPr>
                <w:rFonts w:cs="仿宋_GB2312"/>
                <w:szCs w:val="24"/>
              </w:rPr>
            </w:pPr>
          </w:p>
        </w:tc>
        <w:tc>
          <w:tcPr>
            <w:tcW w:w="618" w:type="pct"/>
            <w:vAlign w:val="center"/>
          </w:tcPr>
          <w:p>
            <w:pPr>
              <w:wordWrap w:val="0"/>
              <w:spacing w:line="360" w:lineRule="auto"/>
              <w:jc w:val="center"/>
              <w:rPr>
                <w:rFonts w:cs="仿宋_GB2312"/>
                <w:szCs w:val="24"/>
              </w:rPr>
            </w:pPr>
          </w:p>
        </w:tc>
        <w:tc>
          <w:tcPr>
            <w:tcW w:w="688" w:type="pct"/>
            <w:vAlign w:val="center"/>
          </w:tcPr>
          <w:p>
            <w:pPr>
              <w:wordWrap w:val="0"/>
              <w:spacing w:line="360" w:lineRule="auto"/>
              <w:jc w:val="center"/>
              <w:rPr>
                <w:rFonts w:cs="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jc w:val="center"/>
        </w:trPr>
        <w:tc>
          <w:tcPr>
            <w:tcW w:w="284" w:type="pct"/>
            <w:vAlign w:val="center"/>
          </w:tcPr>
          <w:p>
            <w:pPr>
              <w:wordWrap w:val="0"/>
              <w:spacing w:line="360" w:lineRule="auto"/>
              <w:jc w:val="center"/>
              <w:rPr>
                <w:rFonts w:cs="仿宋_GB2312"/>
                <w:szCs w:val="24"/>
              </w:rPr>
            </w:pPr>
            <w:r>
              <w:rPr>
                <w:rFonts w:hint="eastAsia" w:cs="仿宋_GB2312"/>
                <w:szCs w:val="24"/>
              </w:rPr>
              <w:t>…</w:t>
            </w:r>
          </w:p>
        </w:tc>
        <w:tc>
          <w:tcPr>
            <w:tcW w:w="615" w:type="pct"/>
            <w:vAlign w:val="center"/>
          </w:tcPr>
          <w:p>
            <w:pPr>
              <w:wordWrap w:val="0"/>
              <w:spacing w:line="360" w:lineRule="auto"/>
              <w:jc w:val="center"/>
              <w:rPr>
                <w:rFonts w:cs="仿宋_GB2312"/>
                <w:szCs w:val="24"/>
              </w:rPr>
            </w:pPr>
            <w:r>
              <w:rPr>
                <w:rFonts w:hint="eastAsia" w:cs="宋体"/>
                <w:szCs w:val="24"/>
              </w:rPr>
              <w:t>……</w:t>
            </w:r>
          </w:p>
        </w:tc>
        <w:tc>
          <w:tcPr>
            <w:tcW w:w="297" w:type="pct"/>
            <w:vAlign w:val="center"/>
          </w:tcPr>
          <w:p>
            <w:pPr>
              <w:wordWrap w:val="0"/>
              <w:spacing w:line="360" w:lineRule="auto"/>
              <w:jc w:val="center"/>
              <w:rPr>
                <w:rFonts w:cs="仿宋_GB2312"/>
                <w:szCs w:val="24"/>
              </w:rPr>
            </w:pPr>
            <w:r>
              <w:rPr>
                <w:rFonts w:hint="eastAsia" w:cs="宋体"/>
                <w:szCs w:val="24"/>
              </w:rPr>
              <w:t>……</w:t>
            </w:r>
          </w:p>
        </w:tc>
        <w:tc>
          <w:tcPr>
            <w:tcW w:w="1122" w:type="pct"/>
            <w:vAlign w:val="center"/>
          </w:tcPr>
          <w:p>
            <w:pPr>
              <w:wordWrap w:val="0"/>
              <w:spacing w:line="360" w:lineRule="auto"/>
              <w:jc w:val="center"/>
              <w:rPr>
                <w:rFonts w:cs="仿宋_GB2312"/>
                <w:szCs w:val="24"/>
              </w:rPr>
            </w:pPr>
            <w:r>
              <w:rPr>
                <w:rFonts w:hint="eastAsia" w:cs="宋体"/>
                <w:szCs w:val="24"/>
              </w:rPr>
              <w:t>……</w:t>
            </w:r>
          </w:p>
        </w:tc>
        <w:tc>
          <w:tcPr>
            <w:tcW w:w="1376" w:type="pct"/>
            <w:vAlign w:val="center"/>
          </w:tcPr>
          <w:p>
            <w:pPr>
              <w:wordWrap w:val="0"/>
              <w:spacing w:line="360" w:lineRule="auto"/>
              <w:jc w:val="center"/>
              <w:rPr>
                <w:rFonts w:cs="仿宋_GB2312"/>
                <w:szCs w:val="24"/>
              </w:rPr>
            </w:pPr>
            <w:r>
              <w:rPr>
                <w:rFonts w:hint="eastAsia" w:cs="宋体"/>
                <w:szCs w:val="24"/>
              </w:rPr>
              <w:t>……</w:t>
            </w:r>
          </w:p>
        </w:tc>
        <w:tc>
          <w:tcPr>
            <w:tcW w:w="618" w:type="pct"/>
            <w:vAlign w:val="center"/>
          </w:tcPr>
          <w:p>
            <w:pPr>
              <w:wordWrap w:val="0"/>
              <w:spacing w:line="360" w:lineRule="auto"/>
              <w:jc w:val="center"/>
              <w:rPr>
                <w:rFonts w:cs="仿宋_GB2312"/>
                <w:szCs w:val="24"/>
              </w:rPr>
            </w:pPr>
            <w:r>
              <w:rPr>
                <w:rFonts w:hint="eastAsia" w:cs="宋体"/>
                <w:szCs w:val="24"/>
              </w:rPr>
              <w:t>……</w:t>
            </w:r>
          </w:p>
        </w:tc>
        <w:tc>
          <w:tcPr>
            <w:tcW w:w="688" w:type="pct"/>
            <w:vAlign w:val="center"/>
          </w:tcPr>
          <w:p>
            <w:pPr>
              <w:wordWrap w:val="0"/>
              <w:spacing w:line="360" w:lineRule="auto"/>
              <w:jc w:val="center"/>
              <w:rPr>
                <w:rFonts w:cs="仿宋_GB2312"/>
                <w:szCs w:val="24"/>
              </w:rPr>
            </w:pPr>
            <w:r>
              <w:rPr>
                <w:rFonts w:hint="eastAsia" w:cs="宋体"/>
                <w:szCs w:val="24"/>
              </w:rPr>
              <w:t>……</w:t>
            </w:r>
          </w:p>
        </w:tc>
      </w:tr>
    </w:tbl>
    <w:p>
      <w:pPr>
        <w:wordWrap w:val="0"/>
        <w:spacing w:line="360" w:lineRule="auto"/>
        <w:ind w:left="1132" w:hanging="1132" w:hangingChars="470"/>
        <w:jc w:val="left"/>
        <w:rPr>
          <w:rFonts w:cs="Corbel"/>
          <w:szCs w:val="24"/>
        </w:rPr>
      </w:pPr>
      <w:r>
        <w:rPr>
          <w:rFonts w:hint="eastAsia" w:cs="Corbel"/>
          <w:b/>
          <w:szCs w:val="24"/>
        </w:rPr>
        <w:t>说明：</w:t>
      </w:r>
      <w:r>
        <w:rPr>
          <w:rFonts w:hint="eastAsia" w:cs="Corbel"/>
          <w:szCs w:val="24"/>
        </w:rPr>
        <w:t>1.应按招标文件“第五章 评标办法”中“商务评分”的评分标准逐项在“投标文件响应的内容”栏中进行响应说明，并在“偏离说明”栏中注明是否偏离，如有偏离,投标人应详细说明。未按照要求填写此表或在“投标文件响应的内容”栏中仅注明“符合”、“满足”的，导致的后果由投标人自行承担</w:t>
      </w:r>
      <w:r>
        <w:rPr>
          <w:rFonts w:hint="eastAsia"/>
          <w:szCs w:val="24"/>
        </w:rPr>
        <w:t>。</w:t>
      </w:r>
    </w:p>
    <w:p>
      <w:pPr>
        <w:wordWrap w:val="0"/>
        <w:spacing w:line="360" w:lineRule="auto"/>
        <w:ind w:left="1132" w:leftChars="296" w:hanging="422" w:hangingChars="176"/>
        <w:jc w:val="left"/>
        <w:rPr>
          <w:szCs w:val="24"/>
        </w:rPr>
      </w:pPr>
      <w:r>
        <w:rPr>
          <w:rFonts w:hint="eastAsia"/>
          <w:szCs w:val="24"/>
        </w:rPr>
        <w:t>2.应将对应响应内容的页码（多页的，起码和止码）填写到上表“投标文件对应页码”栏中。未提供准确页码或页码与对应内容不一致的，导致的后果由投标人自行承担。</w:t>
      </w:r>
    </w:p>
    <w:p>
      <w:pPr>
        <w:wordWrap w:val="0"/>
        <w:spacing w:before="100" w:beforeAutospacing="1" w:after="100" w:afterAutospacing="1" w:line="360" w:lineRule="auto"/>
        <w:ind w:firstLine="3316" w:firstLineChars="1382"/>
        <w:rPr>
          <w:bCs/>
          <w:u w:val="single"/>
        </w:rPr>
      </w:pPr>
      <w:r>
        <w:rPr>
          <w:rFonts w:hint="eastAsia"/>
          <w:bCs/>
        </w:rPr>
        <w:t>投标人（公章）：</w:t>
      </w:r>
      <w:r>
        <w:rPr>
          <w:rFonts w:hint="eastAsia"/>
          <w:bCs/>
          <w:u w:val="single"/>
        </w:rPr>
        <w:t xml:space="preserve">                          </w:t>
      </w:r>
    </w:p>
    <w:p>
      <w:pPr>
        <w:wordWrap w:val="0"/>
        <w:spacing w:before="100" w:beforeAutospacing="1" w:after="100" w:afterAutospacing="1" w:line="360" w:lineRule="auto"/>
        <w:ind w:firstLine="3316" w:firstLineChars="1382"/>
        <w:rPr>
          <w:bCs/>
        </w:rPr>
      </w:pPr>
      <w:r>
        <w:rPr>
          <w:rFonts w:hint="eastAsia"/>
          <w:szCs w:val="24"/>
        </w:rPr>
        <w:t>日   期：</w:t>
      </w:r>
      <w:r>
        <w:rPr>
          <w:rFonts w:hint="eastAsia"/>
          <w:bCs/>
          <w:u w:val="single"/>
        </w:rPr>
        <w:t xml:space="preserve">                               </w:t>
      </w:r>
    </w:p>
    <w:p>
      <w:pPr>
        <w:pStyle w:val="3"/>
        <w:numPr>
          <w:ilvl w:val="0"/>
          <w:numId w:val="79"/>
        </w:numPr>
        <w:wordWrap w:val="0"/>
        <w:spacing w:before="40" w:after="40" w:line="360" w:lineRule="auto"/>
        <w:ind w:left="1285" w:hanging="1285" w:hangingChars="400"/>
        <w:jc w:val="left"/>
        <w:rPr>
          <w:rFonts w:ascii="宋体" w:hAnsi="宋体" w:eastAsia="宋体" w:cs="Times New Roman"/>
          <w:bCs w:val="0"/>
        </w:rPr>
        <w:sectPr>
          <w:pgSz w:w="11906" w:h="16838"/>
          <w:pgMar w:top="1134" w:right="1191" w:bottom="1134" w:left="1191" w:header="851" w:footer="992" w:gutter="0"/>
          <w:pgBorders>
            <w:top w:val="none" w:sz="0" w:space="0"/>
            <w:left w:val="none" w:sz="0" w:space="0"/>
            <w:bottom w:val="none" w:sz="0" w:space="0"/>
            <w:right w:val="none" w:sz="0" w:space="0"/>
          </w:pgBorders>
          <w:cols w:space="425" w:num="1"/>
          <w:docGrid w:type="lines" w:linePitch="312" w:charSpace="0"/>
        </w:sectPr>
      </w:pPr>
    </w:p>
    <w:p>
      <w:pPr>
        <w:pStyle w:val="3"/>
        <w:numPr>
          <w:ilvl w:val="0"/>
          <w:numId w:val="77"/>
        </w:numPr>
        <w:tabs>
          <w:tab w:val="left" w:pos="567"/>
        </w:tabs>
        <w:spacing w:line="360" w:lineRule="auto"/>
        <w:ind w:left="482" w:hanging="482" w:hangingChars="200"/>
        <w:jc w:val="left"/>
        <w:rPr>
          <w:rFonts w:ascii="宋体" w:hAnsi="宋体" w:eastAsia="宋体"/>
          <w:sz w:val="24"/>
          <w:szCs w:val="24"/>
        </w:rPr>
      </w:pPr>
      <w:bookmarkStart w:id="697" w:name="_Toc117244389"/>
      <w:bookmarkStart w:id="698" w:name="_Toc26301"/>
      <w:bookmarkStart w:id="699" w:name="_Toc117244504"/>
      <w:bookmarkStart w:id="700" w:name="_Toc107561318"/>
      <w:bookmarkStart w:id="701" w:name="_Toc8414"/>
      <w:bookmarkStart w:id="702" w:name="_Toc107561309"/>
      <w:r>
        <w:rPr>
          <w:rFonts w:hint="eastAsia" w:ascii="宋体" w:hAnsi="宋体" w:eastAsia="宋体"/>
          <w:sz w:val="24"/>
          <w:szCs w:val="24"/>
        </w:rPr>
        <w:t>技术评分对照表</w:t>
      </w:r>
      <w:bookmarkEnd w:id="697"/>
      <w:bookmarkEnd w:id="698"/>
      <w:bookmarkEnd w:id="699"/>
      <w:bookmarkEnd w:id="700"/>
      <w:bookmarkEnd w:id="701"/>
    </w:p>
    <w:p>
      <w:pPr>
        <w:wordWrap w:val="0"/>
        <w:spacing w:line="360" w:lineRule="auto"/>
        <w:jc w:val="left"/>
        <w:rPr>
          <w:b/>
        </w:rPr>
      </w:pPr>
      <w:r>
        <w:rPr>
          <w:rFonts w:hint="eastAsia"/>
          <w:b/>
        </w:rPr>
        <w:t>投 标 人：</w:t>
      </w:r>
      <w:r>
        <w:rPr>
          <w:rFonts w:hint="eastAsia"/>
          <w:b/>
          <w:szCs w:val="21"/>
          <w:u w:val="single"/>
          <w:lang w:val="zh-CN"/>
        </w:rPr>
        <w:t xml:space="preserve">                     </w:t>
      </w:r>
      <w:r>
        <w:rPr>
          <w:rFonts w:hint="eastAsia"/>
          <w:b/>
          <w:szCs w:val="21"/>
          <w:lang w:val="zh-CN"/>
        </w:rPr>
        <w:t xml:space="preserve"> </w:t>
      </w:r>
    </w:p>
    <w:p>
      <w:pPr>
        <w:wordWrap w:val="0"/>
        <w:spacing w:line="360" w:lineRule="auto"/>
        <w:jc w:val="left"/>
        <w:rPr>
          <w:b/>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w:t>
      </w:r>
      <w:r>
        <w:rPr>
          <w:b/>
          <w:bCs/>
          <w:szCs w:val="21"/>
          <w:lang w:val="zh-CN"/>
        </w:rPr>
        <w:t xml:space="preserve">         </w:t>
      </w:r>
      <w:r>
        <w:rPr>
          <w:rFonts w:hint="eastAsia"/>
          <w:b/>
          <w:bCs/>
          <w:szCs w:val="21"/>
          <w:lang w:val="zh-CN"/>
        </w:rPr>
        <w:t>包号：</w:t>
      </w:r>
      <w:r>
        <w:rPr>
          <w:rFonts w:hint="eastAsia"/>
          <w:b/>
          <w:bCs/>
          <w:szCs w:val="21"/>
          <w:u w:val="single"/>
          <w:lang w:val="zh-CN"/>
        </w:rPr>
        <w:t xml:space="preserve">           </w:t>
      </w:r>
    </w:p>
    <w:tbl>
      <w:tblPr>
        <w:tblStyle w:val="29"/>
        <w:tblW w:w="4979"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98"/>
        <w:gridCol w:w="1175"/>
        <w:gridCol w:w="696"/>
        <w:gridCol w:w="2506"/>
        <w:gridCol w:w="2505"/>
        <w:gridCol w:w="1123"/>
        <w:gridCol w:w="1096"/>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6" w:hRule="atLeast"/>
          <w:jc w:val="center"/>
        </w:trPr>
        <w:tc>
          <w:tcPr>
            <w:tcW w:w="4908" w:type="dxa"/>
            <w:gridSpan w:val="4"/>
            <w:tcBorders>
              <w:bottom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招标文件技术评分内容</w:t>
            </w:r>
          </w:p>
        </w:tc>
        <w:tc>
          <w:tcPr>
            <w:tcW w:w="2551" w:type="dxa"/>
            <w:vMerge w:val="restart"/>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投标文件响应的内容</w:t>
            </w:r>
          </w:p>
        </w:tc>
        <w:tc>
          <w:tcPr>
            <w:tcW w:w="1134" w:type="dxa"/>
            <w:vMerge w:val="restart"/>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偏离说明</w:t>
            </w:r>
          </w:p>
        </w:tc>
        <w:tc>
          <w:tcPr>
            <w:tcW w:w="1106" w:type="dxa"/>
            <w:vMerge w:val="restart"/>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投标文件对应页码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1" w:hRule="atLeast"/>
          <w:jc w:val="center"/>
        </w:trPr>
        <w:tc>
          <w:tcPr>
            <w:tcW w:w="602" w:type="dxa"/>
            <w:tcBorders>
              <w:top w:val="single" w:color="auto" w:sz="4" w:space="0"/>
              <w:bottom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120" w:leftChars="-50" w:right="-120" w:rightChars="-50"/>
              <w:jc w:val="center"/>
              <w:rPr>
                <w:rFonts w:cs="仿宋_GB2312"/>
                <w:szCs w:val="24"/>
              </w:rPr>
            </w:pPr>
            <w:r>
              <w:rPr>
                <w:rFonts w:hint="eastAsia" w:cs="仿宋_GB2312"/>
                <w:szCs w:val="24"/>
              </w:rPr>
              <w:t>序号</w:t>
            </w:r>
          </w:p>
        </w:tc>
        <w:tc>
          <w:tcPr>
            <w:tcW w:w="1187" w:type="dxa"/>
            <w:tcBorders>
              <w:top w:val="single" w:color="auto" w:sz="4" w:space="0"/>
              <w:bottom w:val="single" w:color="auto" w:sz="4" w:space="0"/>
              <w:right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评审因素</w:t>
            </w:r>
          </w:p>
        </w:tc>
        <w:tc>
          <w:tcPr>
            <w:tcW w:w="567" w:type="dxa"/>
            <w:tcBorders>
              <w:top w:val="single" w:color="auto" w:sz="4" w:space="0"/>
              <w:left w:val="single" w:color="auto" w:sz="4" w:space="0"/>
              <w:bottom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分值</w:t>
            </w:r>
          </w:p>
        </w:tc>
        <w:tc>
          <w:tcPr>
            <w:tcW w:w="2552" w:type="dxa"/>
            <w:tcBorders>
              <w:top w:val="single" w:color="auto" w:sz="4" w:space="0"/>
              <w:left w:val="single" w:color="auto" w:sz="4" w:space="0"/>
              <w:bottom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评分标准</w:t>
            </w:r>
          </w:p>
        </w:tc>
        <w:tc>
          <w:tcPr>
            <w:tcW w:w="2551" w:type="dxa"/>
            <w:vMerge w:val="continue"/>
            <w:tcBorders>
              <w:bottom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p>
        </w:tc>
        <w:tc>
          <w:tcPr>
            <w:tcW w:w="1134" w:type="dxa"/>
            <w:vMerge w:val="continue"/>
            <w:tcBorders>
              <w:bottom w:val="single" w:color="auto" w:sz="4" w:space="0"/>
            </w:tcBorders>
            <w:shd w:val="pct10" w:color="C3BD96" w:themeColor="background2" w:themeShade="BF" w:fill="DDD9C4" w:themeFill="background2" w:themeFillShade="E6"/>
            <w:vAlign w:val="center"/>
          </w:tcPr>
          <w:p>
            <w:pPr>
              <w:wordWrap w:val="0"/>
              <w:spacing w:before="100" w:beforeAutospacing="1" w:after="100" w:afterAutospacing="1" w:line="360" w:lineRule="auto"/>
              <w:ind w:left="-60" w:leftChars="-25" w:right="-60" w:rightChars="-25"/>
              <w:jc w:val="center"/>
              <w:rPr>
                <w:rFonts w:cs="仿宋_GB2312"/>
                <w:szCs w:val="24"/>
              </w:rPr>
            </w:pPr>
          </w:p>
        </w:tc>
        <w:tc>
          <w:tcPr>
            <w:tcW w:w="1106" w:type="dxa"/>
            <w:vMerge w:val="continue"/>
            <w:tcBorders>
              <w:bottom w:val="single" w:color="auto" w:sz="4" w:space="0"/>
            </w:tcBorders>
            <w:shd w:val="pct10" w:color="C3BD96" w:themeColor="background2" w:themeShade="BF" w:fill="DDD9C4" w:themeFill="background2" w:themeFillShade="E6"/>
          </w:tcPr>
          <w:p>
            <w:pPr>
              <w:wordWrap w:val="0"/>
              <w:spacing w:before="100" w:beforeAutospacing="1" w:after="100" w:afterAutospacing="1" w:line="360" w:lineRule="auto"/>
              <w:ind w:left="-60" w:leftChars="-25" w:right="-60" w:rightChars="-25"/>
              <w:jc w:val="center"/>
              <w:rPr>
                <w:rFonts w:cs="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602" w:type="dxa"/>
            <w:tcBorders>
              <w:top w:val="single" w:color="auto" w:sz="4" w:space="0"/>
            </w:tcBorders>
            <w:vAlign w:val="center"/>
          </w:tcPr>
          <w:p>
            <w:pPr>
              <w:numPr>
                <w:ilvl w:val="0"/>
                <w:numId w:val="83"/>
              </w:numPr>
              <w:wordWrap w:val="0"/>
              <w:spacing w:line="360" w:lineRule="auto"/>
              <w:jc w:val="center"/>
              <w:rPr>
                <w:rFonts w:cs="仿宋_GB2312"/>
                <w:szCs w:val="24"/>
              </w:rPr>
            </w:pPr>
          </w:p>
        </w:tc>
        <w:tc>
          <w:tcPr>
            <w:tcW w:w="1187" w:type="dxa"/>
            <w:tcBorders>
              <w:top w:val="single" w:color="auto" w:sz="4" w:space="0"/>
            </w:tcBorders>
            <w:vAlign w:val="center"/>
          </w:tcPr>
          <w:p>
            <w:pPr>
              <w:wordWrap w:val="0"/>
              <w:spacing w:line="360" w:lineRule="auto"/>
              <w:jc w:val="center"/>
              <w:rPr>
                <w:rFonts w:cs="仿宋_GB2312"/>
                <w:szCs w:val="24"/>
              </w:rPr>
            </w:pPr>
          </w:p>
        </w:tc>
        <w:tc>
          <w:tcPr>
            <w:tcW w:w="567" w:type="dxa"/>
            <w:tcBorders>
              <w:top w:val="single" w:color="auto" w:sz="4" w:space="0"/>
            </w:tcBorders>
            <w:vAlign w:val="center"/>
          </w:tcPr>
          <w:p>
            <w:pPr>
              <w:wordWrap w:val="0"/>
              <w:spacing w:line="360" w:lineRule="auto"/>
              <w:jc w:val="center"/>
              <w:rPr>
                <w:rFonts w:cs="仿宋_GB2312"/>
                <w:szCs w:val="24"/>
              </w:rPr>
            </w:pPr>
          </w:p>
        </w:tc>
        <w:tc>
          <w:tcPr>
            <w:tcW w:w="2552" w:type="dxa"/>
            <w:tcBorders>
              <w:top w:val="single" w:color="auto" w:sz="4" w:space="0"/>
            </w:tcBorders>
            <w:vAlign w:val="center"/>
          </w:tcPr>
          <w:p>
            <w:pPr>
              <w:wordWrap w:val="0"/>
              <w:spacing w:line="360" w:lineRule="auto"/>
              <w:jc w:val="center"/>
              <w:rPr>
                <w:rFonts w:cs="仿宋_GB2312"/>
                <w:szCs w:val="24"/>
              </w:rPr>
            </w:pPr>
          </w:p>
        </w:tc>
        <w:tc>
          <w:tcPr>
            <w:tcW w:w="2551" w:type="dxa"/>
            <w:tcBorders>
              <w:top w:val="single" w:color="auto" w:sz="4" w:space="0"/>
            </w:tcBorders>
            <w:vAlign w:val="center"/>
          </w:tcPr>
          <w:p>
            <w:pPr>
              <w:wordWrap w:val="0"/>
              <w:spacing w:line="360" w:lineRule="auto"/>
              <w:jc w:val="center"/>
              <w:rPr>
                <w:rFonts w:cs="仿宋_GB2312"/>
                <w:szCs w:val="24"/>
              </w:rPr>
            </w:pPr>
          </w:p>
        </w:tc>
        <w:tc>
          <w:tcPr>
            <w:tcW w:w="1134" w:type="dxa"/>
            <w:tcBorders>
              <w:top w:val="single" w:color="auto" w:sz="4" w:space="0"/>
            </w:tcBorders>
            <w:vAlign w:val="center"/>
          </w:tcPr>
          <w:p>
            <w:pPr>
              <w:wordWrap w:val="0"/>
              <w:spacing w:line="360" w:lineRule="auto"/>
              <w:jc w:val="center"/>
              <w:rPr>
                <w:rFonts w:cs="仿宋_GB2312"/>
                <w:szCs w:val="24"/>
              </w:rPr>
            </w:pPr>
          </w:p>
        </w:tc>
        <w:tc>
          <w:tcPr>
            <w:tcW w:w="1106" w:type="dxa"/>
            <w:tcBorders>
              <w:top w:val="single" w:color="auto" w:sz="4" w:space="0"/>
            </w:tcBorders>
            <w:vAlign w:val="center"/>
          </w:tcPr>
          <w:p>
            <w:pPr>
              <w:wordWrap w:val="0"/>
              <w:spacing w:line="360" w:lineRule="auto"/>
              <w:jc w:val="center"/>
              <w:rPr>
                <w:rFonts w:cs="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602" w:type="dxa"/>
            <w:vAlign w:val="center"/>
          </w:tcPr>
          <w:p>
            <w:pPr>
              <w:numPr>
                <w:ilvl w:val="0"/>
                <w:numId w:val="83"/>
              </w:numPr>
              <w:wordWrap w:val="0"/>
              <w:spacing w:line="360" w:lineRule="auto"/>
              <w:jc w:val="center"/>
              <w:rPr>
                <w:rFonts w:cs="仿宋_GB2312"/>
                <w:szCs w:val="24"/>
              </w:rPr>
            </w:pPr>
          </w:p>
        </w:tc>
        <w:tc>
          <w:tcPr>
            <w:tcW w:w="1187" w:type="dxa"/>
            <w:vAlign w:val="center"/>
          </w:tcPr>
          <w:p>
            <w:pPr>
              <w:wordWrap w:val="0"/>
              <w:spacing w:line="360" w:lineRule="auto"/>
              <w:jc w:val="center"/>
              <w:rPr>
                <w:rFonts w:cs="仿宋_GB2312"/>
                <w:szCs w:val="24"/>
              </w:rPr>
            </w:pPr>
          </w:p>
        </w:tc>
        <w:tc>
          <w:tcPr>
            <w:tcW w:w="567" w:type="dxa"/>
            <w:vAlign w:val="center"/>
          </w:tcPr>
          <w:p>
            <w:pPr>
              <w:wordWrap w:val="0"/>
              <w:spacing w:line="360" w:lineRule="auto"/>
              <w:jc w:val="center"/>
              <w:rPr>
                <w:rFonts w:cs="仿宋_GB2312"/>
                <w:szCs w:val="24"/>
              </w:rPr>
            </w:pPr>
          </w:p>
        </w:tc>
        <w:tc>
          <w:tcPr>
            <w:tcW w:w="2552" w:type="dxa"/>
            <w:vAlign w:val="center"/>
          </w:tcPr>
          <w:p>
            <w:pPr>
              <w:wordWrap w:val="0"/>
              <w:spacing w:line="360" w:lineRule="auto"/>
              <w:jc w:val="center"/>
              <w:rPr>
                <w:rFonts w:cs="仿宋_GB2312"/>
                <w:szCs w:val="24"/>
              </w:rPr>
            </w:pPr>
          </w:p>
        </w:tc>
        <w:tc>
          <w:tcPr>
            <w:tcW w:w="2551" w:type="dxa"/>
            <w:vAlign w:val="center"/>
          </w:tcPr>
          <w:p>
            <w:pPr>
              <w:wordWrap w:val="0"/>
              <w:spacing w:line="360" w:lineRule="auto"/>
              <w:jc w:val="center"/>
              <w:rPr>
                <w:rFonts w:cs="仿宋_GB2312"/>
                <w:szCs w:val="24"/>
              </w:rPr>
            </w:pPr>
          </w:p>
        </w:tc>
        <w:tc>
          <w:tcPr>
            <w:tcW w:w="1134" w:type="dxa"/>
            <w:vAlign w:val="center"/>
          </w:tcPr>
          <w:p>
            <w:pPr>
              <w:wordWrap w:val="0"/>
              <w:spacing w:line="360" w:lineRule="auto"/>
              <w:jc w:val="center"/>
              <w:rPr>
                <w:rFonts w:cs="仿宋_GB2312"/>
                <w:szCs w:val="24"/>
              </w:rPr>
            </w:pPr>
          </w:p>
        </w:tc>
        <w:tc>
          <w:tcPr>
            <w:tcW w:w="1106" w:type="dxa"/>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2" w:hRule="atLeast"/>
          <w:jc w:val="center"/>
        </w:trPr>
        <w:tc>
          <w:tcPr>
            <w:tcW w:w="602" w:type="dxa"/>
            <w:vAlign w:val="center"/>
          </w:tcPr>
          <w:p>
            <w:pPr>
              <w:numPr>
                <w:ilvl w:val="0"/>
                <w:numId w:val="83"/>
              </w:numPr>
              <w:wordWrap w:val="0"/>
              <w:spacing w:line="360" w:lineRule="auto"/>
              <w:jc w:val="center"/>
              <w:rPr>
                <w:rFonts w:cs="仿宋_GB2312"/>
                <w:szCs w:val="24"/>
              </w:rPr>
            </w:pPr>
          </w:p>
        </w:tc>
        <w:tc>
          <w:tcPr>
            <w:tcW w:w="1187" w:type="dxa"/>
            <w:tcBorders>
              <w:right w:val="single" w:color="auto" w:sz="4" w:space="0"/>
            </w:tcBorders>
            <w:vAlign w:val="center"/>
          </w:tcPr>
          <w:p>
            <w:pPr>
              <w:wordWrap w:val="0"/>
              <w:spacing w:line="360" w:lineRule="auto"/>
              <w:jc w:val="left"/>
              <w:rPr>
                <w:rFonts w:cs="仿宋_GB2312"/>
                <w:szCs w:val="24"/>
              </w:rPr>
            </w:pPr>
          </w:p>
        </w:tc>
        <w:tc>
          <w:tcPr>
            <w:tcW w:w="567" w:type="dxa"/>
            <w:tcBorders>
              <w:left w:val="single" w:color="auto" w:sz="4" w:space="0"/>
            </w:tcBorders>
            <w:vAlign w:val="center"/>
          </w:tcPr>
          <w:p>
            <w:pPr>
              <w:wordWrap w:val="0"/>
              <w:spacing w:line="360" w:lineRule="auto"/>
              <w:jc w:val="left"/>
              <w:rPr>
                <w:rFonts w:cs="仿宋_GB2312"/>
                <w:szCs w:val="24"/>
              </w:rPr>
            </w:pPr>
          </w:p>
        </w:tc>
        <w:tc>
          <w:tcPr>
            <w:tcW w:w="2552" w:type="dxa"/>
            <w:tcBorders>
              <w:left w:val="single" w:color="auto" w:sz="4" w:space="0"/>
            </w:tcBorders>
            <w:vAlign w:val="center"/>
          </w:tcPr>
          <w:p>
            <w:pPr>
              <w:wordWrap w:val="0"/>
              <w:spacing w:line="360" w:lineRule="auto"/>
              <w:jc w:val="left"/>
              <w:rPr>
                <w:rFonts w:cs="仿宋_GB2312"/>
                <w:szCs w:val="24"/>
              </w:rPr>
            </w:pPr>
          </w:p>
        </w:tc>
        <w:tc>
          <w:tcPr>
            <w:tcW w:w="2551" w:type="dxa"/>
            <w:vAlign w:val="center"/>
          </w:tcPr>
          <w:p>
            <w:pPr>
              <w:wordWrap w:val="0"/>
              <w:spacing w:line="360" w:lineRule="auto"/>
              <w:jc w:val="left"/>
              <w:rPr>
                <w:rFonts w:cs="仿宋_GB2312"/>
                <w:szCs w:val="24"/>
              </w:rPr>
            </w:pPr>
          </w:p>
        </w:tc>
        <w:tc>
          <w:tcPr>
            <w:tcW w:w="1134" w:type="dxa"/>
            <w:vAlign w:val="center"/>
          </w:tcPr>
          <w:p>
            <w:pPr>
              <w:wordWrap w:val="0"/>
              <w:spacing w:line="360" w:lineRule="auto"/>
              <w:jc w:val="center"/>
              <w:rPr>
                <w:rFonts w:cs="仿宋_GB2312"/>
                <w:szCs w:val="24"/>
              </w:rPr>
            </w:pPr>
          </w:p>
        </w:tc>
        <w:tc>
          <w:tcPr>
            <w:tcW w:w="1106" w:type="dxa"/>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2" w:hRule="atLeast"/>
          <w:jc w:val="center"/>
        </w:trPr>
        <w:tc>
          <w:tcPr>
            <w:tcW w:w="602" w:type="dxa"/>
            <w:vAlign w:val="center"/>
          </w:tcPr>
          <w:p>
            <w:pPr>
              <w:numPr>
                <w:ilvl w:val="0"/>
                <w:numId w:val="83"/>
              </w:numPr>
              <w:wordWrap w:val="0"/>
              <w:spacing w:line="360" w:lineRule="auto"/>
              <w:jc w:val="center"/>
              <w:rPr>
                <w:rFonts w:cs="仿宋_GB2312"/>
                <w:szCs w:val="24"/>
              </w:rPr>
            </w:pPr>
          </w:p>
        </w:tc>
        <w:tc>
          <w:tcPr>
            <w:tcW w:w="1187" w:type="dxa"/>
            <w:tcBorders>
              <w:right w:val="single" w:color="auto" w:sz="4" w:space="0"/>
            </w:tcBorders>
            <w:vAlign w:val="center"/>
          </w:tcPr>
          <w:p>
            <w:pPr>
              <w:wordWrap w:val="0"/>
              <w:spacing w:line="360" w:lineRule="auto"/>
              <w:jc w:val="left"/>
              <w:rPr>
                <w:rFonts w:cs="仿宋_GB2312"/>
                <w:szCs w:val="24"/>
              </w:rPr>
            </w:pPr>
          </w:p>
        </w:tc>
        <w:tc>
          <w:tcPr>
            <w:tcW w:w="567" w:type="dxa"/>
            <w:tcBorders>
              <w:left w:val="single" w:color="auto" w:sz="4" w:space="0"/>
            </w:tcBorders>
            <w:vAlign w:val="center"/>
          </w:tcPr>
          <w:p>
            <w:pPr>
              <w:wordWrap w:val="0"/>
              <w:spacing w:line="360" w:lineRule="auto"/>
              <w:jc w:val="left"/>
              <w:rPr>
                <w:rFonts w:cs="仿宋_GB2312"/>
                <w:szCs w:val="24"/>
              </w:rPr>
            </w:pPr>
          </w:p>
        </w:tc>
        <w:tc>
          <w:tcPr>
            <w:tcW w:w="2552" w:type="dxa"/>
            <w:tcBorders>
              <w:left w:val="single" w:color="auto" w:sz="4" w:space="0"/>
            </w:tcBorders>
            <w:vAlign w:val="center"/>
          </w:tcPr>
          <w:p>
            <w:pPr>
              <w:wordWrap w:val="0"/>
              <w:spacing w:line="360" w:lineRule="auto"/>
              <w:jc w:val="left"/>
              <w:rPr>
                <w:rFonts w:cs="仿宋_GB2312"/>
                <w:szCs w:val="24"/>
              </w:rPr>
            </w:pPr>
          </w:p>
        </w:tc>
        <w:tc>
          <w:tcPr>
            <w:tcW w:w="2551" w:type="dxa"/>
            <w:vAlign w:val="center"/>
          </w:tcPr>
          <w:p>
            <w:pPr>
              <w:wordWrap w:val="0"/>
              <w:spacing w:line="360" w:lineRule="auto"/>
              <w:jc w:val="left"/>
              <w:rPr>
                <w:rFonts w:cs="仿宋_GB2312"/>
                <w:szCs w:val="24"/>
              </w:rPr>
            </w:pPr>
          </w:p>
        </w:tc>
        <w:tc>
          <w:tcPr>
            <w:tcW w:w="1134" w:type="dxa"/>
            <w:vAlign w:val="center"/>
          </w:tcPr>
          <w:p>
            <w:pPr>
              <w:wordWrap w:val="0"/>
              <w:spacing w:line="360" w:lineRule="auto"/>
              <w:jc w:val="center"/>
              <w:rPr>
                <w:rFonts w:cs="仿宋_GB2312"/>
                <w:szCs w:val="24"/>
              </w:rPr>
            </w:pPr>
          </w:p>
        </w:tc>
        <w:tc>
          <w:tcPr>
            <w:tcW w:w="1106" w:type="dxa"/>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2" w:hRule="atLeast"/>
          <w:jc w:val="center"/>
        </w:trPr>
        <w:tc>
          <w:tcPr>
            <w:tcW w:w="602" w:type="dxa"/>
            <w:vAlign w:val="center"/>
          </w:tcPr>
          <w:p>
            <w:pPr>
              <w:numPr>
                <w:ilvl w:val="0"/>
                <w:numId w:val="83"/>
              </w:numPr>
              <w:wordWrap w:val="0"/>
              <w:spacing w:line="360" w:lineRule="auto"/>
              <w:ind w:left="0" w:firstLine="0"/>
              <w:jc w:val="center"/>
              <w:rPr>
                <w:rFonts w:cs="仿宋_GB2312"/>
                <w:szCs w:val="24"/>
              </w:rPr>
            </w:pPr>
          </w:p>
        </w:tc>
        <w:tc>
          <w:tcPr>
            <w:tcW w:w="1187" w:type="dxa"/>
            <w:tcBorders>
              <w:right w:val="single" w:color="auto" w:sz="4" w:space="0"/>
            </w:tcBorders>
            <w:vAlign w:val="center"/>
          </w:tcPr>
          <w:p>
            <w:pPr>
              <w:wordWrap w:val="0"/>
              <w:spacing w:line="360" w:lineRule="auto"/>
              <w:jc w:val="left"/>
              <w:rPr>
                <w:rFonts w:cs="仿宋_GB2312"/>
                <w:szCs w:val="24"/>
              </w:rPr>
            </w:pPr>
          </w:p>
        </w:tc>
        <w:tc>
          <w:tcPr>
            <w:tcW w:w="567" w:type="dxa"/>
            <w:tcBorders>
              <w:left w:val="single" w:color="auto" w:sz="4" w:space="0"/>
            </w:tcBorders>
            <w:vAlign w:val="center"/>
          </w:tcPr>
          <w:p>
            <w:pPr>
              <w:wordWrap w:val="0"/>
              <w:spacing w:line="360" w:lineRule="auto"/>
              <w:jc w:val="left"/>
              <w:rPr>
                <w:rFonts w:cs="仿宋_GB2312"/>
                <w:szCs w:val="24"/>
              </w:rPr>
            </w:pPr>
          </w:p>
        </w:tc>
        <w:tc>
          <w:tcPr>
            <w:tcW w:w="2552" w:type="dxa"/>
            <w:tcBorders>
              <w:left w:val="single" w:color="auto" w:sz="4" w:space="0"/>
            </w:tcBorders>
            <w:vAlign w:val="center"/>
          </w:tcPr>
          <w:p>
            <w:pPr>
              <w:wordWrap w:val="0"/>
              <w:spacing w:line="360" w:lineRule="auto"/>
              <w:jc w:val="left"/>
              <w:rPr>
                <w:rFonts w:cs="仿宋_GB2312"/>
                <w:szCs w:val="24"/>
              </w:rPr>
            </w:pPr>
          </w:p>
        </w:tc>
        <w:tc>
          <w:tcPr>
            <w:tcW w:w="2551" w:type="dxa"/>
            <w:vAlign w:val="center"/>
          </w:tcPr>
          <w:p>
            <w:pPr>
              <w:wordWrap w:val="0"/>
              <w:spacing w:line="360" w:lineRule="auto"/>
              <w:jc w:val="left"/>
              <w:rPr>
                <w:rFonts w:cs="仿宋_GB2312"/>
                <w:szCs w:val="24"/>
              </w:rPr>
            </w:pPr>
          </w:p>
        </w:tc>
        <w:tc>
          <w:tcPr>
            <w:tcW w:w="1134" w:type="dxa"/>
            <w:vAlign w:val="center"/>
          </w:tcPr>
          <w:p>
            <w:pPr>
              <w:wordWrap w:val="0"/>
              <w:spacing w:line="360" w:lineRule="auto"/>
              <w:jc w:val="center"/>
              <w:rPr>
                <w:rFonts w:cs="仿宋_GB2312"/>
                <w:szCs w:val="24"/>
              </w:rPr>
            </w:pPr>
          </w:p>
        </w:tc>
        <w:tc>
          <w:tcPr>
            <w:tcW w:w="1106" w:type="dxa"/>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2" w:hRule="atLeast"/>
          <w:jc w:val="center"/>
        </w:trPr>
        <w:tc>
          <w:tcPr>
            <w:tcW w:w="602" w:type="dxa"/>
            <w:vAlign w:val="center"/>
          </w:tcPr>
          <w:p>
            <w:pPr>
              <w:numPr>
                <w:ilvl w:val="0"/>
                <w:numId w:val="83"/>
              </w:numPr>
              <w:wordWrap w:val="0"/>
              <w:spacing w:line="360" w:lineRule="auto"/>
              <w:jc w:val="center"/>
              <w:rPr>
                <w:rFonts w:cs="仿宋_GB2312"/>
                <w:szCs w:val="24"/>
              </w:rPr>
            </w:pPr>
          </w:p>
        </w:tc>
        <w:tc>
          <w:tcPr>
            <w:tcW w:w="1187" w:type="dxa"/>
            <w:tcBorders>
              <w:right w:val="single" w:color="auto" w:sz="4" w:space="0"/>
            </w:tcBorders>
            <w:vAlign w:val="center"/>
          </w:tcPr>
          <w:p>
            <w:pPr>
              <w:wordWrap w:val="0"/>
              <w:spacing w:line="360" w:lineRule="auto"/>
              <w:jc w:val="left"/>
              <w:rPr>
                <w:rFonts w:cs="仿宋_GB2312"/>
                <w:szCs w:val="24"/>
              </w:rPr>
            </w:pPr>
          </w:p>
        </w:tc>
        <w:tc>
          <w:tcPr>
            <w:tcW w:w="567" w:type="dxa"/>
            <w:tcBorders>
              <w:left w:val="single" w:color="auto" w:sz="4" w:space="0"/>
            </w:tcBorders>
            <w:vAlign w:val="center"/>
          </w:tcPr>
          <w:p>
            <w:pPr>
              <w:wordWrap w:val="0"/>
              <w:spacing w:line="360" w:lineRule="auto"/>
              <w:jc w:val="left"/>
              <w:rPr>
                <w:rFonts w:cs="仿宋_GB2312"/>
                <w:szCs w:val="24"/>
              </w:rPr>
            </w:pPr>
          </w:p>
        </w:tc>
        <w:tc>
          <w:tcPr>
            <w:tcW w:w="2552" w:type="dxa"/>
            <w:tcBorders>
              <w:left w:val="single" w:color="auto" w:sz="4" w:space="0"/>
            </w:tcBorders>
            <w:vAlign w:val="center"/>
          </w:tcPr>
          <w:p>
            <w:pPr>
              <w:wordWrap w:val="0"/>
              <w:spacing w:line="360" w:lineRule="auto"/>
              <w:jc w:val="left"/>
              <w:rPr>
                <w:rFonts w:cs="仿宋_GB2312"/>
                <w:szCs w:val="24"/>
              </w:rPr>
            </w:pPr>
          </w:p>
        </w:tc>
        <w:tc>
          <w:tcPr>
            <w:tcW w:w="2551" w:type="dxa"/>
            <w:vAlign w:val="center"/>
          </w:tcPr>
          <w:p>
            <w:pPr>
              <w:wordWrap w:val="0"/>
              <w:spacing w:line="360" w:lineRule="auto"/>
              <w:jc w:val="left"/>
              <w:rPr>
                <w:rFonts w:cs="仿宋_GB2312"/>
                <w:szCs w:val="24"/>
              </w:rPr>
            </w:pPr>
          </w:p>
        </w:tc>
        <w:tc>
          <w:tcPr>
            <w:tcW w:w="1134" w:type="dxa"/>
            <w:vAlign w:val="center"/>
          </w:tcPr>
          <w:p>
            <w:pPr>
              <w:wordWrap w:val="0"/>
              <w:spacing w:line="360" w:lineRule="auto"/>
              <w:jc w:val="center"/>
              <w:rPr>
                <w:rFonts w:cs="仿宋_GB2312"/>
                <w:szCs w:val="24"/>
              </w:rPr>
            </w:pPr>
          </w:p>
        </w:tc>
        <w:tc>
          <w:tcPr>
            <w:tcW w:w="1106" w:type="dxa"/>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2" w:hRule="atLeast"/>
          <w:jc w:val="center"/>
        </w:trPr>
        <w:tc>
          <w:tcPr>
            <w:tcW w:w="602" w:type="dxa"/>
            <w:vAlign w:val="center"/>
          </w:tcPr>
          <w:p>
            <w:pPr>
              <w:wordWrap w:val="0"/>
              <w:spacing w:line="360" w:lineRule="auto"/>
              <w:jc w:val="right"/>
              <w:rPr>
                <w:rFonts w:cs="仿宋_GB2312"/>
                <w:szCs w:val="24"/>
              </w:rPr>
            </w:pPr>
            <w:r>
              <w:rPr>
                <w:rFonts w:hint="eastAsia" w:cs="仿宋_GB2312"/>
                <w:szCs w:val="24"/>
              </w:rPr>
              <w:t>…</w:t>
            </w:r>
          </w:p>
        </w:tc>
        <w:tc>
          <w:tcPr>
            <w:tcW w:w="1187" w:type="dxa"/>
            <w:tcBorders>
              <w:right w:val="single" w:color="auto" w:sz="4" w:space="0"/>
            </w:tcBorders>
            <w:vAlign w:val="center"/>
          </w:tcPr>
          <w:p>
            <w:pPr>
              <w:wordWrap w:val="0"/>
              <w:spacing w:line="360" w:lineRule="auto"/>
              <w:jc w:val="left"/>
              <w:rPr>
                <w:rFonts w:cs="仿宋_GB2312"/>
                <w:szCs w:val="24"/>
              </w:rPr>
            </w:pPr>
            <w:r>
              <w:rPr>
                <w:rFonts w:hint="eastAsia" w:cs="宋体"/>
                <w:szCs w:val="24"/>
              </w:rPr>
              <w:t>……</w:t>
            </w:r>
          </w:p>
        </w:tc>
        <w:tc>
          <w:tcPr>
            <w:tcW w:w="567" w:type="dxa"/>
            <w:tcBorders>
              <w:left w:val="single" w:color="auto" w:sz="4" w:space="0"/>
            </w:tcBorders>
            <w:vAlign w:val="center"/>
          </w:tcPr>
          <w:p>
            <w:pPr>
              <w:wordWrap w:val="0"/>
              <w:spacing w:line="360" w:lineRule="auto"/>
              <w:jc w:val="left"/>
              <w:rPr>
                <w:rFonts w:cs="仿宋_GB2312"/>
                <w:szCs w:val="24"/>
              </w:rPr>
            </w:pPr>
            <w:r>
              <w:rPr>
                <w:rFonts w:hint="eastAsia" w:cs="宋体"/>
                <w:szCs w:val="24"/>
              </w:rPr>
              <w:t>……</w:t>
            </w:r>
          </w:p>
        </w:tc>
        <w:tc>
          <w:tcPr>
            <w:tcW w:w="2552" w:type="dxa"/>
            <w:tcBorders>
              <w:left w:val="single" w:color="auto" w:sz="4" w:space="0"/>
            </w:tcBorders>
            <w:vAlign w:val="center"/>
          </w:tcPr>
          <w:p>
            <w:pPr>
              <w:wordWrap w:val="0"/>
              <w:spacing w:line="360" w:lineRule="auto"/>
              <w:jc w:val="left"/>
              <w:rPr>
                <w:rFonts w:cs="仿宋_GB2312"/>
                <w:szCs w:val="24"/>
              </w:rPr>
            </w:pPr>
            <w:r>
              <w:rPr>
                <w:rFonts w:hint="eastAsia" w:cs="宋体"/>
                <w:szCs w:val="24"/>
              </w:rPr>
              <w:t>……</w:t>
            </w:r>
          </w:p>
        </w:tc>
        <w:tc>
          <w:tcPr>
            <w:tcW w:w="2551" w:type="dxa"/>
            <w:vAlign w:val="center"/>
          </w:tcPr>
          <w:p>
            <w:pPr>
              <w:wordWrap w:val="0"/>
              <w:spacing w:line="360" w:lineRule="auto"/>
              <w:jc w:val="left"/>
              <w:rPr>
                <w:rFonts w:cs="仿宋_GB2312"/>
                <w:szCs w:val="24"/>
              </w:rPr>
            </w:pPr>
            <w:r>
              <w:rPr>
                <w:rFonts w:hint="eastAsia" w:cs="宋体"/>
                <w:szCs w:val="24"/>
              </w:rPr>
              <w:t>……</w:t>
            </w:r>
          </w:p>
        </w:tc>
        <w:tc>
          <w:tcPr>
            <w:tcW w:w="1134" w:type="dxa"/>
            <w:vAlign w:val="center"/>
          </w:tcPr>
          <w:p>
            <w:pPr>
              <w:wordWrap w:val="0"/>
              <w:spacing w:line="360" w:lineRule="auto"/>
              <w:jc w:val="center"/>
              <w:rPr>
                <w:rFonts w:cs="仿宋_GB2312"/>
                <w:szCs w:val="24"/>
              </w:rPr>
            </w:pPr>
            <w:r>
              <w:rPr>
                <w:rFonts w:hint="eastAsia" w:cs="宋体"/>
                <w:szCs w:val="24"/>
              </w:rPr>
              <w:t>……</w:t>
            </w:r>
          </w:p>
        </w:tc>
        <w:tc>
          <w:tcPr>
            <w:tcW w:w="1106" w:type="dxa"/>
            <w:vAlign w:val="center"/>
          </w:tcPr>
          <w:p>
            <w:pPr>
              <w:wordWrap w:val="0"/>
              <w:spacing w:line="360" w:lineRule="auto"/>
              <w:jc w:val="center"/>
              <w:rPr>
                <w:rFonts w:cs="仿宋_GB2312"/>
                <w:szCs w:val="24"/>
              </w:rPr>
            </w:pPr>
            <w:r>
              <w:rPr>
                <w:rFonts w:hint="eastAsia" w:cs="宋体"/>
                <w:szCs w:val="24"/>
              </w:rPr>
              <w:t>……</w:t>
            </w:r>
          </w:p>
        </w:tc>
      </w:tr>
    </w:tbl>
    <w:p>
      <w:pPr>
        <w:wordWrap w:val="0"/>
        <w:spacing w:line="360" w:lineRule="auto"/>
        <w:ind w:left="1132" w:hanging="1132" w:hangingChars="470"/>
        <w:jc w:val="left"/>
        <w:rPr>
          <w:rFonts w:cs="Corbel"/>
          <w:szCs w:val="24"/>
        </w:rPr>
      </w:pPr>
      <w:r>
        <w:rPr>
          <w:rFonts w:hint="eastAsia" w:cs="Corbel"/>
          <w:b/>
          <w:szCs w:val="24"/>
        </w:rPr>
        <w:t>说明：</w:t>
      </w:r>
      <w:r>
        <w:rPr>
          <w:rFonts w:hint="eastAsia" w:cs="Corbel"/>
          <w:szCs w:val="24"/>
        </w:rPr>
        <w:t>1.应按招标文件“第五章 评标办法”中“技术评分”的评分标准逐项在“投标文件响应的内容”栏中进行响应说明，并在“偏离说明”栏中注明是否偏离，如有偏离,投标人应详细说明。未按照要求填写此表或在“投标文件响应的内容”栏中仅注明“符合”、“满足”的，</w:t>
      </w:r>
      <w:r>
        <w:rPr>
          <w:rFonts w:hint="eastAsia"/>
          <w:szCs w:val="24"/>
        </w:rPr>
        <w:t>导致的后果由投标人自行承担。</w:t>
      </w:r>
    </w:p>
    <w:p>
      <w:pPr>
        <w:wordWrap w:val="0"/>
        <w:spacing w:line="360" w:lineRule="auto"/>
        <w:ind w:left="1111" w:leftChars="297" w:hanging="398" w:hangingChars="166"/>
        <w:jc w:val="left"/>
        <w:rPr>
          <w:rFonts w:cs="Corbel"/>
          <w:szCs w:val="24"/>
        </w:rPr>
      </w:pPr>
      <w:r>
        <w:rPr>
          <w:rFonts w:hint="eastAsia" w:cs="Corbel"/>
          <w:szCs w:val="24"/>
        </w:rPr>
        <w:t>2.应将对应响应内容的页码（多页的，起码和止码）填写到上表“投标文件对应页码”栏中。未提供准确页码或页码与对应内容不一致的，</w:t>
      </w:r>
      <w:r>
        <w:rPr>
          <w:rFonts w:hint="eastAsia"/>
          <w:szCs w:val="24"/>
        </w:rPr>
        <w:t>导致的后果由投标人自行承担。</w:t>
      </w:r>
    </w:p>
    <w:p>
      <w:pPr>
        <w:wordWrap w:val="0"/>
        <w:spacing w:before="100" w:beforeAutospacing="1" w:after="100" w:afterAutospacing="1" w:line="360" w:lineRule="auto"/>
        <w:ind w:firstLine="3316" w:firstLineChars="1382"/>
        <w:rPr>
          <w:bCs/>
          <w:u w:val="single"/>
        </w:rPr>
      </w:pPr>
      <w:r>
        <w:rPr>
          <w:rFonts w:hint="eastAsia"/>
          <w:bCs/>
        </w:rPr>
        <w:t>投标人（公章）：</w:t>
      </w:r>
      <w:r>
        <w:rPr>
          <w:rFonts w:hint="eastAsia"/>
          <w:bCs/>
          <w:u w:val="single"/>
        </w:rPr>
        <w:t xml:space="preserve">                          </w:t>
      </w:r>
    </w:p>
    <w:p>
      <w:pPr>
        <w:wordWrap w:val="0"/>
        <w:spacing w:before="100" w:beforeAutospacing="1" w:after="100" w:afterAutospacing="1" w:line="360" w:lineRule="auto"/>
        <w:ind w:firstLine="3316" w:firstLineChars="1382"/>
        <w:rPr>
          <w:bCs/>
          <w:u w:val="single"/>
        </w:rPr>
      </w:pPr>
      <w:r>
        <w:rPr>
          <w:rFonts w:hint="eastAsia"/>
          <w:szCs w:val="24"/>
        </w:rPr>
        <w:t>日   期：</w:t>
      </w:r>
      <w:r>
        <w:rPr>
          <w:rFonts w:hint="eastAsia"/>
          <w:bCs/>
          <w:u w:val="single"/>
        </w:rPr>
        <w:t xml:space="preserve">                               </w:t>
      </w:r>
    </w:p>
    <w:p>
      <w:pPr>
        <w:widowControl/>
        <w:spacing w:line="360" w:lineRule="auto"/>
        <w:jc w:val="left"/>
        <w:rPr>
          <w:b/>
          <w:sz w:val="28"/>
          <w:szCs w:val="28"/>
        </w:rPr>
      </w:pPr>
      <w:r>
        <w:rPr>
          <w:bCs/>
          <w:sz w:val="28"/>
          <w:szCs w:val="28"/>
        </w:rPr>
        <w:br w:type="page"/>
      </w:r>
    </w:p>
    <w:p>
      <w:pPr>
        <w:pStyle w:val="3"/>
        <w:numPr>
          <w:ilvl w:val="0"/>
          <w:numId w:val="77"/>
        </w:numPr>
        <w:tabs>
          <w:tab w:val="left" w:pos="567"/>
        </w:tabs>
        <w:spacing w:line="360" w:lineRule="auto"/>
        <w:ind w:left="482" w:hanging="482" w:hangingChars="200"/>
        <w:jc w:val="left"/>
        <w:rPr>
          <w:rFonts w:ascii="宋体" w:hAnsi="宋体" w:eastAsia="宋体"/>
          <w:sz w:val="24"/>
          <w:szCs w:val="24"/>
        </w:rPr>
      </w:pPr>
      <w:bookmarkStart w:id="703" w:name="_Toc117244505"/>
      <w:bookmarkStart w:id="704" w:name="_Toc10592"/>
      <w:bookmarkStart w:id="705" w:name="_Toc117244390"/>
      <w:bookmarkStart w:id="706" w:name="_Toc2014"/>
      <w:r>
        <w:rPr>
          <w:rFonts w:hint="eastAsia" w:ascii="宋体" w:hAnsi="宋体" w:eastAsia="宋体"/>
          <w:sz w:val="24"/>
          <w:szCs w:val="24"/>
        </w:rPr>
        <w:t>投标书</w:t>
      </w:r>
      <w:bookmarkEnd w:id="702"/>
      <w:bookmarkEnd w:id="703"/>
      <w:bookmarkEnd w:id="704"/>
      <w:bookmarkEnd w:id="705"/>
      <w:bookmarkEnd w:id="706"/>
    </w:p>
    <w:p>
      <w:pPr>
        <w:wordWrap w:val="0"/>
        <w:spacing w:line="360" w:lineRule="auto"/>
        <w:ind w:firstLine="480" w:firstLineChars="200"/>
        <w:rPr>
          <w:szCs w:val="24"/>
        </w:rPr>
      </w:pPr>
      <w:r>
        <w:rPr>
          <w:rFonts w:hint="eastAsia"/>
          <w:szCs w:val="24"/>
        </w:rPr>
        <w:t>依据</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项目（项目编号：</w:t>
      </w:r>
      <w:r>
        <w:rPr>
          <w:rFonts w:hint="eastAsia"/>
          <w:szCs w:val="24"/>
          <w:u w:val="single"/>
        </w:rPr>
        <w:t xml:space="preserve">      </w:t>
      </w:r>
      <w:r>
        <w:rPr>
          <w:rFonts w:hint="eastAsia"/>
          <w:szCs w:val="24"/>
        </w:rPr>
        <w:t>）的投标邀请，我方代表</w:t>
      </w:r>
      <w:r>
        <w:rPr>
          <w:rFonts w:hint="eastAsia"/>
          <w:szCs w:val="24"/>
          <w:u w:val="single"/>
        </w:rPr>
        <w:t xml:space="preserve"> </w:t>
      </w:r>
      <w:r>
        <w:rPr>
          <w:rFonts w:hint="eastAsia"/>
          <w:i/>
          <w:szCs w:val="24"/>
          <w:u w:val="single"/>
        </w:rPr>
        <w:t>（姓名、职务）</w:t>
      </w:r>
      <w:r>
        <w:rPr>
          <w:rFonts w:hint="eastAsia"/>
          <w:szCs w:val="24"/>
          <w:u w:val="single"/>
        </w:rPr>
        <w:t xml:space="preserve"> </w:t>
      </w:r>
      <w:r>
        <w:rPr>
          <w:rFonts w:hint="eastAsia"/>
          <w:szCs w:val="24"/>
        </w:rPr>
        <w:t>经正式授权并代表投标人</w:t>
      </w:r>
      <w:r>
        <w:rPr>
          <w:rFonts w:hint="eastAsia"/>
          <w:szCs w:val="24"/>
          <w:u w:val="single"/>
        </w:rPr>
        <w:t xml:space="preserve"> </w:t>
      </w:r>
      <w:r>
        <w:rPr>
          <w:rFonts w:hint="eastAsia"/>
          <w:i/>
          <w:szCs w:val="24"/>
          <w:u w:val="single"/>
        </w:rPr>
        <w:t>（投标人全称）</w:t>
      </w:r>
      <w:r>
        <w:rPr>
          <w:rFonts w:hint="eastAsia"/>
          <w:szCs w:val="24"/>
          <w:u w:val="single"/>
        </w:rPr>
        <w:t xml:space="preserve"> </w:t>
      </w:r>
      <w:r>
        <w:rPr>
          <w:rFonts w:hint="eastAsia"/>
          <w:szCs w:val="24"/>
        </w:rPr>
        <w:t>提交的投标文件包括</w:t>
      </w:r>
      <w:r>
        <w:rPr>
          <w:szCs w:val="24"/>
        </w:rPr>
        <w:t>以下内容</w:t>
      </w:r>
      <w:r>
        <w:rPr>
          <w:rFonts w:hint="eastAsia"/>
          <w:szCs w:val="24"/>
        </w:rPr>
        <w:t>：</w:t>
      </w:r>
    </w:p>
    <w:p>
      <w:pPr>
        <w:tabs>
          <w:tab w:val="left" w:pos="851"/>
        </w:tabs>
        <w:wordWrap w:val="0"/>
        <w:autoSpaceDE w:val="0"/>
        <w:autoSpaceDN w:val="0"/>
        <w:adjustRightInd w:val="0"/>
        <w:spacing w:line="360" w:lineRule="auto"/>
        <w:ind w:left="480" w:leftChars="200"/>
        <w:rPr>
          <w:szCs w:val="32"/>
        </w:rPr>
      </w:pPr>
      <w:r>
        <w:rPr>
          <w:rFonts w:hint="eastAsia"/>
          <w:szCs w:val="32"/>
        </w:rPr>
        <w:t>1.投标</w:t>
      </w:r>
      <w:r>
        <w:rPr>
          <w:szCs w:val="32"/>
        </w:rPr>
        <w:t>文件（PDF</w:t>
      </w:r>
      <w:r>
        <w:rPr>
          <w:rFonts w:hint="eastAsia"/>
          <w:szCs w:val="32"/>
        </w:rPr>
        <w:t>格式</w:t>
      </w:r>
      <w:r>
        <w:rPr>
          <w:szCs w:val="32"/>
        </w:rPr>
        <w:t>）</w:t>
      </w:r>
      <w:r>
        <w:rPr>
          <w:rFonts w:hint="eastAsia"/>
          <w:szCs w:val="32"/>
        </w:rPr>
        <w:t>；</w:t>
      </w:r>
    </w:p>
    <w:p>
      <w:pPr>
        <w:tabs>
          <w:tab w:val="left" w:pos="851"/>
        </w:tabs>
        <w:wordWrap w:val="0"/>
        <w:autoSpaceDE w:val="0"/>
        <w:autoSpaceDN w:val="0"/>
        <w:adjustRightInd w:val="0"/>
        <w:spacing w:line="360" w:lineRule="auto"/>
        <w:ind w:left="480" w:leftChars="200"/>
        <w:rPr>
          <w:szCs w:val="32"/>
        </w:rPr>
      </w:pPr>
      <w:r>
        <w:rPr>
          <w:rFonts w:hint="eastAsia"/>
          <w:szCs w:val="32"/>
        </w:rPr>
        <w:t>2.投标数据文件（</w:t>
      </w:r>
      <w:r>
        <w:rPr>
          <w:szCs w:val="32"/>
        </w:rPr>
        <w:t>PDF格式</w:t>
      </w:r>
      <w:r>
        <w:rPr>
          <w:rFonts w:hint="eastAsia"/>
          <w:szCs w:val="32"/>
        </w:rPr>
        <w:t>）。</w:t>
      </w:r>
    </w:p>
    <w:p>
      <w:pPr>
        <w:wordWrap w:val="0"/>
        <w:spacing w:line="360" w:lineRule="auto"/>
        <w:rPr>
          <w:b/>
          <w:szCs w:val="24"/>
        </w:rPr>
      </w:pPr>
      <w:r>
        <w:rPr>
          <w:rFonts w:hint="eastAsia"/>
          <w:b/>
          <w:szCs w:val="24"/>
        </w:rPr>
        <w:t>在此，我方宣布同意如下：</w:t>
      </w:r>
    </w:p>
    <w:p>
      <w:pPr>
        <w:pStyle w:val="43"/>
        <w:numPr>
          <w:ilvl w:val="0"/>
          <w:numId w:val="84"/>
        </w:numPr>
        <w:tabs>
          <w:tab w:val="left" w:pos="851"/>
        </w:tabs>
        <w:wordWrap w:val="0"/>
        <w:spacing w:line="360" w:lineRule="auto"/>
        <w:ind w:left="0" w:firstLine="480"/>
        <w:rPr>
          <w:szCs w:val="24"/>
        </w:rPr>
      </w:pPr>
      <w:r>
        <w:rPr>
          <w:rFonts w:hint="eastAsia"/>
          <w:szCs w:val="24"/>
        </w:rPr>
        <w:t>应提交和交付的货物（或服务）投标总价为</w:t>
      </w:r>
      <w:r>
        <w:rPr>
          <w:rFonts w:hint="eastAsia"/>
          <w:szCs w:val="24"/>
          <w:u w:val="single"/>
        </w:rPr>
        <w:t xml:space="preserve">  详见“投标数据文件”中投标（报价）一览表总报价  </w:t>
      </w:r>
      <w:r>
        <w:rPr>
          <w:rFonts w:hint="eastAsia"/>
          <w:szCs w:val="24"/>
        </w:rPr>
        <w:t>；</w:t>
      </w:r>
    </w:p>
    <w:p>
      <w:pPr>
        <w:pStyle w:val="43"/>
        <w:numPr>
          <w:ilvl w:val="0"/>
          <w:numId w:val="84"/>
        </w:numPr>
        <w:tabs>
          <w:tab w:val="left" w:pos="851"/>
        </w:tabs>
        <w:wordWrap w:val="0"/>
        <w:spacing w:line="360" w:lineRule="auto"/>
        <w:ind w:left="0" w:firstLine="480"/>
        <w:rPr>
          <w:szCs w:val="24"/>
        </w:rPr>
      </w:pPr>
      <w:r>
        <w:rPr>
          <w:rFonts w:hint="eastAsia"/>
          <w:szCs w:val="24"/>
        </w:rPr>
        <w:t>按招标文件的约定履行合同责任和义务；</w:t>
      </w:r>
    </w:p>
    <w:p>
      <w:pPr>
        <w:pStyle w:val="43"/>
        <w:numPr>
          <w:ilvl w:val="0"/>
          <w:numId w:val="84"/>
        </w:numPr>
        <w:tabs>
          <w:tab w:val="left" w:pos="851"/>
        </w:tabs>
        <w:wordWrap w:val="0"/>
        <w:spacing w:line="360" w:lineRule="auto"/>
        <w:ind w:left="0" w:firstLine="480"/>
        <w:rPr>
          <w:szCs w:val="24"/>
        </w:rPr>
      </w:pPr>
      <w:r>
        <w:rPr>
          <w:rFonts w:hint="eastAsia"/>
          <w:szCs w:val="24"/>
        </w:rPr>
        <w:t>已详细审查全部招标文件，包括</w:t>
      </w:r>
      <w:r>
        <w:rPr>
          <w:rFonts w:hint="eastAsia"/>
          <w:szCs w:val="24"/>
          <w:u w:val="single"/>
        </w:rPr>
        <w:t>（修正或补充文件）（如果有的话）</w:t>
      </w:r>
      <w:r>
        <w:rPr>
          <w:rFonts w:hint="eastAsia"/>
          <w:szCs w:val="24"/>
        </w:rPr>
        <w:t>，对此无异议；</w:t>
      </w:r>
    </w:p>
    <w:p>
      <w:pPr>
        <w:pStyle w:val="43"/>
        <w:numPr>
          <w:ilvl w:val="0"/>
          <w:numId w:val="84"/>
        </w:numPr>
        <w:tabs>
          <w:tab w:val="left" w:pos="851"/>
        </w:tabs>
        <w:wordWrap w:val="0"/>
        <w:spacing w:line="360" w:lineRule="auto"/>
        <w:ind w:left="0" w:firstLine="480"/>
        <w:rPr>
          <w:szCs w:val="24"/>
        </w:rPr>
      </w:pPr>
      <w:r>
        <w:rPr>
          <w:rFonts w:hint="eastAsia"/>
          <w:szCs w:val="24"/>
        </w:rPr>
        <w:t>投标有效期为自提交投标文件截止之日起，共</w:t>
      </w:r>
      <w:r>
        <w:rPr>
          <w:rFonts w:hint="eastAsia"/>
          <w:szCs w:val="24"/>
          <w:u w:val="single"/>
        </w:rPr>
        <w:t xml:space="preserve">      </w:t>
      </w:r>
      <w:r>
        <w:rPr>
          <w:rFonts w:hint="eastAsia"/>
          <w:szCs w:val="24"/>
        </w:rPr>
        <w:t>个日历天；</w:t>
      </w:r>
    </w:p>
    <w:p>
      <w:pPr>
        <w:pStyle w:val="43"/>
        <w:numPr>
          <w:ilvl w:val="0"/>
          <w:numId w:val="84"/>
        </w:numPr>
        <w:tabs>
          <w:tab w:val="left" w:pos="851"/>
        </w:tabs>
        <w:wordWrap w:val="0"/>
        <w:spacing w:line="360" w:lineRule="auto"/>
        <w:ind w:left="0" w:firstLine="480"/>
        <w:rPr>
          <w:szCs w:val="24"/>
        </w:rPr>
      </w:pPr>
      <w:r>
        <w:rPr>
          <w:rFonts w:hint="eastAsia"/>
          <w:szCs w:val="24"/>
        </w:rPr>
        <w:t>提供按照贵方可能要求的与投标有关的一切数据或资料；</w:t>
      </w:r>
    </w:p>
    <w:p>
      <w:pPr>
        <w:pStyle w:val="43"/>
        <w:numPr>
          <w:ilvl w:val="0"/>
          <w:numId w:val="84"/>
        </w:numPr>
        <w:tabs>
          <w:tab w:val="left" w:pos="851"/>
        </w:tabs>
        <w:wordWrap w:val="0"/>
        <w:spacing w:line="360" w:lineRule="auto"/>
        <w:ind w:left="0" w:firstLine="480"/>
        <w:rPr>
          <w:szCs w:val="24"/>
        </w:rPr>
      </w:pPr>
      <w:r>
        <w:rPr>
          <w:rFonts w:hint="eastAsia"/>
          <w:szCs w:val="24"/>
        </w:rPr>
        <w:t>与投标有关的一切正式往来信函请寄：</w:t>
      </w:r>
      <w:r>
        <w:rPr>
          <w:rFonts w:hint="eastAsia"/>
          <w:szCs w:val="24"/>
          <w:u w:val="single"/>
        </w:rPr>
        <w:t xml:space="preserve">                              </w:t>
      </w:r>
      <w:r>
        <w:rPr>
          <w:rFonts w:hint="eastAsia"/>
          <w:szCs w:val="24"/>
        </w:rPr>
        <w:t>。</w:t>
      </w:r>
    </w:p>
    <w:p>
      <w:pPr>
        <w:wordWrap w:val="0"/>
        <w:spacing w:line="360" w:lineRule="auto"/>
        <w:ind w:left="14" w:leftChars="6" w:firstLine="472" w:firstLineChars="197"/>
        <w:rPr>
          <w:szCs w:val="24"/>
        </w:rPr>
      </w:pPr>
    </w:p>
    <w:p>
      <w:pPr>
        <w:wordWrap w:val="0"/>
        <w:spacing w:line="360" w:lineRule="auto"/>
        <w:ind w:left="14" w:leftChars="6" w:firstLine="472" w:firstLineChars="197"/>
        <w:rPr>
          <w:szCs w:val="24"/>
        </w:rPr>
      </w:pPr>
      <w:r>
        <w:rPr>
          <w:rFonts w:hint="eastAsia"/>
          <w:szCs w:val="24"/>
        </w:rPr>
        <w:t>地  址：</w:t>
      </w:r>
      <w:r>
        <w:rPr>
          <w:rFonts w:hint="eastAsia"/>
          <w:szCs w:val="24"/>
          <w:u w:val="single"/>
        </w:rPr>
        <w:t xml:space="preserve">                                 </w:t>
      </w:r>
    </w:p>
    <w:p>
      <w:pPr>
        <w:wordWrap w:val="0"/>
        <w:spacing w:line="360" w:lineRule="auto"/>
        <w:ind w:left="14" w:leftChars="6" w:firstLine="472" w:firstLineChars="197"/>
        <w:rPr>
          <w:szCs w:val="24"/>
        </w:rPr>
      </w:pPr>
      <w:r>
        <w:rPr>
          <w:rFonts w:hint="eastAsia"/>
          <w:szCs w:val="24"/>
        </w:rPr>
        <w:t>电话/传真：</w:t>
      </w:r>
      <w:r>
        <w:rPr>
          <w:rFonts w:hint="eastAsia"/>
          <w:szCs w:val="24"/>
          <w:u w:val="single"/>
        </w:rPr>
        <w:t xml:space="preserve">                              </w:t>
      </w:r>
    </w:p>
    <w:p>
      <w:pPr>
        <w:wordWrap w:val="0"/>
        <w:spacing w:line="360" w:lineRule="auto"/>
        <w:ind w:left="14" w:leftChars="6" w:firstLine="472" w:firstLineChars="197"/>
        <w:rPr>
          <w:szCs w:val="24"/>
        </w:rPr>
      </w:pPr>
      <w:r>
        <w:rPr>
          <w:rFonts w:hint="eastAsia"/>
          <w:szCs w:val="24"/>
        </w:rPr>
        <w:t>电子邮箱：</w:t>
      </w:r>
      <w:r>
        <w:rPr>
          <w:rFonts w:hint="eastAsia"/>
          <w:szCs w:val="24"/>
          <w:u w:val="single"/>
        </w:rPr>
        <w:t xml:space="preserve">                               </w:t>
      </w:r>
    </w:p>
    <w:p>
      <w:pPr>
        <w:spacing w:line="360" w:lineRule="auto"/>
        <w:jc w:val="left"/>
        <w:rPr>
          <w:szCs w:val="24"/>
        </w:rPr>
      </w:pPr>
      <w:r>
        <w:rPr>
          <w:rFonts w:hint="eastAsia"/>
          <w:szCs w:val="24"/>
        </w:rPr>
        <w:t xml:space="preserve">    </w:t>
      </w:r>
    </w:p>
    <w:p>
      <w:pPr>
        <w:wordWrap w:val="0"/>
        <w:spacing w:before="100" w:beforeAutospacing="1" w:after="100" w:afterAutospacing="1" w:line="360" w:lineRule="auto"/>
        <w:ind w:firstLine="3316" w:firstLineChars="1382"/>
        <w:rPr>
          <w:bCs/>
        </w:rPr>
      </w:pPr>
      <w:r>
        <w:rPr>
          <w:rFonts w:hint="eastAsia"/>
          <w:bCs/>
        </w:rPr>
        <w:t>投标人（公章）：</w:t>
      </w:r>
      <w:r>
        <w:rPr>
          <w:rFonts w:hint="eastAsia"/>
          <w:bCs/>
          <w:u w:val="single"/>
        </w:rPr>
        <w:t xml:space="preserve">                          </w:t>
      </w:r>
    </w:p>
    <w:p>
      <w:pPr>
        <w:wordWrap w:val="0"/>
        <w:spacing w:before="100" w:beforeAutospacing="1" w:after="100" w:afterAutospacing="1" w:line="360" w:lineRule="auto"/>
        <w:ind w:firstLine="3316" w:firstLineChars="1382"/>
        <w:rPr>
          <w:bCs/>
        </w:rPr>
      </w:pPr>
      <w:r>
        <w:rPr>
          <w:rFonts w:hint="eastAsia"/>
          <w:bCs/>
        </w:rPr>
        <w:t>日    期：</w:t>
      </w:r>
      <w:r>
        <w:rPr>
          <w:rFonts w:hint="eastAsia"/>
          <w:bCs/>
          <w:u w:val="single"/>
        </w:rPr>
        <w:t xml:space="preserve">                                </w:t>
      </w:r>
    </w:p>
    <w:p>
      <w:pPr>
        <w:pStyle w:val="11"/>
        <w:wordWrap w:val="0"/>
        <w:spacing w:line="360" w:lineRule="auto"/>
      </w:pPr>
      <w:r>
        <w:br w:type="page"/>
      </w:r>
    </w:p>
    <w:p>
      <w:pPr>
        <w:pStyle w:val="3"/>
        <w:numPr>
          <w:ilvl w:val="0"/>
          <w:numId w:val="77"/>
        </w:numPr>
        <w:tabs>
          <w:tab w:val="left" w:pos="567"/>
        </w:tabs>
        <w:spacing w:line="360" w:lineRule="auto"/>
        <w:ind w:left="482" w:hanging="482" w:hangingChars="200"/>
        <w:jc w:val="left"/>
        <w:rPr>
          <w:rFonts w:ascii="宋体" w:hAnsi="宋体" w:eastAsia="宋体"/>
          <w:sz w:val="24"/>
          <w:szCs w:val="24"/>
        </w:rPr>
      </w:pPr>
      <w:bookmarkStart w:id="707" w:name="_Toc107561310"/>
      <w:bookmarkStart w:id="708" w:name="_Toc117244506"/>
      <w:bookmarkStart w:id="709" w:name="_Toc1622"/>
      <w:bookmarkStart w:id="710" w:name="_Toc117244391"/>
      <w:bookmarkStart w:id="711" w:name="_Toc19495"/>
      <w:r>
        <w:rPr>
          <w:rFonts w:hint="eastAsia" w:ascii="宋体" w:hAnsi="宋体" w:eastAsia="宋体"/>
          <w:sz w:val="24"/>
          <w:szCs w:val="24"/>
        </w:rPr>
        <w:t>开标</w:t>
      </w:r>
      <w:r>
        <w:rPr>
          <w:rFonts w:hint="eastAsia" w:ascii="宋体" w:hAnsi="宋体" w:eastAsia="宋体" w:cs="Times New Roman"/>
          <w:bCs w:val="0"/>
          <w:sz w:val="24"/>
          <w:szCs w:val="24"/>
        </w:rPr>
        <w:t>一览表</w:t>
      </w:r>
      <w:bookmarkEnd w:id="707"/>
      <w:bookmarkEnd w:id="708"/>
      <w:bookmarkEnd w:id="709"/>
      <w:bookmarkEnd w:id="710"/>
      <w:bookmarkEnd w:id="711"/>
    </w:p>
    <w:p>
      <w:pPr>
        <w:wordWrap w:val="0"/>
        <w:spacing w:line="360" w:lineRule="auto"/>
        <w:jc w:val="left"/>
        <w:rPr>
          <w:b/>
          <w:szCs w:val="21"/>
          <w:u w:val="single"/>
          <w:lang w:val="zh-CN"/>
        </w:rPr>
      </w:pPr>
      <w:r>
        <w:rPr>
          <w:rFonts w:hint="eastAsia"/>
          <w:b/>
          <w:szCs w:val="21"/>
          <w:lang w:val="zh-CN"/>
        </w:rPr>
        <w:t>投 标 人：</w:t>
      </w:r>
      <w:r>
        <w:rPr>
          <w:rFonts w:hint="eastAsia"/>
          <w:b/>
          <w:szCs w:val="21"/>
          <w:u w:val="single"/>
          <w:lang w:val="zh-CN"/>
        </w:rPr>
        <w:t xml:space="preserve">                     </w:t>
      </w:r>
    </w:p>
    <w:p>
      <w:pPr>
        <w:wordWrap w:val="0"/>
        <w:spacing w:line="360" w:lineRule="auto"/>
        <w:jc w:val="left"/>
        <w:rPr>
          <w:b/>
          <w:bCs/>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w:t>
      </w:r>
      <w:r>
        <w:rPr>
          <w:b/>
          <w:bCs/>
          <w:szCs w:val="21"/>
          <w:lang w:val="zh-CN"/>
        </w:rPr>
        <w:t xml:space="preserve">    </w:t>
      </w:r>
      <w:r>
        <w:rPr>
          <w:rFonts w:hint="eastAsia"/>
          <w:b/>
          <w:bCs/>
          <w:szCs w:val="21"/>
          <w:lang w:val="zh-CN"/>
        </w:rPr>
        <w:t>包号：</w:t>
      </w:r>
      <w:r>
        <w:rPr>
          <w:rFonts w:hint="eastAsia"/>
          <w:b/>
          <w:bCs/>
          <w:szCs w:val="21"/>
          <w:u w:val="single"/>
          <w:lang w:val="zh-CN"/>
        </w:rPr>
        <w:t xml:space="preserve">           </w:t>
      </w:r>
    </w:p>
    <w:p>
      <w:pPr>
        <w:wordWrap w:val="0"/>
        <w:spacing w:line="360" w:lineRule="auto"/>
        <w:ind w:left="1091" w:hanging="1091" w:hangingChars="453"/>
        <w:jc w:val="left"/>
        <w:rPr>
          <w:rFonts w:cs="Courier New"/>
          <w:b/>
          <w:szCs w:val="21"/>
        </w:rPr>
      </w:pPr>
    </w:p>
    <w:p>
      <w:pPr>
        <w:wordWrap w:val="0"/>
        <w:spacing w:line="360" w:lineRule="auto"/>
        <w:ind w:firstLine="482" w:firstLineChars="200"/>
        <w:jc w:val="left"/>
        <w:rPr>
          <w:rFonts w:cs="Courier New"/>
          <w:szCs w:val="24"/>
        </w:rPr>
      </w:pPr>
      <w:r>
        <w:rPr>
          <w:rFonts w:hint="eastAsia" w:cs="Courier New"/>
          <w:b/>
          <w:szCs w:val="21"/>
        </w:rPr>
        <w:t>详见</w:t>
      </w:r>
      <w:r>
        <w:rPr>
          <w:rFonts w:hint="eastAsia"/>
          <w:b/>
          <w:szCs w:val="24"/>
          <w:lang w:val="zh-CN"/>
        </w:rPr>
        <w:t>投标数据文件（</w:t>
      </w:r>
      <w:r>
        <w:rPr>
          <w:b/>
          <w:szCs w:val="24"/>
          <w:lang w:val="zh-CN"/>
        </w:rPr>
        <w:t>PDF</w:t>
      </w:r>
      <w:r>
        <w:rPr>
          <w:rFonts w:hint="eastAsia"/>
          <w:b/>
          <w:szCs w:val="24"/>
          <w:lang w:val="zh-CN"/>
        </w:rPr>
        <w:t>格式）“投标（</w:t>
      </w:r>
      <w:r>
        <w:rPr>
          <w:b/>
          <w:szCs w:val="24"/>
          <w:lang w:val="zh-CN"/>
        </w:rPr>
        <w:t>报价）</w:t>
      </w:r>
      <w:r>
        <w:rPr>
          <w:rFonts w:hint="eastAsia"/>
          <w:b/>
          <w:szCs w:val="24"/>
          <w:lang w:val="zh-CN"/>
        </w:rPr>
        <w:t>一览表”</w:t>
      </w:r>
    </w:p>
    <w:p>
      <w:pPr>
        <w:wordWrap w:val="0"/>
        <w:spacing w:line="360" w:lineRule="auto"/>
        <w:ind w:firstLine="480" w:firstLineChars="200"/>
        <w:jc w:val="left"/>
        <w:rPr>
          <w:rFonts w:cs="Courier New"/>
          <w:b/>
          <w:szCs w:val="21"/>
        </w:rPr>
      </w:pPr>
      <w:r>
        <w:rPr>
          <w:rFonts w:hint="eastAsia" w:ascii="楷体" w:hAnsi="楷体" w:eastAsia="楷体" w:cs="Courier New"/>
          <w:szCs w:val="24"/>
        </w:rPr>
        <w:t>（投标文件（PDF格式）此处可不再重复提供“投标（报价）一览表”）</w:t>
      </w:r>
    </w:p>
    <w:p>
      <w:pPr>
        <w:wordWrap w:val="0"/>
        <w:spacing w:line="360" w:lineRule="auto"/>
        <w:ind w:firstLine="482" w:firstLineChars="200"/>
        <w:jc w:val="left"/>
        <w:rPr>
          <w:rFonts w:cs="Courier New"/>
          <w:b/>
          <w:szCs w:val="21"/>
        </w:rPr>
      </w:pPr>
    </w:p>
    <w:p>
      <w:pPr>
        <w:wordWrap w:val="0"/>
        <w:spacing w:before="100" w:beforeAutospacing="1" w:after="100" w:afterAutospacing="1" w:line="360" w:lineRule="auto"/>
        <w:ind w:firstLine="3316" w:firstLineChars="1382"/>
        <w:rPr>
          <w:bCs/>
          <w:szCs w:val="21"/>
          <w:u w:val="single"/>
          <w:lang w:val="zh-CN"/>
        </w:rPr>
      </w:pPr>
      <w:r>
        <w:rPr>
          <w:rFonts w:hint="eastAsia"/>
          <w:bCs/>
          <w:szCs w:val="21"/>
          <w:lang w:val="zh-CN"/>
        </w:rPr>
        <w:t>投标人（公章）：</w:t>
      </w:r>
      <w:r>
        <w:rPr>
          <w:rFonts w:hint="eastAsia"/>
          <w:bCs/>
          <w:szCs w:val="21"/>
          <w:u w:val="single"/>
          <w:lang w:val="zh-CN"/>
        </w:rPr>
        <w:t xml:space="preserve">                              </w:t>
      </w:r>
    </w:p>
    <w:p>
      <w:pPr>
        <w:wordWrap w:val="0"/>
        <w:spacing w:before="100" w:beforeAutospacing="1" w:after="100" w:afterAutospacing="1" w:line="360" w:lineRule="auto"/>
        <w:ind w:firstLine="3316" w:firstLineChars="1382"/>
        <w:rPr>
          <w:bCs/>
          <w:szCs w:val="21"/>
          <w:u w:val="single"/>
          <w:lang w:val="zh-CN"/>
        </w:rPr>
      </w:pPr>
      <w:r>
        <w:rPr>
          <w:rFonts w:hint="eastAsia"/>
          <w:szCs w:val="24"/>
        </w:rPr>
        <w:t>日   期：</w:t>
      </w:r>
      <w:r>
        <w:rPr>
          <w:rFonts w:hint="eastAsia"/>
          <w:bCs/>
          <w:szCs w:val="21"/>
          <w:u w:val="single"/>
          <w:lang w:val="zh-CN"/>
        </w:rPr>
        <w:t xml:space="preserve">                                   </w:t>
      </w:r>
    </w:p>
    <w:p>
      <w:pPr>
        <w:pStyle w:val="3"/>
        <w:numPr>
          <w:ilvl w:val="0"/>
          <w:numId w:val="77"/>
        </w:numPr>
        <w:tabs>
          <w:tab w:val="left" w:pos="567"/>
        </w:tabs>
        <w:spacing w:line="360" w:lineRule="auto"/>
        <w:ind w:left="482" w:hanging="482" w:hangingChars="200"/>
        <w:jc w:val="left"/>
        <w:rPr>
          <w:rFonts w:cs="Times New Roman" w:asciiTheme="majorEastAsia" w:hAnsiTheme="majorEastAsia"/>
          <w:sz w:val="24"/>
          <w:szCs w:val="24"/>
        </w:rPr>
      </w:pPr>
      <w:bookmarkStart w:id="712" w:name="_Toc14916"/>
      <w:bookmarkStart w:id="713" w:name="_Toc107561243"/>
      <w:bookmarkStart w:id="714" w:name="_Toc511894534"/>
      <w:bookmarkStart w:id="715" w:name="_Toc117244392"/>
      <w:bookmarkStart w:id="716" w:name="_Toc117244507"/>
      <w:bookmarkStart w:id="717" w:name="_Toc511895475"/>
      <w:bookmarkStart w:id="718" w:name="_Toc27933"/>
      <w:bookmarkStart w:id="719" w:name="_Toc107561311"/>
      <w:r>
        <w:rPr>
          <w:rFonts w:hint="eastAsia" w:cs="Times New Roman" w:asciiTheme="majorEastAsia" w:hAnsiTheme="majorEastAsia"/>
          <w:sz w:val="24"/>
          <w:szCs w:val="24"/>
        </w:rPr>
        <w:t>投标报价明细表</w:t>
      </w:r>
      <w:bookmarkEnd w:id="712"/>
      <w:bookmarkEnd w:id="713"/>
      <w:bookmarkEnd w:id="714"/>
      <w:bookmarkEnd w:id="715"/>
      <w:bookmarkEnd w:id="716"/>
      <w:bookmarkEnd w:id="717"/>
      <w:bookmarkEnd w:id="718"/>
    </w:p>
    <w:p>
      <w:pPr>
        <w:spacing w:line="360" w:lineRule="auto"/>
        <w:jc w:val="left"/>
        <w:rPr>
          <w:b/>
          <w:szCs w:val="21"/>
          <w:u w:val="single"/>
          <w:lang w:val="zh-CN"/>
        </w:rPr>
      </w:pPr>
      <w:r>
        <w:rPr>
          <w:rFonts w:hint="eastAsia"/>
          <w:b/>
          <w:szCs w:val="21"/>
          <w:lang w:val="zh-CN"/>
        </w:rPr>
        <w:t>投 标 人：</w:t>
      </w:r>
      <w:r>
        <w:rPr>
          <w:rFonts w:hint="eastAsia"/>
          <w:b/>
          <w:szCs w:val="21"/>
          <w:u w:val="single"/>
          <w:lang w:val="zh-CN"/>
        </w:rPr>
        <w:t xml:space="preserve">                     </w:t>
      </w:r>
    </w:p>
    <w:p>
      <w:pPr>
        <w:spacing w:line="360" w:lineRule="auto"/>
        <w:jc w:val="left"/>
        <w:rPr>
          <w:b/>
          <w:szCs w:val="21"/>
          <w:lang w:val="zh-CN"/>
        </w:rPr>
      </w:pPr>
      <w:r>
        <w:rPr>
          <w:rFonts w:hint="eastAsia"/>
          <w:b/>
          <w:szCs w:val="21"/>
          <w:lang w:val="zh-CN"/>
        </w:rPr>
        <w:t>项目名称：</w:t>
      </w:r>
      <w:r>
        <w:rPr>
          <w:rFonts w:hint="eastAsia"/>
          <w:b/>
          <w:szCs w:val="21"/>
          <w:u w:val="single"/>
          <w:lang w:val="zh-CN"/>
        </w:rPr>
        <w:t xml:space="preserve">                     </w:t>
      </w:r>
    </w:p>
    <w:p>
      <w:pPr>
        <w:spacing w:line="360" w:lineRule="auto"/>
        <w:jc w:val="left"/>
        <w:rPr>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w:t>
      </w:r>
      <w:r>
        <w:rPr>
          <w:b/>
          <w:bCs/>
          <w:szCs w:val="21"/>
          <w:lang w:val="zh-CN"/>
        </w:rPr>
        <w:t xml:space="preserve">          </w:t>
      </w:r>
      <w:r>
        <w:rPr>
          <w:rFonts w:hint="eastAsia"/>
          <w:b/>
          <w:bCs/>
          <w:szCs w:val="21"/>
          <w:lang w:val="zh-CN"/>
        </w:rPr>
        <w:t>包号：</w:t>
      </w:r>
      <w:r>
        <w:rPr>
          <w:rFonts w:hint="eastAsia"/>
          <w:b/>
          <w:bCs/>
          <w:szCs w:val="21"/>
          <w:u w:val="single"/>
          <w:lang w:val="zh-CN"/>
        </w:rPr>
        <w:t xml:space="preserve">           </w:t>
      </w:r>
    </w:p>
    <w:tbl>
      <w:tblPr>
        <w:tblStyle w:val="29"/>
        <w:tblW w:w="10504"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90"/>
        <w:gridCol w:w="1531"/>
        <w:gridCol w:w="1950"/>
        <w:gridCol w:w="725"/>
        <w:gridCol w:w="687"/>
        <w:gridCol w:w="663"/>
        <w:gridCol w:w="1212"/>
        <w:gridCol w:w="1738"/>
        <w:gridCol w:w="140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590" w:type="dxa"/>
            <w:shd w:val="pct10" w:color="C3BD96" w:themeColor="background2" w:themeShade="BF" w:fill="DDD9C4" w:themeFill="background2" w:themeFillShade="E6"/>
            <w:vAlign w:val="center"/>
          </w:tcPr>
          <w:p>
            <w:pPr>
              <w:ind w:left="-120" w:leftChars="-50" w:right="-120" w:rightChars="-50"/>
              <w:jc w:val="center"/>
              <w:rPr>
                <w:rFonts w:cs="宋体"/>
                <w:b/>
              </w:rPr>
            </w:pPr>
            <w:r>
              <w:rPr>
                <w:rFonts w:hint="eastAsia" w:cs="仿宋_GB2312"/>
                <w:b/>
                <w:szCs w:val="24"/>
              </w:rPr>
              <w:t>序号</w:t>
            </w:r>
          </w:p>
        </w:tc>
        <w:tc>
          <w:tcPr>
            <w:tcW w:w="1531" w:type="dxa"/>
            <w:shd w:val="pct10" w:color="C3BD96" w:themeColor="background2" w:themeShade="BF" w:fill="DDD9C4" w:themeFill="background2" w:themeFillShade="E6"/>
            <w:vAlign w:val="center"/>
          </w:tcPr>
          <w:p>
            <w:pPr>
              <w:spacing w:line="360" w:lineRule="auto"/>
              <w:ind w:left="-26" w:leftChars="-11" w:right="-74" w:rightChars="-31"/>
              <w:jc w:val="center"/>
              <w:rPr>
                <w:rFonts w:cs="宋体"/>
                <w:b/>
              </w:rPr>
            </w:pPr>
            <w:r>
              <w:rPr>
                <w:rFonts w:hint="eastAsia" w:cs="宋体"/>
                <w:b/>
              </w:rPr>
              <w:t>（货物/服务）名称</w:t>
            </w:r>
          </w:p>
        </w:tc>
        <w:tc>
          <w:tcPr>
            <w:tcW w:w="1950" w:type="dxa"/>
            <w:shd w:val="pct10" w:color="C3BD96" w:themeColor="background2" w:themeShade="BF" w:fill="DDD9C4" w:themeFill="background2" w:themeFillShade="E6"/>
            <w:vAlign w:val="center"/>
          </w:tcPr>
          <w:p>
            <w:pPr>
              <w:spacing w:line="360" w:lineRule="auto"/>
              <w:ind w:left="-26" w:leftChars="-11" w:right="-74" w:rightChars="-31"/>
              <w:jc w:val="center"/>
              <w:rPr>
                <w:rFonts w:cs="宋体"/>
                <w:b/>
              </w:rPr>
            </w:pPr>
            <w:r>
              <w:rPr>
                <w:rFonts w:hint="eastAsia" w:cs="宋体"/>
                <w:b/>
              </w:rPr>
              <w:t>品牌规格型号（服务内容）</w:t>
            </w:r>
          </w:p>
        </w:tc>
        <w:tc>
          <w:tcPr>
            <w:tcW w:w="725" w:type="dxa"/>
            <w:tcBorders>
              <w:right w:val="single" w:color="auto" w:sz="4" w:space="0"/>
            </w:tcBorders>
            <w:shd w:val="pct10" w:color="C3BD96" w:themeColor="background2" w:themeShade="BF" w:fill="DDD9C4" w:themeFill="background2" w:themeFillShade="E6"/>
            <w:vAlign w:val="center"/>
          </w:tcPr>
          <w:p>
            <w:pPr>
              <w:spacing w:line="360" w:lineRule="auto"/>
              <w:ind w:left="-26" w:leftChars="-11" w:right="-74" w:rightChars="-31"/>
              <w:jc w:val="center"/>
              <w:rPr>
                <w:rFonts w:cs="宋体"/>
                <w:b/>
              </w:rPr>
            </w:pPr>
            <w:r>
              <w:rPr>
                <w:rFonts w:hint="eastAsia" w:cs="宋体"/>
                <w:b/>
              </w:rPr>
              <w:t>数量</w:t>
            </w:r>
          </w:p>
        </w:tc>
        <w:tc>
          <w:tcPr>
            <w:tcW w:w="687" w:type="dxa"/>
            <w:tcBorders>
              <w:left w:val="single" w:color="auto" w:sz="4" w:space="0"/>
            </w:tcBorders>
            <w:shd w:val="pct10" w:color="C3BD96" w:themeColor="background2" w:themeShade="BF" w:fill="DDD9C4" w:themeFill="background2" w:themeFillShade="E6"/>
            <w:vAlign w:val="center"/>
          </w:tcPr>
          <w:p>
            <w:pPr>
              <w:spacing w:line="360" w:lineRule="auto"/>
              <w:ind w:left="-26" w:leftChars="-11" w:right="-74" w:rightChars="-31"/>
              <w:jc w:val="center"/>
              <w:rPr>
                <w:rFonts w:cs="宋体"/>
                <w:b/>
              </w:rPr>
            </w:pPr>
            <w:r>
              <w:rPr>
                <w:rFonts w:hint="eastAsia" w:cs="宋体"/>
                <w:b/>
              </w:rPr>
              <w:t>单位</w:t>
            </w:r>
          </w:p>
        </w:tc>
        <w:tc>
          <w:tcPr>
            <w:tcW w:w="663" w:type="dxa"/>
            <w:shd w:val="pct10" w:color="C3BD96" w:themeColor="background2" w:themeShade="BF" w:fill="DDD9C4" w:themeFill="background2" w:themeFillShade="E6"/>
            <w:vAlign w:val="center"/>
          </w:tcPr>
          <w:p>
            <w:pPr>
              <w:spacing w:line="360" w:lineRule="auto"/>
              <w:ind w:left="-26" w:leftChars="-11" w:right="-74" w:rightChars="-31"/>
              <w:jc w:val="center"/>
              <w:rPr>
                <w:rFonts w:cs="宋体"/>
                <w:b/>
              </w:rPr>
            </w:pPr>
            <w:r>
              <w:rPr>
                <w:rFonts w:hint="eastAsia" w:cs="宋体"/>
                <w:b/>
              </w:rPr>
              <w:t>单价</w:t>
            </w:r>
          </w:p>
        </w:tc>
        <w:tc>
          <w:tcPr>
            <w:tcW w:w="1212" w:type="dxa"/>
            <w:shd w:val="pct10" w:color="C3BD96" w:themeColor="background2" w:themeShade="BF" w:fill="DDD9C4" w:themeFill="background2" w:themeFillShade="E6"/>
            <w:vAlign w:val="center"/>
          </w:tcPr>
          <w:p>
            <w:pPr>
              <w:spacing w:line="360" w:lineRule="auto"/>
              <w:ind w:left="-26" w:leftChars="-11" w:right="-74" w:rightChars="-31"/>
              <w:jc w:val="center"/>
              <w:rPr>
                <w:rFonts w:cs="宋体"/>
                <w:b/>
              </w:rPr>
            </w:pPr>
            <w:r>
              <w:rPr>
                <w:rFonts w:hint="eastAsia" w:cs="宋体"/>
                <w:b/>
              </w:rPr>
              <w:t>分项合计</w:t>
            </w:r>
          </w:p>
        </w:tc>
        <w:tc>
          <w:tcPr>
            <w:tcW w:w="1738" w:type="dxa"/>
            <w:tcBorders>
              <w:right w:val="single" w:color="auto" w:sz="4" w:space="0"/>
            </w:tcBorders>
            <w:shd w:val="pct10" w:color="C3BD96" w:themeColor="background2" w:themeShade="BF" w:fill="DDD9C4" w:themeFill="background2" w:themeFillShade="E6"/>
            <w:vAlign w:val="center"/>
          </w:tcPr>
          <w:p>
            <w:pPr>
              <w:spacing w:line="360" w:lineRule="auto"/>
              <w:ind w:left="-26" w:leftChars="-11" w:right="-74" w:rightChars="-31"/>
              <w:jc w:val="center"/>
              <w:rPr>
                <w:rFonts w:cs="宋体"/>
                <w:b/>
              </w:rPr>
            </w:pPr>
            <w:r>
              <w:rPr>
                <w:rFonts w:hint="eastAsia" w:cs="宋体"/>
                <w:b/>
              </w:rPr>
              <w:t>制造商（服务商）名称</w:t>
            </w:r>
          </w:p>
        </w:tc>
        <w:tc>
          <w:tcPr>
            <w:tcW w:w="1408" w:type="dxa"/>
            <w:tcBorders>
              <w:left w:val="single" w:color="auto" w:sz="4" w:space="0"/>
            </w:tcBorders>
            <w:shd w:val="pct10" w:color="C3BD96" w:themeColor="background2" w:themeShade="BF" w:fill="DDD9C4" w:themeFill="background2" w:themeFillShade="E6"/>
            <w:vAlign w:val="center"/>
          </w:tcPr>
          <w:p>
            <w:pPr>
              <w:spacing w:line="360" w:lineRule="auto"/>
              <w:ind w:left="-26" w:leftChars="-11" w:right="-74" w:rightChars="-31"/>
              <w:jc w:val="center"/>
              <w:rPr>
                <w:rFonts w:cs="宋体"/>
                <w:b/>
              </w:rPr>
            </w:pPr>
            <w:r>
              <w:rPr>
                <w:rFonts w:hint="eastAsia" w:cs="宋体"/>
                <w:b/>
              </w:rPr>
              <w:t>产地</w:t>
            </w:r>
            <w:r>
              <w:rPr>
                <w:rFonts w:cs="宋体"/>
                <w:b/>
              </w:rPr>
              <w:t>及国家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shd w:val="clear" w:color="auto" w:fill="auto"/>
            <w:vAlign w:val="center"/>
          </w:tcPr>
          <w:p>
            <w:pPr>
              <w:numPr>
                <w:ilvl w:val="0"/>
                <w:numId w:val="85"/>
              </w:numPr>
              <w:tabs>
                <w:tab w:val="left" w:pos="61"/>
              </w:tabs>
              <w:adjustRightInd w:val="0"/>
              <w:snapToGrid w:val="0"/>
              <w:ind w:left="-72" w:leftChars="-30" w:firstLine="0"/>
              <w:jc w:val="center"/>
            </w:pPr>
          </w:p>
        </w:tc>
        <w:tc>
          <w:tcPr>
            <w:tcW w:w="1531" w:type="dxa"/>
            <w:shd w:val="clear" w:color="auto" w:fill="auto"/>
            <w:vAlign w:val="center"/>
          </w:tcPr>
          <w:p>
            <w:pPr>
              <w:tabs>
                <w:tab w:val="left" w:pos="0"/>
                <w:tab w:val="left" w:pos="56"/>
              </w:tabs>
              <w:adjustRightInd w:val="0"/>
              <w:snapToGrid w:val="0"/>
              <w:ind w:left="547" w:hanging="547" w:hangingChars="228"/>
              <w:jc w:val="center"/>
            </w:pPr>
          </w:p>
        </w:tc>
        <w:tc>
          <w:tcPr>
            <w:tcW w:w="1950" w:type="dxa"/>
            <w:shd w:val="clear" w:color="auto" w:fill="auto"/>
            <w:vAlign w:val="center"/>
          </w:tcPr>
          <w:p>
            <w:pPr>
              <w:spacing w:line="240" w:lineRule="atLeast"/>
              <w:ind w:left="-55" w:leftChars="-23" w:right="-74" w:rightChars="-31"/>
              <w:jc w:val="left"/>
              <w:rPr>
                <w:rFonts w:cs="宋体"/>
                <w:szCs w:val="24"/>
              </w:rPr>
            </w:pPr>
          </w:p>
        </w:tc>
        <w:tc>
          <w:tcPr>
            <w:tcW w:w="725" w:type="dxa"/>
            <w:tcBorders>
              <w:right w:val="single" w:color="auto" w:sz="4" w:space="0"/>
            </w:tcBorders>
            <w:shd w:val="clear" w:color="auto" w:fill="auto"/>
            <w:vAlign w:val="center"/>
          </w:tcPr>
          <w:p>
            <w:pPr>
              <w:spacing w:line="240" w:lineRule="atLeast"/>
              <w:ind w:left="-55" w:leftChars="-23" w:right="-430" w:rightChars="-179"/>
              <w:jc w:val="center"/>
              <w:rPr>
                <w:rFonts w:cs="宋体"/>
                <w:szCs w:val="24"/>
              </w:rPr>
            </w:pPr>
          </w:p>
        </w:tc>
        <w:tc>
          <w:tcPr>
            <w:tcW w:w="687" w:type="dxa"/>
            <w:tcBorders>
              <w:left w:val="single" w:color="auto" w:sz="4" w:space="0"/>
            </w:tcBorders>
            <w:shd w:val="clear" w:color="auto" w:fill="auto"/>
            <w:vAlign w:val="center"/>
          </w:tcPr>
          <w:p>
            <w:pPr>
              <w:spacing w:line="240" w:lineRule="atLeast"/>
              <w:ind w:left="-55" w:leftChars="-23" w:right="-430" w:rightChars="-179"/>
              <w:jc w:val="center"/>
              <w:rPr>
                <w:rFonts w:cs="宋体"/>
                <w:szCs w:val="24"/>
              </w:rPr>
            </w:pPr>
          </w:p>
        </w:tc>
        <w:tc>
          <w:tcPr>
            <w:tcW w:w="663" w:type="dxa"/>
            <w:shd w:val="clear" w:color="auto" w:fill="auto"/>
            <w:vAlign w:val="center"/>
          </w:tcPr>
          <w:p>
            <w:pPr>
              <w:spacing w:line="240" w:lineRule="atLeast"/>
              <w:ind w:left="-55" w:leftChars="-23" w:right="-74" w:rightChars="-31"/>
              <w:jc w:val="center"/>
              <w:rPr>
                <w:rFonts w:cs="宋体"/>
                <w:szCs w:val="24"/>
              </w:rPr>
            </w:pPr>
          </w:p>
        </w:tc>
        <w:tc>
          <w:tcPr>
            <w:tcW w:w="1212" w:type="dxa"/>
            <w:shd w:val="clear" w:color="auto" w:fill="auto"/>
            <w:vAlign w:val="center"/>
          </w:tcPr>
          <w:p>
            <w:pPr>
              <w:spacing w:line="240" w:lineRule="atLeast"/>
              <w:ind w:left="-55" w:leftChars="-23" w:right="-74" w:rightChars="-31"/>
              <w:jc w:val="left"/>
              <w:rPr>
                <w:rFonts w:cs="宋体"/>
                <w:szCs w:val="24"/>
              </w:rPr>
            </w:pPr>
          </w:p>
        </w:tc>
        <w:tc>
          <w:tcPr>
            <w:tcW w:w="1738" w:type="dxa"/>
            <w:tcBorders>
              <w:right w:val="single" w:color="auto" w:sz="4" w:space="0"/>
            </w:tcBorders>
            <w:shd w:val="clear" w:color="auto" w:fill="auto"/>
            <w:vAlign w:val="center"/>
          </w:tcPr>
          <w:p>
            <w:pPr>
              <w:spacing w:line="240" w:lineRule="atLeast"/>
              <w:ind w:left="-55" w:leftChars="-23" w:right="-74" w:rightChars="-31"/>
              <w:jc w:val="center"/>
              <w:rPr>
                <w:rFonts w:cs="宋体"/>
                <w:szCs w:val="24"/>
              </w:rPr>
            </w:pPr>
          </w:p>
        </w:tc>
        <w:tc>
          <w:tcPr>
            <w:tcW w:w="1408" w:type="dxa"/>
            <w:tcBorders>
              <w:left w:val="single" w:color="auto" w:sz="4" w:space="0"/>
            </w:tcBorders>
            <w:shd w:val="clear" w:color="auto" w:fill="auto"/>
            <w:vAlign w:val="center"/>
          </w:tcPr>
          <w:p>
            <w:pPr>
              <w:spacing w:line="240" w:lineRule="atLeast"/>
              <w:ind w:left="-55" w:leftChars="-23" w:right="-74" w:rightChars="-31"/>
              <w:jc w:val="center"/>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shd w:val="clear" w:color="auto" w:fill="auto"/>
            <w:vAlign w:val="center"/>
          </w:tcPr>
          <w:p>
            <w:pPr>
              <w:numPr>
                <w:ilvl w:val="0"/>
                <w:numId w:val="85"/>
              </w:numPr>
              <w:tabs>
                <w:tab w:val="left" w:pos="61"/>
              </w:tabs>
              <w:adjustRightInd w:val="0"/>
              <w:snapToGrid w:val="0"/>
              <w:ind w:left="-72" w:leftChars="-30" w:firstLine="0"/>
              <w:jc w:val="center"/>
            </w:pPr>
          </w:p>
        </w:tc>
        <w:tc>
          <w:tcPr>
            <w:tcW w:w="1531" w:type="dxa"/>
            <w:shd w:val="clear" w:color="auto" w:fill="auto"/>
            <w:vAlign w:val="center"/>
          </w:tcPr>
          <w:p>
            <w:pPr>
              <w:tabs>
                <w:tab w:val="left" w:pos="0"/>
                <w:tab w:val="left" w:pos="56"/>
              </w:tabs>
              <w:adjustRightInd w:val="0"/>
              <w:snapToGrid w:val="0"/>
              <w:jc w:val="center"/>
            </w:pPr>
          </w:p>
        </w:tc>
        <w:tc>
          <w:tcPr>
            <w:tcW w:w="1950" w:type="dxa"/>
            <w:shd w:val="clear" w:color="auto" w:fill="auto"/>
            <w:vAlign w:val="center"/>
          </w:tcPr>
          <w:p>
            <w:pPr>
              <w:spacing w:line="240" w:lineRule="atLeast"/>
              <w:ind w:left="-55" w:leftChars="-23" w:right="-74" w:rightChars="-31"/>
              <w:jc w:val="left"/>
              <w:rPr>
                <w:rFonts w:cs="宋体"/>
                <w:szCs w:val="24"/>
              </w:rPr>
            </w:pPr>
          </w:p>
        </w:tc>
        <w:tc>
          <w:tcPr>
            <w:tcW w:w="725" w:type="dxa"/>
            <w:tcBorders>
              <w:right w:val="single" w:color="auto" w:sz="4" w:space="0"/>
            </w:tcBorders>
            <w:shd w:val="clear" w:color="auto" w:fill="auto"/>
            <w:vAlign w:val="center"/>
          </w:tcPr>
          <w:p>
            <w:pPr>
              <w:spacing w:line="240" w:lineRule="atLeast"/>
              <w:ind w:left="-55" w:leftChars="-23" w:right="-74" w:rightChars="-31"/>
              <w:jc w:val="center"/>
              <w:rPr>
                <w:rFonts w:cs="宋体"/>
                <w:szCs w:val="24"/>
              </w:rPr>
            </w:pPr>
          </w:p>
        </w:tc>
        <w:tc>
          <w:tcPr>
            <w:tcW w:w="687" w:type="dxa"/>
            <w:tcBorders>
              <w:left w:val="single" w:color="auto" w:sz="4" w:space="0"/>
            </w:tcBorders>
            <w:shd w:val="clear" w:color="auto" w:fill="auto"/>
            <w:vAlign w:val="center"/>
          </w:tcPr>
          <w:p>
            <w:pPr>
              <w:spacing w:line="240" w:lineRule="atLeast"/>
              <w:ind w:left="-55" w:leftChars="-23" w:right="-74" w:rightChars="-31"/>
              <w:jc w:val="center"/>
              <w:rPr>
                <w:rFonts w:cs="宋体"/>
                <w:szCs w:val="24"/>
              </w:rPr>
            </w:pPr>
          </w:p>
        </w:tc>
        <w:tc>
          <w:tcPr>
            <w:tcW w:w="663" w:type="dxa"/>
            <w:shd w:val="clear" w:color="auto" w:fill="auto"/>
            <w:vAlign w:val="center"/>
          </w:tcPr>
          <w:p>
            <w:pPr>
              <w:spacing w:line="240" w:lineRule="atLeast"/>
              <w:ind w:left="-55" w:leftChars="-23" w:right="-74" w:rightChars="-31"/>
              <w:jc w:val="center"/>
              <w:rPr>
                <w:rFonts w:cs="宋体"/>
                <w:szCs w:val="24"/>
              </w:rPr>
            </w:pPr>
          </w:p>
        </w:tc>
        <w:tc>
          <w:tcPr>
            <w:tcW w:w="1212" w:type="dxa"/>
            <w:shd w:val="clear" w:color="auto" w:fill="auto"/>
            <w:vAlign w:val="center"/>
          </w:tcPr>
          <w:p>
            <w:pPr>
              <w:spacing w:line="240" w:lineRule="atLeast"/>
              <w:ind w:left="-55" w:leftChars="-23" w:right="-74" w:rightChars="-31"/>
              <w:jc w:val="left"/>
              <w:rPr>
                <w:rFonts w:cs="宋体"/>
                <w:szCs w:val="24"/>
              </w:rPr>
            </w:pPr>
          </w:p>
        </w:tc>
        <w:tc>
          <w:tcPr>
            <w:tcW w:w="1738" w:type="dxa"/>
            <w:tcBorders>
              <w:right w:val="single" w:color="auto" w:sz="4" w:space="0"/>
            </w:tcBorders>
            <w:shd w:val="clear" w:color="auto" w:fill="auto"/>
            <w:vAlign w:val="center"/>
          </w:tcPr>
          <w:p>
            <w:pPr>
              <w:spacing w:line="240" w:lineRule="atLeast"/>
              <w:ind w:left="-55" w:leftChars="-23" w:right="-74" w:rightChars="-31"/>
              <w:jc w:val="center"/>
              <w:rPr>
                <w:rFonts w:cs="宋体"/>
                <w:szCs w:val="24"/>
              </w:rPr>
            </w:pPr>
          </w:p>
        </w:tc>
        <w:tc>
          <w:tcPr>
            <w:tcW w:w="1408" w:type="dxa"/>
            <w:tcBorders>
              <w:left w:val="single" w:color="auto" w:sz="4" w:space="0"/>
            </w:tcBorders>
            <w:shd w:val="clear" w:color="auto" w:fill="auto"/>
            <w:vAlign w:val="center"/>
          </w:tcPr>
          <w:p>
            <w:pPr>
              <w:spacing w:line="240" w:lineRule="atLeast"/>
              <w:ind w:left="-55" w:leftChars="-23" w:right="-74" w:rightChars="-31"/>
              <w:jc w:val="center"/>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shd w:val="clear" w:color="auto" w:fill="auto"/>
            <w:vAlign w:val="center"/>
          </w:tcPr>
          <w:p>
            <w:pPr>
              <w:numPr>
                <w:ilvl w:val="0"/>
                <w:numId w:val="85"/>
              </w:numPr>
              <w:tabs>
                <w:tab w:val="left" w:pos="61"/>
              </w:tabs>
              <w:adjustRightInd w:val="0"/>
              <w:snapToGrid w:val="0"/>
              <w:ind w:left="-72" w:leftChars="-30" w:firstLine="0"/>
              <w:jc w:val="center"/>
            </w:pPr>
          </w:p>
        </w:tc>
        <w:tc>
          <w:tcPr>
            <w:tcW w:w="1531" w:type="dxa"/>
            <w:shd w:val="clear" w:color="auto" w:fill="auto"/>
            <w:vAlign w:val="center"/>
          </w:tcPr>
          <w:p>
            <w:pPr>
              <w:tabs>
                <w:tab w:val="left" w:pos="0"/>
                <w:tab w:val="left" w:pos="56"/>
              </w:tabs>
              <w:adjustRightInd w:val="0"/>
              <w:snapToGrid w:val="0"/>
              <w:jc w:val="center"/>
            </w:pPr>
          </w:p>
        </w:tc>
        <w:tc>
          <w:tcPr>
            <w:tcW w:w="1950" w:type="dxa"/>
            <w:shd w:val="clear" w:color="auto" w:fill="auto"/>
            <w:vAlign w:val="center"/>
          </w:tcPr>
          <w:p>
            <w:pPr>
              <w:spacing w:line="240" w:lineRule="atLeast"/>
              <w:ind w:left="-55" w:leftChars="-23" w:right="-74" w:rightChars="-31"/>
              <w:jc w:val="left"/>
              <w:rPr>
                <w:rFonts w:cs="宋体"/>
                <w:szCs w:val="24"/>
              </w:rPr>
            </w:pPr>
          </w:p>
        </w:tc>
        <w:tc>
          <w:tcPr>
            <w:tcW w:w="725" w:type="dxa"/>
            <w:tcBorders>
              <w:right w:val="single" w:color="auto" w:sz="4" w:space="0"/>
            </w:tcBorders>
            <w:shd w:val="clear" w:color="auto" w:fill="auto"/>
            <w:vAlign w:val="center"/>
          </w:tcPr>
          <w:p>
            <w:pPr>
              <w:spacing w:line="240" w:lineRule="atLeast"/>
              <w:ind w:left="-55" w:leftChars="-23" w:right="-74" w:rightChars="-31"/>
              <w:jc w:val="center"/>
              <w:rPr>
                <w:rFonts w:cs="宋体"/>
                <w:szCs w:val="24"/>
              </w:rPr>
            </w:pPr>
          </w:p>
        </w:tc>
        <w:tc>
          <w:tcPr>
            <w:tcW w:w="687" w:type="dxa"/>
            <w:tcBorders>
              <w:left w:val="single" w:color="auto" w:sz="4" w:space="0"/>
            </w:tcBorders>
            <w:shd w:val="clear" w:color="auto" w:fill="auto"/>
            <w:vAlign w:val="center"/>
          </w:tcPr>
          <w:p>
            <w:pPr>
              <w:spacing w:line="240" w:lineRule="atLeast"/>
              <w:ind w:left="-55" w:leftChars="-23" w:right="-74" w:rightChars="-31"/>
              <w:jc w:val="center"/>
              <w:rPr>
                <w:rFonts w:cs="宋体"/>
                <w:szCs w:val="24"/>
              </w:rPr>
            </w:pPr>
          </w:p>
        </w:tc>
        <w:tc>
          <w:tcPr>
            <w:tcW w:w="663" w:type="dxa"/>
            <w:shd w:val="clear" w:color="auto" w:fill="auto"/>
            <w:vAlign w:val="center"/>
          </w:tcPr>
          <w:p>
            <w:pPr>
              <w:spacing w:line="240" w:lineRule="atLeast"/>
              <w:ind w:left="-55" w:leftChars="-23" w:right="-74" w:rightChars="-31"/>
              <w:jc w:val="center"/>
              <w:rPr>
                <w:rFonts w:cs="宋体"/>
                <w:szCs w:val="24"/>
              </w:rPr>
            </w:pPr>
          </w:p>
        </w:tc>
        <w:tc>
          <w:tcPr>
            <w:tcW w:w="1212" w:type="dxa"/>
            <w:shd w:val="clear" w:color="auto" w:fill="auto"/>
            <w:vAlign w:val="center"/>
          </w:tcPr>
          <w:p>
            <w:pPr>
              <w:spacing w:line="240" w:lineRule="atLeast"/>
              <w:ind w:left="-55" w:leftChars="-23" w:right="-74" w:rightChars="-31"/>
              <w:jc w:val="left"/>
              <w:rPr>
                <w:rFonts w:cs="宋体"/>
                <w:szCs w:val="24"/>
              </w:rPr>
            </w:pPr>
          </w:p>
        </w:tc>
        <w:tc>
          <w:tcPr>
            <w:tcW w:w="1738" w:type="dxa"/>
            <w:tcBorders>
              <w:right w:val="single" w:color="auto" w:sz="4" w:space="0"/>
            </w:tcBorders>
            <w:shd w:val="clear" w:color="auto" w:fill="auto"/>
            <w:vAlign w:val="center"/>
          </w:tcPr>
          <w:p>
            <w:pPr>
              <w:spacing w:line="240" w:lineRule="atLeast"/>
              <w:ind w:left="-55" w:leftChars="-23" w:right="-74" w:rightChars="-31"/>
              <w:jc w:val="center"/>
              <w:rPr>
                <w:rFonts w:cs="宋体"/>
                <w:szCs w:val="24"/>
              </w:rPr>
            </w:pPr>
          </w:p>
        </w:tc>
        <w:tc>
          <w:tcPr>
            <w:tcW w:w="1408" w:type="dxa"/>
            <w:tcBorders>
              <w:left w:val="single" w:color="auto" w:sz="4" w:space="0"/>
            </w:tcBorders>
            <w:shd w:val="clear" w:color="auto" w:fill="auto"/>
            <w:vAlign w:val="center"/>
          </w:tcPr>
          <w:p>
            <w:pPr>
              <w:spacing w:line="240" w:lineRule="atLeast"/>
              <w:ind w:left="-55" w:leftChars="-23" w:right="-74" w:rightChars="-31"/>
              <w:jc w:val="center"/>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shd w:val="clear" w:color="auto" w:fill="auto"/>
            <w:vAlign w:val="center"/>
          </w:tcPr>
          <w:p>
            <w:pPr>
              <w:numPr>
                <w:ilvl w:val="0"/>
                <w:numId w:val="85"/>
              </w:numPr>
              <w:tabs>
                <w:tab w:val="left" w:pos="61"/>
              </w:tabs>
              <w:adjustRightInd w:val="0"/>
              <w:snapToGrid w:val="0"/>
              <w:ind w:left="-72" w:leftChars="-30" w:firstLine="0"/>
              <w:jc w:val="center"/>
            </w:pPr>
          </w:p>
        </w:tc>
        <w:tc>
          <w:tcPr>
            <w:tcW w:w="1531" w:type="dxa"/>
            <w:shd w:val="clear" w:color="auto" w:fill="auto"/>
            <w:vAlign w:val="center"/>
          </w:tcPr>
          <w:p>
            <w:pPr>
              <w:tabs>
                <w:tab w:val="left" w:pos="0"/>
                <w:tab w:val="left" w:pos="56"/>
              </w:tabs>
              <w:adjustRightInd w:val="0"/>
              <w:snapToGrid w:val="0"/>
              <w:jc w:val="center"/>
            </w:pPr>
          </w:p>
        </w:tc>
        <w:tc>
          <w:tcPr>
            <w:tcW w:w="1950" w:type="dxa"/>
            <w:shd w:val="clear" w:color="auto" w:fill="auto"/>
            <w:vAlign w:val="center"/>
          </w:tcPr>
          <w:p>
            <w:pPr>
              <w:spacing w:line="240" w:lineRule="atLeast"/>
              <w:ind w:left="-55" w:leftChars="-23" w:right="-74" w:rightChars="-31"/>
              <w:jc w:val="left"/>
              <w:rPr>
                <w:rFonts w:cs="宋体"/>
                <w:szCs w:val="24"/>
              </w:rPr>
            </w:pPr>
          </w:p>
        </w:tc>
        <w:tc>
          <w:tcPr>
            <w:tcW w:w="725" w:type="dxa"/>
            <w:tcBorders>
              <w:right w:val="single" w:color="auto" w:sz="4" w:space="0"/>
            </w:tcBorders>
            <w:shd w:val="clear" w:color="auto" w:fill="auto"/>
            <w:vAlign w:val="center"/>
          </w:tcPr>
          <w:p>
            <w:pPr>
              <w:spacing w:line="240" w:lineRule="atLeast"/>
              <w:ind w:left="-55" w:leftChars="-23" w:right="-74" w:rightChars="-31"/>
              <w:jc w:val="center"/>
              <w:rPr>
                <w:rFonts w:cs="宋体"/>
                <w:szCs w:val="24"/>
              </w:rPr>
            </w:pPr>
          </w:p>
        </w:tc>
        <w:tc>
          <w:tcPr>
            <w:tcW w:w="687" w:type="dxa"/>
            <w:tcBorders>
              <w:left w:val="single" w:color="auto" w:sz="4" w:space="0"/>
            </w:tcBorders>
            <w:shd w:val="clear" w:color="auto" w:fill="auto"/>
            <w:vAlign w:val="center"/>
          </w:tcPr>
          <w:p>
            <w:pPr>
              <w:spacing w:line="240" w:lineRule="atLeast"/>
              <w:ind w:left="-55" w:leftChars="-23" w:right="-74" w:rightChars="-31"/>
              <w:jc w:val="center"/>
              <w:rPr>
                <w:rFonts w:cs="宋体"/>
                <w:szCs w:val="24"/>
              </w:rPr>
            </w:pPr>
          </w:p>
        </w:tc>
        <w:tc>
          <w:tcPr>
            <w:tcW w:w="663" w:type="dxa"/>
            <w:shd w:val="clear" w:color="auto" w:fill="auto"/>
            <w:vAlign w:val="center"/>
          </w:tcPr>
          <w:p>
            <w:pPr>
              <w:spacing w:line="240" w:lineRule="atLeast"/>
              <w:ind w:left="-55" w:leftChars="-23" w:right="-74" w:rightChars="-31"/>
              <w:jc w:val="center"/>
              <w:rPr>
                <w:rFonts w:cs="宋体"/>
                <w:szCs w:val="24"/>
              </w:rPr>
            </w:pPr>
          </w:p>
        </w:tc>
        <w:tc>
          <w:tcPr>
            <w:tcW w:w="1212" w:type="dxa"/>
            <w:shd w:val="clear" w:color="auto" w:fill="auto"/>
            <w:vAlign w:val="center"/>
          </w:tcPr>
          <w:p>
            <w:pPr>
              <w:spacing w:line="240" w:lineRule="atLeast"/>
              <w:ind w:left="-55" w:leftChars="-23" w:right="-74" w:rightChars="-31"/>
              <w:jc w:val="left"/>
              <w:rPr>
                <w:rFonts w:cs="宋体"/>
                <w:szCs w:val="24"/>
              </w:rPr>
            </w:pPr>
          </w:p>
        </w:tc>
        <w:tc>
          <w:tcPr>
            <w:tcW w:w="1738" w:type="dxa"/>
            <w:tcBorders>
              <w:right w:val="single" w:color="auto" w:sz="4" w:space="0"/>
            </w:tcBorders>
            <w:shd w:val="clear" w:color="auto" w:fill="auto"/>
            <w:vAlign w:val="center"/>
          </w:tcPr>
          <w:p>
            <w:pPr>
              <w:spacing w:line="240" w:lineRule="atLeast"/>
              <w:ind w:left="-55" w:leftChars="-23" w:right="-74" w:rightChars="-31"/>
              <w:jc w:val="center"/>
              <w:rPr>
                <w:rFonts w:cs="宋体"/>
                <w:szCs w:val="24"/>
              </w:rPr>
            </w:pPr>
          </w:p>
        </w:tc>
        <w:tc>
          <w:tcPr>
            <w:tcW w:w="1408" w:type="dxa"/>
            <w:tcBorders>
              <w:left w:val="single" w:color="auto" w:sz="4" w:space="0"/>
            </w:tcBorders>
            <w:shd w:val="clear" w:color="auto" w:fill="auto"/>
            <w:vAlign w:val="center"/>
          </w:tcPr>
          <w:p>
            <w:pPr>
              <w:spacing w:line="240" w:lineRule="atLeast"/>
              <w:ind w:left="-55" w:leftChars="-23" w:right="-74" w:rightChars="-31"/>
              <w:jc w:val="center"/>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shd w:val="clear" w:color="auto" w:fill="auto"/>
            <w:vAlign w:val="center"/>
          </w:tcPr>
          <w:p>
            <w:pPr>
              <w:numPr>
                <w:ilvl w:val="0"/>
                <w:numId w:val="85"/>
              </w:numPr>
              <w:tabs>
                <w:tab w:val="left" w:pos="61"/>
              </w:tabs>
              <w:adjustRightInd w:val="0"/>
              <w:snapToGrid w:val="0"/>
              <w:ind w:left="-72" w:leftChars="-30" w:firstLine="0"/>
              <w:jc w:val="center"/>
            </w:pPr>
          </w:p>
        </w:tc>
        <w:tc>
          <w:tcPr>
            <w:tcW w:w="1531" w:type="dxa"/>
            <w:shd w:val="clear" w:color="auto" w:fill="auto"/>
            <w:vAlign w:val="center"/>
          </w:tcPr>
          <w:p>
            <w:pPr>
              <w:tabs>
                <w:tab w:val="left" w:pos="0"/>
                <w:tab w:val="left" w:pos="56"/>
              </w:tabs>
              <w:adjustRightInd w:val="0"/>
              <w:snapToGrid w:val="0"/>
              <w:jc w:val="center"/>
            </w:pPr>
          </w:p>
        </w:tc>
        <w:tc>
          <w:tcPr>
            <w:tcW w:w="1950" w:type="dxa"/>
            <w:shd w:val="clear" w:color="auto" w:fill="auto"/>
            <w:vAlign w:val="center"/>
          </w:tcPr>
          <w:p>
            <w:pPr>
              <w:spacing w:line="240" w:lineRule="atLeast"/>
              <w:ind w:left="-55" w:leftChars="-23" w:right="-74" w:rightChars="-31"/>
              <w:jc w:val="left"/>
              <w:rPr>
                <w:rFonts w:cs="宋体"/>
                <w:szCs w:val="24"/>
              </w:rPr>
            </w:pPr>
          </w:p>
        </w:tc>
        <w:tc>
          <w:tcPr>
            <w:tcW w:w="725" w:type="dxa"/>
            <w:tcBorders>
              <w:right w:val="single" w:color="auto" w:sz="4" w:space="0"/>
            </w:tcBorders>
            <w:shd w:val="clear" w:color="auto" w:fill="auto"/>
            <w:vAlign w:val="center"/>
          </w:tcPr>
          <w:p>
            <w:pPr>
              <w:spacing w:line="240" w:lineRule="atLeast"/>
              <w:ind w:left="-55" w:leftChars="-23" w:right="-74" w:rightChars="-31"/>
              <w:jc w:val="center"/>
              <w:rPr>
                <w:rFonts w:cs="宋体"/>
                <w:szCs w:val="24"/>
              </w:rPr>
            </w:pPr>
          </w:p>
        </w:tc>
        <w:tc>
          <w:tcPr>
            <w:tcW w:w="687" w:type="dxa"/>
            <w:tcBorders>
              <w:left w:val="single" w:color="auto" w:sz="4" w:space="0"/>
            </w:tcBorders>
            <w:shd w:val="clear" w:color="auto" w:fill="auto"/>
            <w:vAlign w:val="center"/>
          </w:tcPr>
          <w:p>
            <w:pPr>
              <w:spacing w:line="240" w:lineRule="atLeast"/>
              <w:ind w:left="-55" w:leftChars="-23" w:right="-74" w:rightChars="-31"/>
              <w:jc w:val="center"/>
              <w:rPr>
                <w:rFonts w:cs="宋体"/>
                <w:szCs w:val="24"/>
              </w:rPr>
            </w:pPr>
          </w:p>
        </w:tc>
        <w:tc>
          <w:tcPr>
            <w:tcW w:w="663" w:type="dxa"/>
            <w:shd w:val="clear" w:color="auto" w:fill="auto"/>
            <w:vAlign w:val="center"/>
          </w:tcPr>
          <w:p>
            <w:pPr>
              <w:spacing w:line="240" w:lineRule="atLeast"/>
              <w:ind w:left="-55" w:leftChars="-23" w:right="-74" w:rightChars="-31"/>
              <w:jc w:val="center"/>
              <w:rPr>
                <w:rFonts w:cs="宋体"/>
                <w:szCs w:val="24"/>
              </w:rPr>
            </w:pPr>
          </w:p>
        </w:tc>
        <w:tc>
          <w:tcPr>
            <w:tcW w:w="1212" w:type="dxa"/>
            <w:shd w:val="clear" w:color="auto" w:fill="auto"/>
            <w:vAlign w:val="center"/>
          </w:tcPr>
          <w:p>
            <w:pPr>
              <w:spacing w:line="240" w:lineRule="atLeast"/>
              <w:ind w:left="-55" w:leftChars="-23" w:right="-74" w:rightChars="-31"/>
              <w:jc w:val="left"/>
              <w:rPr>
                <w:rFonts w:cs="宋体"/>
                <w:szCs w:val="24"/>
              </w:rPr>
            </w:pPr>
          </w:p>
        </w:tc>
        <w:tc>
          <w:tcPr>
            <w:tcW w:w="1738" w:type="dxa"/>
            <w:tcBorders>
              <w:right w:val="single" w:color="auto" w:sz="4" w:space="0"/>
            </w:tcBorders>
            <w:shd w:val="clear" w:color="auto" w:fill="auto"/>
            <w:vAlign w:val="center"/>
          </w:tcPr>
          <w:p>
            <w:pPr>
              <w:spacing w:line="240" w:lineRule="atLeast"/>
              <w:ind w:left="-55" w:leftChars="-23" w:right="-74" w:rightChars="-31"/>
              <w:jc w:val="center"/>
              <w:rPr>
                <w:rFonts w:cs="宋体"/>
                <w:szCs w:val="24"/>
              </w:rPr>
            </w:pPr>
          </w:p>
        </w:tc>
        <w:tc>
          <w:tcPr>
            <w:tcW w:w="1408" w:type="dxa"/>
            <w:tcBorders>
              <w:left w:val="single" w:color="auto" w:sz="4" w:space="0"/>
            </w:tcBorders>
            <w:shd w:val="clear" w:color="auto" w:fill="auto"/>
            <w:vAlign w:val="center"/>
          </w:tcPr>
          <w:p>
            <w:pPr>
              <w:spacing w:line="240" w:lineRule="atLeast"/>
              <w:ind w:left="-55" w:leftChars="-23" w:right="-74" w:rightChars="-31"/>
              <w:jc w:val="center"/>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shd w:val="clear" w:color="auto" w:fill="auto"/>
            <w:vAlign w:val="center"/>
          </w:tcPr>
          <w:p>
            <w:pPr>
              <w:numPr>
                <w:ilvl w:val="0"/>
                <w:numId w:val="85"/>
              </w:numPr>
              <w:tabs>
                <w:tab w:val="left" w:pos="61"/>
              </w:tabs>
              <w:adjustRightInd w:val="0"/>
              <w:snapToGrid w:val="0"/>
              <w:ind w:left="-72" w:leftChars="-30" w:firstLine="0"/>
              <w:jc w:val="center"/>
            </w:pPr>
          </w:p>
        </w:tc>
        <w:tc>
          <w:tcPr>
            <w:tcW w:w="1531" w:type="dxa"/>
            <w:shd w:val="clear" w:color="auto" w:fill="auto"/>
            <w:vAlign w:val="center"/>
          </w:tcPr>
          <w:p>
            <w:pPr>
              <w:tabs>
                <w:tab w:val="left" w:pos="0"/>
                <w:tab w:val="left" w:pos="56"/>
              </w:tabs>
              <w:adjustRightInd w:val="0"/>
              <w:snapToGrid w:val="0"/>
              <w:jc w:val="center"/>
            </w:pPr>
          </w:p>
        </w:tc>
        <w:tc>
          <w:tcPr>
            <w:tcW w:w="1950" w:type="dxa"/>
            <w:shd w:val="clear" w:color="auto" w:fill="auto"/>
            <w:vAlign w:val="center"/>
          </w:tcPr>
          <w:p>
            <w:pPr>
              <w:spacing w:line="240" w:lineRule="atLeast"/>
              <w:ind w:left="-55" w:leftChars="-23" w:right="-74" w:rightChars="-31"/>
              <w:jc w:val="left"/>
              <w:rPr>
                <w:rFonts w:cs="宋体"/>
                <w:szCs w:val="24"/>
              </w:rPr>
            </w:pPr>
          </w:p>
        </w:tc>
        <w:tc>
          <w:tcPr>
            <w:tcW w:w="725" w:type="dxa"/>
            <w:tcBorders>
              <w:right w:val="single" w:color="auto" w:sz="4" w:space="0"/>
            </w:tcBorders>
            <w:shd w:val="clear" w:color="auto" w:fill="auto"/>
            <w:vAlign w:val="center"/>
          </w:tcPr>
          <w:p>
            <w:pPr>
              <w:spacing w:line="240" w:lineRule="atLeast"/>
              <w:ind w:left="-55" w:leftChars="-23" w:right="-74" w:rightChars="-31"/>
              <w:jc w:val="center"/>
              <w:rPr>
                <w:rFonts w:cs="宋体"/>
                <w:szCs w:val="24"/>
              </w:rPr>
            </w:pPr>
          </w:p>
        </w:tc>
        <w:tc>
          <w:tcPr>
            <w:tcW w:w="687" w:type="dxa"/>
            <w:tcBorders>
              <w:left w:val="single" w:color="auto" w:sz="4" w:space="0"/>
            </w:tcBorders>
            <w:shd w:val="clear" w:color="auto" w:fill="auto"/>
            <w:vAlign w:val="center"/>
          </w:tcPr>
          <w:p>
            <w:pPr>
              <w:spacing w:line="240" w:lineRule="atLeast"/>
              <w:ind w:left="-55" w:leftChars="-23" w:right="-74" w:rightChars="-31"/>
              <w:jc w:val="center"/>
              <w:rPr>
                <w:rFonts w:cs="宋体"/>
                <w:szCs w:val="24"/>
              </w:rPr>
            </w:pPr>
          </w:p>
        </w:tc>
        <w:tc>
          <w:tcPr>
            <w:tcW w:w="663" w:type="dxa"/>
            <w:shd w:val="clear" w:color="auto" w:fill="auto"/>
            <w:vAlign w:val="center"/>
          </w:tcPr>
          <w:p>
            <w:pPr>
              <w:spacing w:line="240" w:lineRule="atLeast"/>
              <w:ind w:left="-55" w:leftChars="-23" w:right="-74" w:rightChars="-31"/>
              <w:jc w:val="center"/>
              <w:rPr>
                <w:rFonts w:cs="宋体"/>
                <w:szCs w:val="24"/>
              </w:rPr>
            </w:pPr>
          </w:p>
        </w:tc>
        <w:tc>
          <w:tcPr>
            <w:tcW w:w="1212" w:type="dxa"/>
            <w:shd w:val="clear" w:color="auto" w:fill="auto"/>
            <w:vAlign w:val="center"/>
          </w:tcPr>
          <w:p>
            <w:pPr>
              <w:spacing w:line="240" w:lineRule="atLeast"/>
              <w:ind w:left="-55" w:leftChars="-23" w:right="-74" w:rightChars="-31"/>
              <w:jc w:val="left"/>
              <w:rPr>
                <w:rFonts w:cs="宋体"/>
                <w:szCs w:val="24"/>
              </w:rPr>
            </w:pPr>
          </w:p>
        </w:tc>
        <w:tc>
          <w:tcPr>
            <w:tcW w:w="1738" w:type="dxa"/>
            <w:tcBorders>
              <w:right w:val="single" w:color="auto" w:sz="4" w:space="0"/>
            </w:tcBorders>
            <w:shd w:val="clear" w:color="auto" w:fill="auto"/>
            <w:vAlign w:val="center"/>
          </w:tcPr>
          <w:p>
            <w:pPr>
              <w:spacing w:line="240" w:lineRule="atLeast"/>
              <w:ind w:left="-55" w:leftChars="-23" w:right="-74" w:rightChars="-31"/>
              <w:jc w:val="center"/>
              <w:rPr>
                <w:rFonts w:cs="宋体"/>
                <w:szCs w:val="24"/>
              </w:rPr>
            </w:pPr>
          </w:p>
        </w:tc>
        <w:tc>
          <w:tcPr>
            <w:tcW w:w="1408" w:type="dxa"/>
            <w:tcBorders>
              <w:left w:val="single" w:color="auto" w:sz="4" w:space="0"/>
            </w:tcBorders>
            <w:shd w:val="clear" w:color="auto" w:fill="auto"/>
            <w:vAlign w:val="center"/>
          </w:tcPr>
          <w:p>
            <w:pPr>
              <w:spacing w:line="240" w:lineRule="atLeast"/>
              <w:ind w:left="-55" w:leftChars="-23" w:right="-74" w:rightChars="-31"/>
              <w:jc w:val="center"/>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590" w:type="dxa"/>
            <w:shd w:val="clear" w:color="auto" w:fill="auto"/>
            <w:vAlign w:val="center"/>
          </w:tcPr>
          <w:p>
            <w:pPr>
              <w:tabs>
                <w:tab w:val="left" w:pos="82"/>
              </w:tabs>
              <w:adjustRightInd w:val="0"/>
              <w:snapToGrid w:val="0"/>
              <w:jc w:val="center"/>
            </w:pPr>
            <w:r>
              <w:rPr>
                <w:rFonts w:hint="eastAsia"/>
              </w:rPr>
              <w:t>…</w:t>
            </w:r>
          </w:p>
        </w:tc>
        <w:tc>
          <w:tcPr>
            <w:tcW w:w="1531" w:type="dxa"/>
            <w:shd w:val="clear" w:color="auto" w:fill="auto"/>
            <w:vAlign w:val="center"/>
          </w:tcPr>
          <w:p>
            <w:pPr>
              <w:spacing w:line="240" w:lineRule="atLeast"/>
              <w:ind w:left="-55" w:leftChars="-23" w:right="-74" w:rightChars="-31"/>
              <w:jc w:val="left"/>
              <w:rPr>
                <w:rFonts w:cs="宋体"/>
                <w:szCs w:val="24"/>
              </w:rPr>
            </w:pPr>
          </w:p>
        </w:tc>
        <w:tc>
          <w:tcPr>
            <w:tcW w:w="1950" w:type="dxa"/>
            <w:shd w:val="clear" w:color="auto" w:fill="auto"/>
            <w:vAlign w:val="center"/>
          </w:tcPr>
          <w:p>
            <w:pPr>
              <w:spacing w:line="240" w:lineRule="atLeast"/>
              <w:ind w:left="-55" w:leftChars="-23" w:right="-74" w:rightChars="-31"/>
              <w:jc w:val="left"/>
              <w:rPr>
                <w:rFonts w:cs="宋体"/>
                <w:szCs w:val="24"/>
              </w:rPr>
            </w:pPr>
          </w:p>
        </w:tc>
        <w:tc>
          <w:tcPr>
            <w:tcW w:w="725" w:type="dxa"/>
            <w:tcBorders>
              <w:right w:val="single" w:color="auto" w:sz="4" w:space="0"/>
            </w:tcBorders>
            <w:shd w:val="clear" w:color="auto" w:fill="auto"/>
            <w:vAlign w:val="center"/>
          </w:tcPr>
          <w:p>
            <w:pPr>
              <w:spacing w:line="240" w:lineRule="atLeast"/>
              <w:ind w:left="-55" w:leftChars="-23" w:right="-74" w:rightChars="-31"/>
              <w:jc w:val="center"/>
              <w:rPr>
                <w:rFonts w:cs="宋体"/>
                <w:szCs w:val="24"/>
              </w:rPr>
            </w:pPr>
          </w:p>
        </w:tc>
        <w:tc>
          <w:tcPr>
            <w:tcW w:w="687" w:type="dxa"/>
            <w:tcBorders>
              <w:left w:val="single" w:color="auto" w:sz="4" w:space="0"/>
            </w:tcBorders>
            <w:shd w:val="clear" w:color="auto" w:fill="auto"/>
            <w:vAlign w:val="center"/>
          </w:tcPr>
          <w:p>
            <w:pPr>
              <w:spacing w:line="240" w:lineRule="atLeast"/>
              <w:ind w:left="-55" w:leftChars="-23" w:right="-74" w:rightChars="-31"/>
              <w:jc w:val="center"/>
              <w:rPr>
                <w:rFonts w:cs="宋体"/>
                <w:szCs w:val="24"/>
              </w:rPr>
            </w:pPr>
          </w:p>
        </w:tc>
        <w:tc>
          <w:tcPr>
            <w:tcW w:w="663" w:type="dxa"/>
            <w:shd w:val="clear" w:color="auto" w:fill="auto"/>
            <w:vAlign w:val="center"/>
          </w:tcPr>
          <w:p>
            <w:pPr>
              <w:spacing w:line="240" w:lineRule="atLeast"/>
              <w:ind w:left="-55" w:leftChars="-23" w:right="-74" w:rightChars="-31"/>
              <w:jc w:val="center"/>
              <w:rPr>
                <w:rFonts w:cs="宋体"/>
                <w:szCs w:val="24"/>
              </w:rPr>
            </w:pPr>
          </w:p>
        </w:tc>
        <w:tc>
          <w:tcPr>
            <w:tcW w:w="1212" w:type="dxa"/>
            <w:shd w:val="clear" w:color="auto" w:fill="auto"/>
            <w:vAlign w:val="center"/>
          </w:tcPr>
          <w:p>
            <w:pPr>
              <w:spacing w:line="240" w:lineRule="atLeast"/>
              <w:ind w:left="-55" w:leftChars="-23" w:right="-74" w:rightChars="-31"/>
              <w:jc w:val="left"/>
              <w:rPr>
                <w:rFonts w:cs="宋体"/>
                <w:szCs w:val="24"/>
              </w:rPr>
            </w:pPr>
          </w:p>
        </w:tc>
        <w:tc>
          <w:tcPr>
            <w:tcW w:w="1738" w:type="dxa"/>
            <w:tcBorders>
              <w:right w:val="single" w:color="auto" w:sz="4" w:space="0"/>
            </w:tcBorders>
            <w:shd w:val="clear" w:color="auto" w:fill="auto"/>
            <w:vAlign w:val="center"/>
          </w:tcPr>
          <w:p>
            <w:pPr>
              <w:spacing w:line="240" w:lineRule="atLeast"/>
              <w:ind w:left="-55" w:leftChars="-23" w:right="-74" w:rightChars="-31"/>
              <w:jc w:val="center"/>
              <w:rPr>
                <w:rFonts w:cs="宋体"/>
                <w:szCs w:val="24"/>
              </w:rPr>
            </w:pPr>
          </w:p>
        </w:tc>
        <w:tc>
          <w:tcPr>
            <w:tcW w:w="1408" w:type="dxa"/>
            <w:tcBorders>
              <w:left w:val="single" w:color="auto" w:sz="4" w:space="0"/>
            </w:tcBorders>
            <w:shd w:val="clear" w:color="auto" w:fill="auto"/>
            <w:vAlign w:val="center"/>
          </w:tcPr>
          <w:p>
            <w:pPr>
              <w:spacing w:line="240" w:lineRule="atLeast"/>
              <w:ind w:left="-55" w:leftChars="-23" w:right="-74" w:rightChars="-31"/>
              <w:jc w:val="center"/>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5" w:hRule="atLeast"/>
          <w:jc w:val="center"/>
        </w:trPr>
        <w:tc>
          <w:tcPr>
            <w:tcW w:w="6146" w:type="dxa"/>
            <w:gridSpan w:val="6"/>
            <w:shd w:val="clear" w:color="auto" w:fill="auto"/>
            <w:vAlign w:val="center"/>
          </w:tcPr>
          <w:p>
            <w:pPr>
              <w:spacing w:line="240" w:lineRule="atLeast"/>
              <w:ind w:left="-55" w:leftChars="-23" w:right="-74" w:rightChars="-31"/>
              <w:jc w:val="center"/>
              <w:rPr>
                <w:rFonts w:cs="宋体"/>
                <w:b/>
                <w:szCs w:val="24"/>
              </w:rPr>
            </w:pPr>
            <w:r>
              <w:rPr>
                <w:rFonts w:hint="eastAsia" w:cs="宋体"/>
                <w:b/>
                <w:szCs w:val="24"/>
              </w:rPr>
              <w:t>合计</w:t>
            </w:r>
          </w:p>
        </w:tc>
        <w:tc>
          <w:tcPr>
            <w:tcW w:w="4358" w:type="dxa"/>
            <w:gridSpan w:val="3"/>
            <w:shd w:val="clear" w:color="auto" w:fill="auto"/>
            <w:vAlign w:val="center"/>
          </w:tcPr>
          <w:p>
            <w:pPr>
              <w:spacing w:line="240" w:lineRule="atLeast"/>
              <w:ind w:left="-55" w:leftChars="-23" w:right="-74" w:rightChars="-31"/>
              <w:jc w:val="left"/>
              <w:rPr>
                <w:rFonts w:cs="宋体"/>
                <w:szCs w:val="24"/>
              </w:rPr>
            </w:pPr>
          </w:p>
        </w:tc>
      </w:tr>
    </w:tbl>
    <w:p>
      <w:pPr>
        <w:spacing w:line="360" w:lineRule="auto"/>
        <w:ind w:left="1091" w:hanging="1091" w:hangingChars="453"/>
        <w:jc w:val="left"/>
      </w:pPr>
      <w:r>
        <w:rPr>
          <w:rFonts w:hint="eastAsia"/>
          <w:b/>
        </w:rPr>
        <w:t>说明：</w:t>
      </w:r>
      <w:r>
        <w:rPr>
          <w:rFonts w:hint="eastAsia"/>
        </w:rPr>
        <w:t>1.报价</w:t>
      </w:r>
      <w:r>
        <w:rPr>
          <w:rFonts w:hint="eastAsia" w:cs="Courier New"/>
          <w:szCs w:val="21"/>
        </w:rPr>
        <w:t>明细表</w:t>
      </w:r>
      <w:r>
        <w:rPr>
          <w:rFonts w:hint="eastAsia"/>
        </w:rPr>
        <w:t>合计应与数据文件《投标（报价）一览表》中的投标总报价一致。</w:t>
      </w:r>
    </w:p>
    <w:p>
      <w:pPr>
        <w:spacing w:line="360" w:lineRule="auto"/>
        <w:ind w:left="1106" w:leftChars="299" w:hanging="388" w:hangingChars="162"/>
        <w:jc w:val="left"/>
      </w:pPr>
      <w:r>
        <w:rPr>
          <w:rFonts w:hint="eastAsia"/>
        </w:rPr>
        <w:t>2.品牌规格型号：货物填写所投产品的品牌及规格型号名称、服务填写所提供的服务内容。</w:t>
      </w:r>
    </w:p>
    <w:p>
      <w:pPr>
        <w:spacing w:line="360" w:lineRule="auto"/>
        <w:ind w:left="1106" w:leftChars="299" w:hanging="388" w:hangingChars="162"/>
        <w:jc w:val="left"/>
      </w:pPr>
      <w:r>
        <w:rPr>
          <w:rFonts w:hint="eastAsia"/>
        </w:rPr>
        <w:t>3.制造厂家：货物填写生产该货物的厂家名称、服务填写承接该服务企业名称。</w:t>
      </w:r>
    </w:p>
    <w:p>
      <w:pPr>
        <w:spacing w:line="360" w:lineRule="auto"/>
        <w:ind w:left="1106" w:leftChars="299" w:hanging="388" w:hangingChars="162"/>
        <w:jc w:val="left"/>
      </w:pPr>
      <w:r>
        <w:rPr>
          <w:rFonts w:hint="eastAsia"/>
        </w:rPr>
        <w:t>4.未提供详细的货物（服务）报价明细</w:t>
      </w:r>
      <w:r>
        <w:rPr>
          <w:rFonts w:hint="eastAsia" w:cs="Corbel"/>
        </w:rPr>
        <w:t>，</w:t>
      </w:r>
      <w:r>
        <w:rPr>
          <w:rFonts w:hint="eastAsia"/>
        </w:rPr>
        <w:t>导致的后果由投标人自行承担。</w:t>
      </w:r>
    </w:p>
    <w:p>
      <w:pPr>
        <w:spacing w:line="360" w:lineRule="auto"/>
        <w:ind w:left="1240" w:leftChars="360" w:hanging="376" w:hangingChars="157"/>
        <w:jc w:val="left"/>
      </w:pPr>
    </w:p>
    <w:p>
      <w:pPr>
        <w:widowControl/>
        <w:jc w:val="left"/>
        <w:rPr>
          <w:rFonts w:cstheme="majorBidi"/>
          <w:b/>
          <w:bCs/>
          <w:szCs w:val="24"/>
        </w:rPr>
      </w:pPr>
      <w:r>
        <w:rPr>
          <w:szCs w:val="24"/>
        </w:rPr>
        <w:br w:type="page"/>
      </w:r>
    </w:p>
    <w:bookmarkEnd w:id="719"/>
    <w:p>
      <w:pPr>
        <w:pStyle w:val="3"/>
        <w:numPr>
          <w:ilvl w:val="0"/>
          <w:numId w:val="77"/>
        </w:numPr>
        <w:tabs>
          <w:tab w:val="left" w:pos="567"/>
        </w:tabs>
        <w:spacing w:before="0" w:after="0" w:line="360" w:lineRule="auto"/>
        <w:ind w:left="482" w:hanging="482" w:hangingChars="200"/>
        <w:jc w:val="left"/>
        <w:rPr>
          <w:rFonts w:ascii="宋体" w:hAnsi="宋体" w:eastAsia="宋体"/>
          <w:sz w:val="24"/>
          <w:szCs w:val="24"/>
        </w:rPr>
      </w:pPr>
      <w:bookmarkStart w:id="720" w:name="_Toc117244508"/>
      <w:bookmarkStart w:id="721" w:name="_Toc107561312"/>
      <w:bookmarkStart w:id="722" w:name="_Toc20918"/>
      <w:bookmarkStart w:id="723" w:name="_Toc117244393"/>
      <w:bookmarkStart w:id="724" w:name="_Toc29628"/>
      <w:r>
        <w:rPr>
          <w:rFonts w:hint="eastAsia" w:ascii="宋体" w:hAnsi="宋体" w:eastAsia="宋体"/>
          <w:sz w:val="24"/>
          <w:szCs w:val="24"/>
        </w:rPr>
        <w:t>法定代表人身份证明</w:t>
      </w:r>
      <w:bookmarkEnd w:id="720"/>
      <w:bookmarkEnd w:id="721"/>
      <w:bookmarkEnd w:id="722"/>
      <w:bookmarkEnd w:id="723"/>
      <w:bookmarkEnd w:id="724"/>
    </w:p>
    <w:p>
      <w:pPr>
        <w:wordWrap w:val="0"/>
        <w:spacing w:line="360" w:lineRule="auto"/>
        <w:ind w:firstLine="360" w:firstLineChars="150"/>
        <w:rPr>
          <w:rFonts w:ascii="楷体" w:hAnsi="楷体" w:eastAsia="楷体"/>
          <w:szCs w:val="24"/>
        </w:rPr>
      </w:pPr>
      <w:r>
        <w:rPr>
          <w:rFonts w:hint="eastAsia" w:ascii="楷体" w:hAnsi="楷体" w:eastAsia="楷体"/>
          <w:szCs w:val="24"/>
        </w:rPr>
        <w:t>（自然人提供身份证明）</w:t>
      </w:r>
    </w:p>
    <w:p>
      <w:pPr>
        <w:pStyle w:val="11"/>
      </w:pPr>
    </w:p>
    <w:p>
      <w:pPr>
        <w:wordWrap w:val="0"/>
        <w:spacing w:line="360" w:lineRule="auto"/>
        <w:ind w:firstLine="480" w:firstLineChars="200"/>
        <w:rPr>
          <w:szCs w:val="24"/>
          <w:u w:val="single"/>
        </w:rPr>
      </w:pPr>
      <w:r>
        <w:rPr>
          <w:rFonts w:hint="eastAsia"/>
          <w:szCs w:val="24"/>
        </w:rPr>
        <w:t>投标人名称：</w:t>
      </w:r>
      <w:r>
        <w:rPr>
          <w:szCs w:val="24"/>
          <w:u w:val="single"/>
        </w:rPr>
        <w:t xml:space="preserve"> </w:t>
      </w:r>
      <w:r>
        <w:rPr>
          <w:szCs w:val="24"/>
          <w:u w:val="single"/>
        </w:rPr>
        <w:tab/>
      </w:r>
      <w:r>
        <w:rPr>
          <w:rFonts w:hint="eastAsia"/>
          <w:szCs w:val="24"/>
          <w:u w:val="single"/>
        </w:rPr>
        <w:t xml:space="preserve">                         </w:t>
      </w:r>
    </w:p>
    <w:p>
      <w:pPr>
        <w:wordWrap w:val="0"/>
        <w:spacing w:line="360" w:lineRule="auto"/>
        <w:ind w:firstLine="480" w:firstLineChars="200"/>
        <w:rPr>
          <w:szCs w:val="24"/>
        </w:rPr>
      </w:pPr>
      <w:r>
        <w:rPr>
          <w:rFonts w:hint="eastAsia"/>
          <w:szCs w:val="24"/>
        </w:rPr>
        <w:t>姓名：</w:t>
      </w:r>
      <w:r>
        <w:rPr>
          <w:szCs w:val="24"/>
          <w:u w:val="single"/>
        </w:rPr>
        <w:t xml:space="preserve"> </w:t>
      </w:r>
      <w:r>
        <w:rPr>
          <w:rFonts w:hint="eastAsia"/>
          <w:szCs w:val="24"/>
          <w:u w:val="single"/>
        </w:rPr>
        <w:t xml:space="preserve">   </w:t>
      </w:r>
      <w:r>
        <w:rPr>
          <w:szCs w:val="24"/>
          <w:u w:val="single"/>
        </w:rPr>
        <w:tab/>
      </w:r>
      <w:r>
        <w:rPr>
          <w:rFonts w:hint="eastAsia"/>
          <w:szCs w:val="24"/>
        </w:rPr>
        <w:t>性别：</w:t>
      </w:r>
      <w:r>
        <w:rPr>
          <w:szCs w:val="24"/>
          <w:u w:val="single"/>
        </w:rPr>
        <w:t xml:space="preserve"> </w:t>
      </w:r>
      <w:r>
        <w:rPr>
          <w:rFonts w:hint="eastAsia"/>
          <w:szCs w:val="24"/>
          <w:u w:val="single"/>
        </w:rPr>
        <w:t xml:space="preserve">    </w:t>
      </w:r>
      <w:r>
        <w:rPr>
          <w:szCs w:val="24"/>
          <w:u w:val="single"/>
        </w:rPr>
        <w:tab/>
      </w:r>
      <w:r>
        <w:rPr>
          <w:rFonts w:hint="eastAsia"/>
          <w:szCs w:val="24"/>
        </w:rPr>
        <w:t>年龄：</w:t>
      </w:r>
      <w:r>
        <w:rPr>
          <w:szCs w:val="24"/>
          <w:u w:val="single"/>
        </w:rPr>
        <w:t xml:space="preserve"> </w:t>
      </w:r>
      <w:r>
        <w:rPr>
          <w:rFonts w:hint="eastAsia"/>
          <w:szCs w:val="24"/>
          <w:u w:val="single"/>
        </w:rPr>
        <w:t xml:space="preserve">    </w:t>
      </w:r>
      <w:r>
        <w:rPr>
          <w:szCs w:val="24"/>
          <w:u w:val="single"/>
        </w:rPr>
        <w:tab/>
      </w:r>
      <w:r>
        <w:rPr>
          <w:rFonts w:hint="eastAsia"/>
          <w:szCs w:val="24"/>
        </w:rPr>
        <w:t>职务：</w:t>
      </w:r>
      <w:r>
        <w:rPr>
          <w:szCs w:val="24"/>
          <w:u w:val="single"/>
        </w:rPr>
        <w:t xml:space="preserve"> </w:t>
      </w:r>
      <w:r>
        <w:rPr>
          <w:rFonts w:hint="eastAsia"/>
          <w:szCs w:val="24"/>
          <w:u w:val="single"/>
        </w:rPr>
        <w:t xml:space="preserve">      </w:t>
      </w:r>
      <w:r>
        <w:rPr>
          <w:szCs w:val="24"/>
          <w:u w:val="single"/>
        </w:rPr>
        <w:tab/>
      </w:r>
      <w:r>
        <w:rPr>
          <w:rFonts w:hint="eastAsia"/>
          <w:szCs w:val="24"/>
        </w:rPr>
        <w:t>，系</w:t>
      </w:r>
      <w:r>
        <w:rPr>
          <w:szCs w:val="24"/>
          <w:u w:val="single"/>
        </w:rPr>
        <w:t xml:space="preserve">  </w:t>
      </w:r>
      <w:r>
        <w:rPr>
          <w:szCs w:val="24"/>
          <w:u w:val="single"/>
        </w:rPr>
        <w:tab/>
      </w:r>
      <w:r>
        <w:rPr>
          <w:rFonts w:hint="eastAsia"/>
          <w:i/>
          <w:szCs w:val="24"/>
          <w:u w:val="single"/>
        </w:rPr>
        <w:t>（投标人名称）</w:t>
      </w:r>
      <w:r>
        <w:rPr>
          <w:rFonts w:hint="eastAsia"/>
          <w:szCs w:val="24"/>
          <w:u w:val="single"/>
        </w:rPr>
        <w:t xml:space="preserve">  </w:t>
      </w:r>
      <w:r>
        <w:rPr>
          <w:rFonts w:hint="eastAsia"/>
          <w:szCs w:val="24"/>
        </w:rPr>
        <w:t>的法定代表人。</w:t>
      </w:r>
    </w:p>
    <w:p>
      <w:pPr>
        <w:wordWrap w:val="0"/>
        <w:spacing w:line="360" w:lineRule="auto"/>
        <w:ind w:firstLine="480" w:firstLineChars="200"/>
        <w:rPr>
          <w:szCs w:val="24"/>
        </w:rPr>
      </w:pPr>
      <w:r>
        <w:rPr>
          <w:rFonts w:hint="eastAsia"/>
          <w:szCs w:val="24"/>
        </w:rPr>
        <w:t>特此证明。</w:t>
      </w:r>
    </w:p>
    <w:p>
      <w:pPr>
        <w:wordWrap w:val="0"/>
        <w:spacing w:before="100" w:beforeAutospacing="1" w:after="100" w:afterAutospacing="1" w:line="360" w:lineRule="auto"/>
        <w:ind w:firstLine="3316" w:firstLineChars="1382"/>
        <w:rPr>
          <w:bCs/>
          <w:u w:val="single"/>
        </w:rPr>
      </w:pPr>
      <w:r>
        <w:rPr>
          <w:rFonts w:hint="eastAsia"/>
          <w:bCs/>
        </w:rPr>
        <w:t>投标人（公章）：</w:t>
      </w:r>
      <w:r>
        <w:rPr>
          <w:rFonts w:hint="eastAsia"/>
          <w:bCs/>
          <w:u w:val="single"/>
        </w:rPr>
        <w:t xml:space="preserve">                             </w:t>
      </w:r>
    </w:p>
    <w:p>
      <w:pPr>
        <w:wordWrap w:val="0"/>
        <w:spacing w:line="360" w:lineRule="auto"/>
        <w:ind w:firstLine="3240" w:firstLineChars="1350"/>
      </w:pPr>
      <w:r>
        <w:rPr>
          <w:rFonts w:hint="eastAsia"/>
          <w:szCs w:val="24"/>
        </w:rPr>
        <w:t>日   期：</w:t>
      </w:r>
      <w:r>
        <w:rPr>
          <w:rFonts w:hint="eastAsia"/>
          <w:bCs/>
          <w:u w:val="single"/>
        </w:rPr>
        <w:t xml:space="preserve">                                   </w:t>
      </w:r>
    </w:p>
    <w:p>
      <w:pPr>
        <w:wordWrap w:val="0"/>
        <w:spacing w:line="360" w:lineRule="auto"/>
        <w:rPr>
          <w:szCs w:val="24"/>
        </w:rPr>
      </w:pPr>
    </w:p>
    <w:p>
      <w:pPr>
        <w:wordWrap w:val="0"/>
        <w:spacing w:line="360" w:lineRule="auto"/>
        <w:rPr>
          <w:szCs w:val="24"/>
        </w:rPr>
      </w:pPr>
      <w:r>
        <w:rPr>
          <w:rFonts w:hint="eastAsia"/>
          <w:szCs w:val="24"/>
        </w:rPr>
        <w:t>附：</w:t>
      </w:r>
    </w:p>
    <w:p>
      <w:pPr>
        <w:wordWrap w:val="0"/>
        <w:spacing w:line="360" w:lineRule="auto"/>
        <w:ind w:firstLine="480" w:firstLineChars="200"/>
        <w:rPr>
          <w:szCs w:val="24"/>
        </w:rPr>
      </w:pPr>
      <w:r>
        <w:rPr>
          <w:rFonts w:hint="eastAsia"/>
          <w:szCs w:val="24"/>
        </w:rPr>
        <w:t>法定代表人姓名：</w:t>
      </w:r>
      <w:r>
        <w:rPr>
          <w:rFonts w:hint="eastAsia"/>
          <w:szCs w:val="24"/>
          <w:u w:val="single"/>
        </w:rPr>
        <w:t xml:space="preserve">                         </w:t>
      </w:r>
    </w:p>
    <w:p>
      <w:pPr>
        <w:wordWrap w:val="0"/>
        <w:spacing w:line="360" w:lineRule="auto"/>
        <w:ind w:firstLine="480" w:firstLineChars="200"/>
        <w:rPr>
          <w:szCs w:val="24"/>
        </w:rPr>
      </w:pPr>
      <w:r>
        <w:rPr>
          <w:rFonts w:hint="eastAsia"/>
          <w:szCs w:val="24"/>
        </w:rPr>
        <w:t>性别：</w:t>
      </w:r>
      <w:r>
        <w:rPr>
          <w:rFonts w:hint="eastAsia"/>
          <w:szCs w:val="24"/>
          <w:u w:val="single"/>
        </w:rPr>
        <w:t xml:space="preserve">           </w:t>
      </w:r>
    </w:p>
    <w:p>
      <w:pPr>
        <w:wordWrap w:val="0"/>
        <w:spacing w:line="360" w:lineRule="auto"/>
        <w:ind w:firstLine="480" w:firstLineChars="200"/>
        <w:rPr>
          <w:szCs w:val="24"/>
          <w:u w:val="single"/>
        </w:rPr>
      </w:pPr>
      <w:r>
        <w:rPr>
          <w:rFonts w:hint="eastAsia"/>
          <w:szCs w:val="24"/>
        </w:rPr>
        <w:t>身份证号码：</w:t>
      </w:r>
      <w:r>
        <w:rPr>
          <w:rFonts w:hint="eastAsia"/>
          <w:szCs w:val="24"/>
          <w:u w:val="single"/>
        </w:rPr>
        <w:t xml:space="preserve">                   </w:t>
      </w:r>
    </w:p>
    <w:p>
      <w:pPr>
        <w:wordWrap w:val="0"/>
        <w:spacing w:line="360" w:lineRule="auto"/>
        <w:ind w:firstLine="480" w:firstLineChars="200"/>
        <w:rPr>
          <w:szCs w:val="24"/>
        </w:rPr>
      </w:pPr>
      <w:r>
        <w:rPr>
          <w:rFonts w:hint="eastAsia"/>
          <w:szCs w:val="24"/>
        </w:rPr>
        <w:t>电话：</w:t>
      </w:r>
      <w:r>
        <w:rPr>
          <w:rFonts w:hint="eastAsia"/>
          <w:szCs w:val="24"/>
          <w:u w:val="single"/>
        </w:rPr>
        <w:t xml:space="preserve">                         </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0"/>
        <w:gridCol w:w="4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0" w:hRule="atLeast"/>
          <w:jc w:val="center"/>
        </w:trPr>
        <w:tc>
          <w:tcPr>
            <w:tcW w:w="4400" w:type="dxa"/>
          </w:tcPr>
          <w:p>
            <w:pPr>
              <w:wordWrap w:val="0"/>
              <w:spacing w:line="360" w:lineRule="auto"/>
              <w:rPr>
                <w:szCs w:val="24"/>
              </w:rPr>
            </w:pPr>
            <w:r>
              <w:rPr>
                <w:rFonts w:hint="eastAsia"/>
                <w:szCs w:val="24"/>
              </w:rPr>
              <w:t>法定代表人身份证</w:t>
            </w:r>
          </w:p>
          <w:p>
            <w:pPr>
              <w:wordWrap w:val="0"/>
              <w:spacing w:line="360" w:lineRule="auto"/>
              <w:rPr>
                <w:szCs w:val="24"/>
              </w:rPr>
            </w:pPr>
            <w:r>
              <w:rPr>
                <w:rFonts w:hint="eastAsia"/>
                <w:szCs w:val="24"/>
              </w:rPr>
              <w:t>（正面清晰彩色影印件）</w:t>
            </w:r>
          </w:p>
        </w:tc>
        <w:tc>
          <w:tcPr>
            <w:tcW w:w="4569" w:type="dxa"/>
          </w:tcPr>
          <w:p>
            <w:pPr>
              <w:wordWrap w:val="0"/>
              <w:spacing w:line="360" w:lineRule="auto"/>
              <w:rPr>
                <w:szCs w:val="24"/>
              </w:rPr>
            </w:pPr>
            <w:r>
              <w:rPr>
                <w:rFonts w:hint="eastAsia"/>
                <w:szCs w:val="24"/>
              </w:rPr>
              <w:t>法定代表人身份证</w:t>
            </w:r>
          </w:p>
          <w:p>
            <w:pPr>
              <w:wordWrap w:val="0"/>
              <w:spacing w:line="360" w:lineRule="auto"/>
              <w:rPr>
                <w:szCs w:val="24"/>
              </w:rPr>
            </w:pPr>
            <w:r>
              <w:rPr>
                <w:rFonts w:hint="eastAsia"/>
                <w:szCs w:val="24"/>
              </w:rPr>
              <w:t>（反面清晰彩色影印件）</w:t>
            </w:r>
          </w:p>
        </w:tc>
      </w:tr>
    </w:tbl>
    <w:p>
      <w:pPr>
        <w:widowControl/>
        <w:wordWrap w:val="0"/>
        <w:spacing w:line="360" w:lineRule="auto"/>
        <w:jc w:val="left"/>
        <w:rPr>
          <w:rFonts w:cstheme="majorBidi"/>
          <w:b/>
          <w:bCs/>
          <w:sz w:val="32"/>
          <w:szCs w:val="32"/>
        </w:rPr>
      </w:pPr>
      <w:r>
        <w:br w:type="page"/>
      </w:r>
    </w:p>
    <w:p>
      <w:pPr>
        <w:pStyle w:val="3"/>
        <w:numPr>
          <w:ilvl w:val="0"/>
          <w:numId w:val="77"/>
        </w:numPr>
        <w:tabs>
          <w:tab w:val="left" w:pos="567"/>
        </w:tabs>
        <w:spacing w:before="0" w:after="0" w:line="360" w:lineRule="auto"/>
        <w:ind w:left="482" w:hanging="482" w:hangingChars="200"/>
        <w:jc w:val="left"/>
        <w:rPr>
          <w:rFonts w:ascii="宋体" w:hAnsi="宋体" w:eastAsia="宋体"/>
          <w:sz w:val="24"/>
          <w:szCs w:val="24"/>
        </w:rPr>
      </w:pPr>
      <w:bookmarkStart w:id="725" w:name="_Toc107561313"/>
      <w:bookmarkStart w:id="726" w:name="_Toc117244509"/>
      <w:bookmarkStart w:id="727" w:name="_Toc117244394"/>
      <w:bookmarkStart w:id="728" w:name="_Toc30364"/>
      <w:bookmarkStart w:id="729" w:name="_Toc19085"/>
      <w:r>
        <w:rPr>
          <w:rFonts w:hint="eastAsia" w:ascii="宋体" w:hAnsi="宋体" w:eastAsia="宋体"/>
          <w:sz w:val="24"/>
          <w:szCs w:val="24"/>
        </w:rPr>
        <w:t>法定代表人授权书</w:t>
      </w:r>
      <w:bookmarkEnd w:id="725"/>
      <w:bookmarkEnd w:id="726"/>
      <w:bookmarkEnd w:id="727"/>
      <w:bookmarkEnd w:id="728"/>
      <w:bookmarkEnd w:id="729"/>
    </w:p>
    <w:p>
      <w:pPr>
        <w:wordWrap w:val="0"/>
        <w:spacing w:line="360" w:lineRule="auto"/>
        <w:ind w:firstLine="360" w:firstLineChars="150"/>
        <w:rPr>
          <w:szCs w:val="24"/>
        </w:rPr>
      </w:pPr>
      <w:r>
        <w:rPr>
          <w:rFonts w:hint="eastAsia"/>
          <w:szCs w:val="24"/>
        </w:rPr>
        <w:t>（</w:t>
      </w:r>
      <w:r>
        <w:rPr>
          <w:rFonts w:hint="eastAsia" w:ascii="楷体" w:hAnsi="楷体" w:eastAsia="楷体"/>
          <w:szCs w:val="24"/>
        </w:rPr>
        <w:t>法定代表人参与投标活动、处理投标活动中的一切事宜的，可不用提供</w:t>
      </w:r>
      <w:r>
        <w:rPr>
          <w:rFonts w:hint="eastAsia"/>
          <w:szCs w:val="24"/>
        </w:rPr>
        <w:t>）</w:t>
      </w:r>
    </w:p>
    <w:p>
      <w:pPr>
        <w:pStyle w:val="11"/>
      </w:pPr>
    </w:p>
    <w:p>
      <w:pPr>
        <w:wordWrap w:val="0"/>
        <w:spacing w:line="360" w:lineRule="auto"/>
        <w:ind w:firstLine="480" w:firstLineChars="200"/>
        <w:rPr>
          <w:szCs w:val="24"/>
        </w:rPr>
      </w:pPr>
      <w:r>
        <w:rPr>
          <w:rFonts w:hint="eastAsia"/>
          <w:szCs w:val="24"/>
        </w:rPr>
        <w:t>兹授权</w:t>
      </w:r>
      <w:r>
        <w:rPr>
          <w:rFonts w:hint="eastAsia"/>
          <w:szCs w:val="24"/>
          <w:u w:val="single"/>
        </w:rPr>
        <w:t xml:space="preserve">      </w:t>
      </w:r>
      <w:r>
        <w:rPr>
          <w:rFonts w:hint="eastAsia"/>
          <w:szCs w:val="24"/>
        </w:rPr>
        <w:t>同志为我单位参加贵方组织的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w:t>
      </w:r>
      <w:r>
        <w:rPr>
          <w:rFonts w:hint="eastAsia"/>
          <w:szCs w:val="24"/>
          <w:u w:val="single"/>
        </w:rPr>
        <w:t xml:space="preserve">项目编号：     </w:t>
      </w:r>
      <w:r>
        <w:rPr>
          <w:rFonts w:hint="eastAsia"/>
          <w:szCs w:val="24"/>
        </w:rPr>
        <w:t>）采购活动的投标人授权代表，全权代表我公司处理在项目采购活动中的一切事宜。代理期限从</w:t>
      </w:r>
      <w:r>
        <w:rPr>
          <w:rFonts w:hint="eastAsia"/>
          <w:szCs w:val="24"/>
          <w:u w:val="single"/>
        </w:rPr>
        <w:t xml:space="preserve">   </w:t>
      </w:r>
      <w:r>
        <w:rPr>
          <w:rFonts w:hint="eastAsia"/>
          <w:szCs w:val="24"/>
        </w:rPr>
        <w:t>年</w:t>
      </w:r>
      <w:r>
        <w:rPr>
          <w:rFonts w:hint="eastAsia"/>
          <w:szCs w:val="24"/>
          <w:u w:val="single"/>
        </w:rPr>
        <w:t xml:space="preserve">   </w:t>
      </w:r>
      <w:r>
        <w:rPr>
          <w:rFonts w:hint="eastAsia"/>
          <w:szCs w:val="24"/>
        </w:rPr>
        <w:t>月</w:t>
      </w:r>
      <w:r>
        <w:rPr>
          <w:rFonts w:hint="eastAsia"/>
          <w:szCs w:val="24"/>
          <w:u w:val="single"/>
        </w:rPr>
        <w:t xml:space="preserve">   </w:t>
      </w:r>
      <w:r>
        <w:rPr>
          <w:rFonts w:hint="eastAsia"/>
          <w:szCs w:val="24"/>
        </w:rPr>
        <w:t>日起至</w:t>
      </w:r>
      <w:r>
        <w:rPr>
          <w:rFonts w:hint="eastAsia"/>
          <w:szCs w:val="24"/>
          <w:u w:val="single"/>
        </w:rPr>
        <w:t xml:space="preserve">      </w:t>
      </w:r>
      <w:r>
        <w:rPr>
          <w:rFonts w:hint="eastAsia"/>
          <w:szCs w:val="24"/>
        </w:rPr>
        <w:t>年</w:t>
      </w:r>
      <w:r>
        <w:rPr>
          <w:rFonts w:hint="eastAsia"/>
          <w:szCs w:val="24"/>
          <w:u w:val="single"/>
        </w:rPr>
        <w:t xml:space="preserve">   </w:t>
      </w:r>
      <w:r>
        <w:rPr>
          <w:rFonts w:hint="eastAsia"/>
          <w:szCs w:val="24"/>
        </w:rPr>
        <w:t>月</w:t>
      </w:r>
      <w:r>
        <w:rPr>
          <w:rFonts w:hint="eastAsia"/>
          <w:szCs w:val="24"/>
          <w:u w:val="single"/>
        </w:rPr>
        <w:t xml:space="preserve">   </w:t>
      </w:r>
      <w:r>
        <w:rPr>
          <w:rFonts w:hint="eastAsia"/>
          <w:szCs w:val="24"/>
        </w:rPr>
        <w:t xml:space="preserve">日止。 </w:t>
      </w:r>
    </w:p>
    <w:p>
      <w:pPr>
        <w:wordWrap w:val="0"/>
        <w:spacing w:line="360" w:lineRule="auto"/>
        <w:ind w:firstLine="480" w:firstLineChars="200"/>
        <w:rPr>
          <w:szCs w:val="24"/>
        </w:rPr>
      </w:pPr>
      <w:r>
        <w:rPr>
          <w:rFonts w:hint="eastAsia"/>
          <w:szCs w:val="24"/>
        </w:rPr>
        <w:t>被授权代表无转委托权，在得到授权后方可签署投标文件。</w:t>
      </w:r>
    </w:p>
    <w:p>
      <w:pPr>
        <w:wordWrap w:val="0"/>
        <w:spacing w:before="100" w:beforeAutospacing="1" w:after="100" w:afterAutospacing="1" w:line="360" w:lineRule="auto"/>
        <w:ind w:firstLine="3316" w:firstLineChars="1382"/>
        <w:rPr>
          <w:bCs/>
          <w:u w:val="single"/>
        </w:rPr>
      </w:pPr>
      <w:r>
        <w:rPr>
          <w:rFonts w:hint="eastAsia"/>
          <w:bCs/>
        </w:rPr>
        <w:t>授权单位（公章）：</w:t>
      </w:r>
      <w:r>
        <w:rPr>
          <w:rFonts w:hint="eastAsia"/>
          <w:bCs/>
          <w:u w:val="single"/>
        </w:rPr>
        <w:t xml:space="preserve">                               </w:t>
      </w:r>
    </w:p>
    <w:p>
      <w:pPr>
        <w:wordWrap w:val="0"/>
        <w:spacing w:before="100" w:beforeAutospacing="1" w:after="100" w:afterAutospacing="1" w:line="360" w:lineRule="auto"/>
        <w:ind w:firstLine="3330" w:firstLineChars="1382"/>
        <w:rPr>
          <w:b/>
          <w:bCs/>
          <w:u w:val="single"/>
        </w:rPr>
      </w:pPr>
      <w:r>
        <w:rPr>
          <w:rFonts w:hint="eastAsia"/>
          <w:b/>
          <w:bCs/>
          <w:szCs w:val="21"/>
          <w:lang w:val="zh-CN"/>
        </w:rPr>
        <w:t>法定代表人（签字或签章）</w:t>
      </w:r>
      <w:r>
        <w:rPr>
          <w:rFonts w:hint="eastAsia"/>
          <w:b/>
          <w:bCs/>
        </w:rPr>
        <w:t>：</w:t>
      </w:r>
      <w:r>
        <w:rPr>
          <w:rFonts w:hint="eastAsia"/>
          <w:b/>
          <w:bCs/>
          <w:u w:val="single"/>
        </w:rPr>
        <w:t xml:space="preserve">                      </w:t>
      </w:r>
    </w:p>
    <w:p>
      <w:pPr>
        <w:wordWrap w:val="0"/>
        <w:spacing w:before="100" w:beforeAutospacing="1" w:after="100" w:afterAutospacing="1" w:line="360" w:lineRule="auto"/>
        <w:ind w:firstLine="3316" w:firstLineChars="1382"/>
        <w:rPr>
          <w:bCs/>
          <w:u w:val="single"/>
        </w:rPr>
      </w:pPr>
      <w:r>
        <w:rPr>
          <w:rFonts w:hint="eastAsia"/>
          <w:szCs w:val="24"/>
        </w:rPr>
        <w:t>日   期：</w:t>
      </w:r>
      <w:r>
        <w:rPr>
          <w:rFonts w:hint="eastAsia"/>
          <w:szCs w:val="21"/>
          <w:u w:val="single"/>
          <w:lang w:val="zh-CN"/>
        </w:rPr>
        <w:t xml:space="preserve">      </w:t>
      </w:r>
      <w:r>
        <w:rPr>
          <w:rFonts w:hint="eastAsia"/>
          <w:szCs w:val="21"/>
          <w:lang w:val="zh-CN"/>
        </w:rPr>
        <w:t>年</w:t>
      </w:r>
      <w:r>
        <w:rPr>
          <w:rFonts w:hint="eastAsia"/>
          <w:szCs w:val="21"/>
          <w:u w:val="single"/>
          <w:lang w:val="zh-CN"/>
        </w:rPr>
        <w:t xml:space="preserve">    </w:t>
      </w:r>
      <w:r>
        <w:rPr>
          <w:rFonts w:hint="eastAsia"/>
          <w:szCs w:val="21"/>
          <w:lang w:val="zh-CN"/>
        </w:rPr>
        <w:t>月</w:t>
      </w:r>
      <w:r>
        <w:rPr>
          <w:rFonts w:hint="eastAsia"/>
          <w:szCs w:val="21"/>
          <w:u w:val="single"/>
          <w:lang w:val="zh-CN"/>
        </w:rPr>
        <w:t xml:space="preserve">    </w:t>
      </w:r>
      <w:r>
        <w:rPr>
          <w:rFonts w:hint="eastAsia"/>
          <w:szCs w:val="21"/>
          <w:lang w:val="zh-CN"/>
        </w:rPr>
        <w:t>日</w:t>
      </w:r>
    </w:p>
    <w:p>
      <w:pPr>
        <w:wordWrap w:val="0"/>
        <w:spacing w:line="360" w:lineRule="auto"/>
        <w:rPr>
          <w:szCs w:val="24"/>
        </w:rPr>
      </w:pPr>
      <w:r>
        <w:rPr>
          <w:rFonts w:hint="eastAsia"/>
          <w:szCs w:val="24"/>
        </w:rPr>
        <w:t>附：</w:t>
      </w:r>
    </w:p>
    <w:p>
      <w:pPr>
        <w:wordWrap w:val="0"/>
        <w:spacing w:line="360" w:lineRule="auto"/>
        <w:ind w:firstLine="480" w:firstLineChars="200"/>
        <w:rPr>
          <w:szCs w:val="24"/>
        </w:rPr>
      </w:pPr>
      <w:r>
        <w:rPr>
          <w:rFonts w:hint="eastAsia"/>
          <w:szCs w:val="24"/>
        </w:rPr>
        <w:t>投标人授权代表单位名称：</w:t>
      </w:r>
      <w:r>
        <w:rPr>
          <w:rFonts w:hint="eastAsia"/>
          <w:szCs w:val="24"/>
          <w:u w:val="single"/>
        </w:rPr>
        <w:t xml:space="preserve">                         </w:t>
      </w:r>
    </w:p>
    <w:p>
      <w:pPr>
        <w:wordWrap w:val="0"/>
        <w:spacing w:line="360" w:lineRule="auto"/>
        <w:ind w:firstLine="480" w:firstLineChars="200"/>
        <w:rPr>
          <w:szCs w:val="24"/>
        </w:rPr>
      </w:pPr>
      <w:r>
        <w:rPr>
          <w:rFonts w:hint="eastAsia"/>
          <w:szCs w:val="24"/>
        </w:rPr>
        <w:t>职务：</w:t>
      </w:r>
      <w:r>
        <w:rPr>
          <w:rFonts w:hint="eastAsia"/>
          <w:szCs w:val="24"/>
          <w:u w:val="single"/>
        </w:rPr>
        <w:t xml:space="preserve">                         </w:t>
      </w:r>
      <w:r>
        <w:rPr>
          <w:rFonts w:hint="eastAsia"/>
          <w:szCs w:val="24"/>
        </w:rPr>
        <w:t xml:space="preserve"> 性别：</w:t>
      </w:r>
      <w:r>
        <w:rPr>
          <w:rFonts w:hint="eastAsia"/>
          <w:szCs w:val="24"/>
          <w:u w:val="single"/>
        </w:rPr>
        <w:t xml:space="preserve">           </w:t>
      </w:r>
    </w:p>
    <w:p>
      <w:pPr>
        <w:wordWrap w:val="0"/>
        <w:spacing w:line="360" w:lineRule="auto"/>
        <w:ind w:firstLine="480" w:firstLineChars="200"/>
        <w:rPr>
          <w:szCs w:val="24"/>
          <w:u w:val="single"/>
        </w:rPr>
      </w:pPr>
      <w:r>
        <w:rPr>
          <w:rFonts w:hint="eastAsia"/>
          <w:szCs w:val="24"/>
        </w:rPr>
        <w:t>身份证号码：</w:t>
      </w:r>
      <w:r>
        <w:rPr>
          <w:rFonts w:hint="eastAsia"/>
          <w:szCs w:val="24"/>
          <w:u w:val="single"/>
        </w:rPr>
        <w:t xml:space="preserve">                   </w:t>
      </w:r>
    </w:p>
    <w:p>
      <w:pPr>
        <w:wordWrap w:val="0"/>
        <w:spacing w:line="360" w:lineRule="auto"/>
        <w:ind w:firstLine="480" w:firstLineChars="200"/>
        <w:rPr>
          <w:szCs w:val="24"/>
        </w:rPr>
      </w:pPr>
      <w:r>
        <w:rPr>
          <w:rFonts w:hint="eastAsia"/>
          <w:szCs w:val="24"/>
        </w:rPr>
        <w:t>电话：</w:t>
      </w:r>
      <w:r>
        <w:rPr>
          <w:rFonts w:hint="eastAsia"/>
          <w:szCs w:val="24"/>
          <w:u w:val="single"/>
        </w:rPr>
        <w:t xml:space="preserve">                         </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0"/>
        <w:gridCol w:w="4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60" w:hRule="atLeast"/>
          <w:jc w:val="center"/>
        </w:trPr>
        <w:tc>
          <w:tcPr>
            <w:tcW w:w="4400" w:type="dxa"/>
          </w:tcPr>
          <w:p>
            <w:pPr>
              <w:wordWrap w:val="0"/>
              <w:spacing w:line="360" w:lineRule="auto"/>
              <w:rPr>
                <w:szCs w:val="24"/>
              </w:rPr>
            </w:pPr>
            <w:r>
              <w:rPr>
                <w:rFonts w:hint="eastAsia"/>
                <w:szCs w:val="24"/>
              </w:rPr>
              <w:t>被授权人身份证</w:t>
            </w:r>
          </w:p>
          <w:p>
            <w:pPr>
              <w:wordWrap w:val="0"/>
              <w:spacing w:line="360" w:lineRule="auto"/>
              <w:rPr>
                <w:szCs w:val="24"/>
              </w:rPr>
            </w:pPr>
            <w:r>
              <w:rPr>
                <w:rFonts w:hint="eastAsia"/>
                <w:szCs w:val="24"/>
              </w:rPr>
              <w:t>（正面清晰彩色影印件）</w:t>
            </w:r>
          </w:p>
        </w:tc>
        <w:tc>
          <w:tcPr>
            <w:tcW w:w="4569" w:type="dxa"/>
          </w:tcPr>
          <w:p>
            <w:pPr>
              <w:wordWrap w:val="0"/>
              <w:spacing w:line="360" w:lineRule="auto"/>
              <w:rPr>
                <w:szCs w:val="24"/>
              </w:rPr>
            </w:pPr>
            <w:r>
              <w:rPr>
                <w:rFonts w:hint="eastAsia"/>
                <w:szCs w:val="24"/>
              </w:rPr>
              <w:t>被授权人身份证</w:t>
            </w:r>
          </w:p>
          <w:p>
            <w:pPr>
              <w:wordWrap w:val="0"/>
              <w:spacing w:line="360" w:lineRule="auto"/>
              <w:rPr>
                <w:szCs w:val="24"/>
              </w:rPr>
            </w:pPr>
            <w:r>
              <w:rPr>
                <w:rFonts w:hint="eastAsia"/>
                <w:szCs w:val="24"/>
              </w:rPr>
              <w:t>（反面清晰彩色影印件）</w:t>
            </w:r>
          </w:p>
        </w:tc>
      </w:tr>
    </w:tbl>
    <w:p>
      <w:pPr>
        <w:wordWrap w:val="0"/>
        <w:spacing w:line="360" w:lineRule="auto"/>
        <w:rPr>
          <w:bCs/>
        </w:rPr>
        <w:sectPr>
          <w:pgSz w:w="11906" w:h="16838"/>
          <w:pgMar w:top="1134" w:right="1191" w:bottom="1134" w:left="1191" w:header="851" w:footer="992" w:gutter="0"/>
          <w:pgBorders>
            <w:top w:val="none" w:sz="0" w:space="0"/>
            <w:left w:val="none" w:sz="0" w:space="0"/>
            <w:bottom w:val="none" w:sz="0" w:space="0"/>
            <w:right w:val="none" w:sz="0" w:space="0"/>
          </w:pgBorders>
          <w:cols w:space="425" w:num="1"/>
          <w:docGrid w:type="lines" w:linePitch="312" w:charSpace="0"/>
        </w:sectPr>
      </w:pPr>
    </w:p>
    <w:p>
      <w:pPr>
        <w:pStyle w:val="3"/>
        <w:numPr>
          <w:ilvl w:val="0"/>
          <w:numId w:val="77"/>
        </w:numPr>
        <w:tabs>
          <w:tab w:val="left" w:pos="567"/>
        </w:tabs>
        <w:spacing w:line="360" w:lineRule="auto"/>
        <w:ind w:left="482" w:hanging="482" w:hangingChars="200"/>
        <w:jc w:val="left"/>
        <w:rPr>
          <w:rFonts w:ascii="宋体" w:hAnsi="宋体" w:eastAsia="宋体"/>
          <w:sz w:val="24"/>
          <w:szCs w:val="24"/>
        </w:rPr>
      </w:pPr>
      <w:bookmarkStart w:id="730" w:name="_Toc117244510"/>
      <w:bookmarkStart w:id="731" w:name="_Toc107561314"/>
      <w:bookmarkStart w:id="732" w:name="_Toc30571"/>
      <w:bookmarkStart w:id="733" w:name="_Toc20604"/>
      <w:bookmarkStart w:id="734" w:name="_Toc117244395"/>
      <w:r>
        <w:rPr>
          <w:rFonts w:hint="eastAsia" w:ascii="宋体" w:hAnsi="宋体" w:eastAsia="宋体"/>
          <w:sz w:val="24"/>
          <w:szCs w:val="24"/>
        </w:rPr>
        <w:t>项目负责人、技术负责人简历表</w:t>
      </w:r>
      <w:bookmarkEnd w:id="730"/>
      <w:bookmarkEnd w:id="731"/>
      <w:bookmarkEnd w:id="732"/>
      <w:bookmarkEnd w:id="733"/>
      <w:bookmarkEnd w:id="734"/>
    </w:p>
    <w:p>
      <w:pPr>
        <w:wordWrap w:val="0"/>
        <w:spacing w:line="360" w:lineRule="auto"/>
        <w:jc w:val="left"/>
        <w:rPr>
          <w:b/>
        </w:rPr>
      </w:pPr>
      <w:r>
        <w:rPr>
          <w:rFonts w:hint="eastAsia"/>
          <w:b/>
        </w:rPr>
        <w:t>投 标 人：</w:t>
      </w:r>
      <w:r>
        <w:rPr>
          <w:rFonts w:hint="eastAsia"/>
          <w:b/>
          <w:szCs w:val="21"/>
          <w:u w:val="single"/>
          <w:lang w:val="zh-CN"/>
        </w:rPr>
        <w:t xml:space="preserve">                     </w:t>
      </w:r>
      <w:r>
        <w:rPr>
          <w:rFonts w:hint="eastAsia"/>
          <w:b/>
          <w:szCs w:val="21"/>
          <w:lang w:val="zh-CN"/>
        </w:rPr>
        <w:t xml:space="preserve"> </w:t>
      </w:r>
    </w:p>
    <w:p>
      <w:pPr>
        <w:wordWrap w:val="0"/>
        <w:spacing w:line="360" w:lineRule="auto"/>
        <w:jc w:val="left"/>
        <w:rPr>
          <w:b/>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702"/>
        <w:gridCol w:w="200"/>
        <w:gridCol w:w="1330"/>
        <w:gridCol w:w="195"/>
        <w:gridCol w:w="1335"/>
        <w:gridCol w:w="190"/>
        <w:gridCol w:w="1340"/>
        <w:gridCol w:w="185"/>
        <w:gridCol w:w="1345"/>
        <w:gridCol w:w="193"/>
        <w:gridCol w:w="133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702" w:type="dxa"/>
            <w:vAlign w:val="center"/>
          </w:tcPr>
          <w:p>
            <w:pPr>
              <w:wordWrap w:val="0"/>
              <w:autoSpaceDE w:val="0"/>
              <w:autoSpaceDN w:val="0"/>
              <w:adjustRightInd w:val="0"/>
              <w:spacing w:line="360" w:lineRule="auto"/>
              <w:jc w:val="center"/>
              <w:rPr>
                <w:szCs w:val="28"/>
              </w:rPr>
            </w:pPr>
            <w:r>
              <w:rPr>
                <w:rFonts w:hint="eastAsia"/>
                <w:szCs w:val="28"/>
              </w:rPr>
              <w:t>姓    名</w:t>
            </w:r>
          </w:p>
        </w:tc>
        <w:tc>
          <w:tcPr>
            <w:tcW w:w="1530" w:type="dxa"/>
            <w:gridSpan w:val="2"/>
            <w:vAlign w:val="center"/>
          </w:tcPr>
          <w:p>
            <w:pPr>
              <w:wordWrap w:val="0"/>
              <w:autoSpaceDE w:val="0"/>
              <w:autoSpaceDN w:val="0"/>
              <w:adjustRightInd w:val="0"/>
              <w:spacing w:line="360" w:lineRule="auto"/>
              <w:ind w:right="326" w:rightChars="136"/>
              <w:jc w:val="center"/>
              <w:rPr>
                <w:szCs w:val="28"/>
              </w:rPr>
            </w:pPr>
          </w:p>
        </w:tc>
        <w:tc>
          <w:tcPr>
            <w:tcW w:w="1530" w:type="dxa"/>
            <w:gridSpan w:val="2"/>
            <w:vAlign w:val="center"/>
          </w:tcPr>
          <w:p>
            <w:pPr>
              <w:wordWrap w:val="0"/>
              <w:autoSpaceDE w:val="0"/>
              <w:autoSpaceDN w:val="0"/>
              <w:adjustRightInd w:val="0"/>
              <w:spacing w:line="360" w:lineRule="auto"/>
              <w:ind w:right="-146" w:rightChars="-61"/>
              <w:jc w:val="center"/>
              <w:rPr>
                <w:szCs w:val="28"/>
              </w:rPr>
            </w:pPr>
            <w:r>
              <w:rPr>
                <w:rFonts w:hint="eastAsia"/>
                <w:szCs w:val="28"/>
              </w:rPr>
              <w:t>性    别</w:t>
            </w:r>
          </w:p>
        </w:tc>
        <w:tc>
          <w:tcPr>
            <w:tcW w:w="1530" w:type="dxa"/>
            <w:gridSpan w:val="2"/>
            <w:vAlign w:val="center"/>
          </w:tcPr>
          <w:p>
            <w:pPr>
              <w:wordWrap w:val="0"/>
              <w:autoSpaceDE w:val="0"/>
              <w:autoSpaceDN w:val="0"/>
              <w:adjustRightInd w:val="0"/>
              <w:spacing w:line="360" w:lineRule="auto"/>
              <w:ind w:right="326" w:rightChars="136"/>
              <w:jc w:val="center"/>
              <w:rPr>
                <w:szCs w:val="28"/>
              </w:rPr>
            </w:pPr>
          </w:p>
        </w:tc>
        <w:tc>
          <w:tcPr>
            <w:tcW w:w="1530" w:type="dxa"/>
            <w:gridSpan w:val="2"/>
            <w:vAlign w:val="center"/>
          </w:tcPr>
          <w:p>
            <w:pPr>
              <w:wordWrap w:val="0"/>
              <w:autoSpaceDE w:val="0"/>
              <w:autoSpaceDN w:val="0"/>
              <w:adjustRightInd w:val="0"/>
              <w:spacing w:line="360" w:lineRule="auto"/>
              <w:ind w:right="2" w:rightChars="1"/>
              <w:jc w:val="center"/>
              <w:rPr>
                <w:szCs w:val="28"/>
              </w:rPr>
            </w:pPr>
            <w:r>
              <w:rPr>
                <w:rFonts w:hint="eastAsia"/>
                <w:szCs w:val="28"/>
              </w:rPr>
              <w:t>年    龄</w:t>
            </w:r>
          </w:p>
        </w:tc>
        <w:tc>
          <w:tcPr>
            <w:tcW w:w="1530" w:type="dxa"/>
            <w:gridSpan w:val="2"/>
            <w:vAlign w:val="center"/>
          </w:tcPr>
          <w:p>
            <w:pPr>
              <w:wordWrap w:val="0"/>
              <w:autoSpaceDE w:val="0"/>
              <w:autoSpaceDN w:val="0"/>
              <w:adjustRightInd w:val="0"/>
              <w:spacing w:line="360" w:lineRule="auto"/>
              <w:ind w:right="326" w:rightChars="136"/>
              <w:jc w:val="center"/>
              <w:rPr>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702" w:type="dxa"/>
            <w:vAlign w:val="center"/>
          </w:tcPr>
          <w:p>
            <w:pPr>
              <w:wordWrap w:val="0"/>
              <w:autoSpaceDE w:val="0"/>
              <w:autoSpaceDN w:val="0"/>
              <w:adjustRightInd w:val="0"/>
              <w:spacing w:line="360" w:lineRule="auto"/>
              <w:jc w:val="center"/>
              <w:rPr>
                <w:szCs w:val="28"/>
              </w:rPr>
            </w:pPr>
            <w:r>
              <w:rPr>
                <w:rFonts w:hint="eastAsia"/>
                <w:szCs w:val="28"/>
              </w:rPr>
              <w:t>职    务</w:t>
            </w:r>
          </w:p>
        </w:tc>
        <w:tc>
          <w:tcPr>
            <w:tcW w:w="1530" w:type="dxa"/>
            <w:gridSpan w:val="2"/>
            <w:vAlign w:val="center"/>
          </w:tcPr>
          <w:p>
            <w:pPr>
              <w:wordWrap w:val="0"/>
              <w:autoSpaceDE w:val="0"/>
              <w:autoSpaceDN w:val="0"/>
              <w:adjustRightInd w:val="0"/>
              <w:spacing w:line="360" w:lineRule="auto"/>
              <w:ind w:right="326" w:rightChars="136"/>
              <w:jc w:val="center"/>
              <w:rPr>
                <w:szCs w:val="28"/>
              </w:rPr>
            </w:pPr>
          </w:p>
        </w:tc>
        <w:tc>
          <w:tcPr>
            <w:tcW w:w="1530" w:type="dxa"/>
            <w:gridSpan w:val="2"/>
            <w:vAlign w:val="center"/>
          </w:tcPr>
          <w:p>
            <w:pPr>
              <w:wordWrap w:val="0"/>
              <w:autoSpaceDE w:val="0"/>
              <w:autoSpaceDN w:val="0"/>
              <w:adjustRightInd w:val="0"/>
              <w:spacing w:line="360" w:lineRule="auto"/>
              <w:ind w:right="-96" w:rightChars="-40"/>
              <w:jc w:val="center"/>
              <w:rPr>
                <w:szCs w:val="28"/>
              </w:rPr>
            </w:pPr>
            <w:r>
              <w:rPr>
                <w:rFonts w:hint="eastAsia"/>
                <w:szCs w:val="28"/>
              </w:rPr>
              <w:t>职    称</w:t>
            </w:r>
          </w:p>
        </w:tc>
        <w:tc>
          <w:tcPr>
            <w:tcW w:w="1530" w:type="dxa"/>
            <w:gridSpan w:val="2"/>
            <w:vAlign w:val="center"/>
          </w:tcPr>
          <w:p>
            <w:pPr>
              <w:wordWrap w:val="0"/>
              <w:autoSpaceDE w:val="0"/>
              <w:autoSpaceDN w:val="0"/>
              <w:adjustRightInd w:val="0"/>
              <w:spacing w:line="360" w:lineRule="auto"/>
              <w:ind w:right="326" w:rightChars="136"/>
              <w:jc w:val="center"/>
              <w:rPr>
                <w:szCs w:val="28"/>
              </w:rPr>
            </w:pPr>
          </w:p>
        </w:tc>
        <w:tc>
          <w:tcPr>
            <w:tcW w:w="1530" w:type="dxa"/>
            <w:gridSpan w:val="2"/>
            <w:vAlign w:val="center"/>
          </w:tcPr>
          <w:p>
            <w:pPr>
              <w:wordWrap w:val="0"/>
              <w:autoSpaceDE w:val="0"/>
              <w:autoSpaceDN w:val="0"/>
              <w:adjustRightInd w:val="0"/>
              <w:spacing w:line="360" w:lineRule="auto"/>
              <w:ind w:right="2" w:rightChars="1"/>
              <w:jc w:val="center"/>
              <w:rPr>
                <w:szCs w:val="28"/>
              </w:rPr>
            </w:pPr>
            <w:r>
              <w:rPr>
                <w:rFonts w:hint="eastAsia"/>
                <w:szCs w:val="28"/>
              </w:rPr>
              <w:t>学    历</w:t>
            </w:r>
          </w:p>
        </w:tc>
        <w:tc>
          <w:tcPr>
            <w:tcW w:w="1530" w:type="dxa"/>
            <w:gridSpan w:val="2"/>
            <w:vAlign w:val="center"/>
          </w:tcPr>
          <w:p>
            <w:pPr>
              <w:wordWrap w:val="0"/>
              <w:autoSpaceDE w:val="0"/>
              <w:autoSpaceDN w:val="0"/>
              <w:adjustRightInd w:val="0"/>
              <w:spacing w:line="360" w:lineRule="auto"/>
              <w:ind w:right="2" w:rightChars="1"/>
              <w:jc w:val="center"/>
              <w:rPr>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702" w:type="dxa"/>
            <w:vAlign w:val="center"/>
          </w:tcPr>
          <w:p>
            <w:pPr>
              <w:wordWrap w:val="0"/>
              <w:autoSpaceDE w:val="0"/>
              <w:autoSpaceDN w:val="0"/>
              <w:adjustRightInd w:val="0"/>
              <w:spacing w:line="360" w:lineRule="auto"/>
              <w:jc w:val="center"/>
              <w:rPr>
                <w:szCs w:val="28"/>
              </w:rPr>
            </w:pPr>
            <w:r>
              <w:rPr>
                <w:rFonts w:hint="eastAsia"/>
                <w:szCs w:val="28"/>
              </w:rPr>
              <w:t>参加工作</w:t>
            </w:r>
          </w:p>
          <w:p>
            <w:pPr>
              <w:wordWrap w:val="0"/>
              <w:autoSpaceDE w:val="0"/>
              <w:autoSpaceDN w:val="0"/>
              <w:adjustRightInd w:val="0"/>
              <w:spacing w:line="360" w:lineRule="auto"/>
              <w:jc w:val="center"/>
              <w:rPr>
                <w:szCs w:val="28"/>
              </w:rPr>
            </w:pPr>
            <w:r>
              <w:rPr>
                <w:rFonts w:hint="eastAsia"/>
                <w:szCs w:val="28"/>
              </w:rPr>
              <w:t>时间</w:t>
            </w:r>
          </w:p>
        </w:tc>
        <w:tc>
          <w:tcPr>
            <w:tcW w:w="1530" w:type="dxa"/>
            <w:gridSpan w:val="2"/>
            <w:vAlign w:val="center"/>
          </w:tcPr>
          <w:p>
            <w:pPr>
              <w:wordWrap w:val="0"/>
              <w:autoSpaceDE w:val="0"/>
              <w:autoSpaceDN w:val="0"/>
              <w:adjustRightInd w:val="0"/>
              <w:spacing w:line="360" w:lineRule="auto"/>
              <w:jc w:val="center"/>
              <w:rPr>
                <w:szCs w:val="28"/>
              </w:rPr>
            </w:pPr>
          </w:p>
        </w:tc>
        <w:tc>
          <w:tcPr>
            <w:tcW w:w="1530" w:type="dxa"/>
            <w:gridSpan w:val="2"/>
            <w:vAlign w:val="center"/>
          </w:tcPr>
          <w:p>
            <w:pPr>
              <w:wordWrap w:val="0"/>
              <w:autoSpaceDE w:val="0"/>
              <w:autoSpaceDN w:val="0"/>
              <w:adjustRightInd w:val="0"/>
              <w:spacing w:line="360" w:lineRule="auto"/>
              <w:jc w:val="center"/>
              <w:rPr>
                <w:szCs w:val="28"/>
              </w:rPr>
            </w:pPr>
            <w:r>
              <w:rPr>
                <w:rFonts w:hint="eastAsia"/>
                <w:szCs w:val="28"/>
              </w:rPr>
              <w:t>从事本行业工作年限</w:t>
            </w:r>
          </w:p>
        </w:tc>
        <w:tc>
          <w:tcPr>
            <w:tcW w:w="1530" w:type="dxa"/>
            <w:gridSpan w:val="2"/>
            <w:vAlign w:val="center"/>
          </w:tcPr>
          <w:p>
            <w:pPr>
              <w:wordWrap w:val="0"/>
              <w:autoSpaceDE w:val="0"/>
              <w:autoSpaceDN w:val="0"/>
              <w:adjustRightInd w:val="0"/>
              <w:spacing w:line="360" w:lineRule="auto"/>
              <w:jc w:val="center"/>
              <w:rPr>
                <w:szCs w:val="28"/>
              </w:rPr>
            </w:pPr>
          </w:p>
        </w:tc>
        <w:tc>
          <w:tcPr>
            <w:tcW w:w="1530" w:type="dxa"/>
            <w:gridSpan w:val="2"/>
            <w:vAlign w:val="center"/>
          </w:tcPr>
          <w:p>
            <w:pPr>
              <w:wordWrap w:val="0"/>
              <w:autoSpaceDE w:val="0"/>
              <w:autoSpaceDN w:val="0"/>
              <w:adjustRightInd w:val="0"/>
              <w:spacing w:line="360" w:lineRule="auto"/>
              <w:jc w:val="center"/>
              <w:rPr>
                <w:szCs w:val="28"/>
              </w:rPr>
            </w:pPr>
            <w:r>
              <w:rPr>
                <w:rFonts w:hint="eastAsia"/>
                <w:szCs w:val="28"/>
              </w:rPr>
              <w:t>个人专业资质及证书</w:t>
            </w:r>
          </w:p>
        </w:tc>
        <w:tc>
          <w:tcPr>
            <w:tcW w:w="1530" w:type="dxa"/>
            <w:gridSpan w:val="2"/>
            <w:vAlign w:val="center"/>
          </w:tcPr>
          <w:p>
            <w:pPr>
              <w:wordWrap w:val="0"/>
              <w:autoSpaceDE w:val="0"/>
              <w:autoSpaceDN w:val="0"/>
              <w:adjustRightInd w:val="0"/>
              <w:spacing w:line="360" w:lineRule="auto"/>
              <w:jc w:val="center"/>
              <w:rPr>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47" w:hRule="atLeast"/>
          <w:jc w:val="center"/>
        </w:trPr>
        <w:tc>
          <w:tcPr>
            <w:tcW w:w="9352" w:type="dxa"/>
            <w:gridSpan w:val="11"/>
            <w:vAlign w:val="center"/>
          </w:tcPr>
          <w:p>
            <w:pPr>
              <w:wordWrap w:val="0"/>
              <w:autoSpaceDE w:val="0"/>
              <w:autoSpaceDN w:val="0"/>
              <w:adjustRightInd w:val="0"/>
              <w:spacing w:line="360" w:lineRule="auto"/>
              <w:ind w:right="326" w:rightChars="136"/>
              <w:jc w:val="center"/>
              <w:rPr>
                <w:szCs w:val="28"/>
              </w:rPr>
            </w:pPr>
            <w:r>
              <w:rPr>
                <w:rFonts w:hint="eastAsia"/>
                <w:szCs w:val="28"/>
              </w:rPr>
              <w:t>个人简介</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461" w:hRule="atLeast"/>
          <w:jc w:val="center"/>
        </w:trPr>
        <w:tc>
          <w:tcPr>
            <w:tcW w:w="9352" w:type="dxa"/>
            <w:gridSpan w:val="11"/>
            <w:vAlign w:val="center"/>
          </w:tcPr>
          <w:p>
            <w:pPr>
              <w:wordWrap w:val="0"/>
              <w:autoSpaceDE w:val="0"/>
              <w:autoSpaceDN w:val="0"/>
              <w:adjustRightInd w:val="0"/>
              <w:spacing w:line="360" w:lineRule="auto"/>
              <w:ind w:right="326" w:rightChars="136"/>
              <w:jc w:val="center"/>
              <w:rPr>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89" w:hRule="atLeast"/>
          <w:jc w:val="center"/>
        </w:trPr>
        <w:tc>
          <w:tcPr>
            <w:tcW w:w="9352" w:type="dxa"/>
            <w:gridSpan w:val="11"/>
            <w:vAlign w:val="center"/>
          </w:tcPr>
          <w:p>
            <w:pPr>
              <w:wordWrap w:val="0"/>
              <w:autoSpaceDE w:val="0"/>
              <w:autoSpaceDN w:val="0"/>
              <w:adjustRightInd w:val="0"/>
              <w:spacing w:line="360" w:lineRule="auto"/>
              <w:ind w:right="326" w:rightChars="136"/>
              <w:jc w:val="center"/>
              <w:rPr>
                <w:b/>
                <w:szCs w:val="28"/>
              </w:rPr>
            </w:pPr>
            <w:r>
              <w:rPr>
                <w:rFonts w:hint="eastAsia"/>
                <w:b/>
                <w:szCs w:val="28"/>
              </w:rPr>
              <w:t>类似项目经验</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73" w:hRule="atLeast"/>
          <w:jc w:val="center"/>
        </w:trPr>
        <w:tc>
          <w:tcPr>
            <w:tcW w:w="1902" w:type="dxa"/>
            <w:gridSpan w:val="2"/>
            <w:vAlign w:val="center"/>
          </w:tcPr>
          <w:p>
            <w:pPr>
              <w:wordWrap w:val="0"/>
              <w:autoSpaceDE w:val="0"/>
              <w:autoSpaceDN w:val="0"/>
              <w:adjustRightInd w:val="0"/>
              <w:spacing w:line="360" w:lineRule="auto"/>
              <w:ind w:right="-91" w:rightChars="-38"/>
              <w:jc w:val="center"/>
              <w:rPr>
                <w:szCs w:val="28"/>
              </w:rPr>
            </w:pPr>
            <w:r>
              <w:rPr>
                <w:rFonts w:hint="eastAsia"/>
                <w:szCs w:val="28"/>
              </w:rPr>
              <w:t>项目单位</w:t>
            </w:r>
          </w:p>
        </w:tc>
        <w:tc>
          <w:tcPr>
            <w:tcW w:w="1525" w:type="dxa"/>
            <w:gridSpan w:val="2"/>
            <w:vAlign w:val="center"/>
          </w:tcPr>
          <w:p>
            <w:pPr>
              <w:wordWrap w:val="0"/>
              <w:autoSpaceDE w:val="0"/>
              <w:autoSpaceDN w:val="0"/>
              <w:adjustRightInd w:val="0"/>
              <w:spacing w:line="360" w:lineRule="auto"/>
              <w:ind w:right="-91" w:rightChars="-38"/>
              <w:jc w:val="center"/>
              <w:rPr>
                <w:szCs w:val="28"/>
              </w:rPr>
            </w:pPr>
            <w:r>
              <w:rPr>
                <w:rFonts w:hint="eastAsia"/>
                <w:szCs w:val="28"/>
              </w:rPr>
              <w:t>项目名称</w:t>
            </w:r>
          </w:p>
        </w:tc>
        <w:tc>
          <w:tcPr>
            <w:tcW w:w="1525" w:type="dxa"/>
            <w:gridSpan w:val="2"/>
            <w:tcBorders>
              <w:right w:val="single" w:color="auto" w:sz="4" w:space="0"/>
            </w:tcBorders>
            <w:vAlign w:val="center"/>
          </w:tcPr>
          <w:p>
            <w:pPr>
              <w:wordWrap w:val="0"/>
              <w:autoSpaceDE w:val="0"/>
              <w:autoSpaceDN w:val="0"/>
              <w:adjustRightInd w:val="0"/>
              <w:spacing w:line="360" w:lineRule="auto"/>
              <w:ind w:right="-91" w:rightChars="-38"/>
              <w:jc w:val="center"/>
              <w:rPr>
                <w:szCs w:val="28"/>
              </w:rPr>
            </w:pPr>
            <w:r>
              <w:rPr>
                <w:rFonts w:hint="eastAsia"/>
                <w:szCs w:val="28"/>
              </w:rPr>
              <w:t>项目内容</w:t>
            </w:r>
          </w:p>
        </w:tc>
        <w:tc>
          <w:tcPr>
            <w:tcW w:w="1525" w:type="dxa"/>
            <w:gridSpan w:val="2"/>
            <w:tcBorders>
              <w:left w:val="single" w:color="auto" w:sz="4" w:space="0"/>
            </w:tcBorders>
            <w:vAlign w:val="center"/>
          </w:tcPr>
          <w:p>
            <w:pPr>
              <w:wordWrap w:val="0"/>
              <w:autoSpaceDE w:val="0"/>
              <w:autoSpaceDN w:val="0"/>
              <w:adjustRightInd w:val="0"/>
              <w:spacing w:line="360" w:lineRule="auto"/>
              <w:ind w:right="-91" w:rightChars="-38"/>
              <w:jc w:val="center"/>
              <w:rPr>
                <w:szCs w:val="28"/>
              </w:rPr>
            </w:pPr>
            <w:r>
              <w:rPr>
                <w:rFonts w:hint="eastAsia"/>
                <w:szCs w:val="24"/>
              </w:rPr>
              <w:t>承担的工作</w:t>
            </w:r>
          </w:p>
        </w:tc>
        <w:tc>
          <w:tcPr>
            <w:tcW w:w="1538" w:type="dxa"/>
            <w:gridSpan w:val="2"/>
            <w:vAlign w:val="center"/>
          </w:tcPr>
          <w:p>
            <w:pPr>
              <w:wordWrap w:val="0"/>
              <w:autoSpaceDE w:val="0"/>
              <w:autoSpaceDN w:val="0"/>
              <w:adjustRightInd w:val="0"/>
              <w:spacing w:line="360" w:lineRule="auto"/>
              <w:ind w:right="-91" w:rightChars="-38"/>
              <w:jc w:val="center"/>
              <w:rPr>
                <w:szCs w:val="28"/>
              </w:rPr>
            </w:pPr>
            <w:r>
              <w:rPr>
                <w:rFonts w:hint="eastAsia"/>
                <w:szCs w:val="28"/>
              </w:rPr>
              <w:t>项目金额</w:t>
            </w:r>
          </w:p>
        </w:tc>
        <w:tc>
          <w:tcPr>
            <w:tcW w:w="1337" w:type="dxa"/>
            <w:vAlign w:val="center"/>
          </w:tcPr>
          <w:p>
            <w:pPr>
              <w:wordWrap w:val="0"/>
              <w:autoSpaceDE w:val="0"/>
              <w:autoSpaceDN w:val="0"/>
              <w:adjustRightInd w:val="0"/>
              <w:spacing w:line="360" w:lineRule="auto"/>
              <w:ind w:right="-91" w:rightChars="-38"/>
              <w:jc w:val="center"/>
              <w:rPr>
                <w:szCs w:val="28"/>
              </w:rPr>
            </w:pPr>
            <w:r>
              <w:rPr>
                <w:rFonts w:hint="eastAsia"/>
                <w:szCs w:val="28"/>
              </w:rPr>
              <w:t>项目时间</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73" w:hRule="atLeast"/>
          <w:jc w:val="center"/>
        </w:trPr>
        <w:tc>
          <w:tcPr>
            <w:tcW w:w="1902" w:type="dxa"/>
            <w:gridSpan w:val="2"/>
            <w:vAlign w:val="center"/>
          </w:tcPr>
          <w:p>
            <w:pPr>
              <w:wordWrap w:val="0"/>
              <w:autoSpaceDE w:val="0"/>
              <w:autoSpaceDN w:val="0"/>
              <w:adjustRightInd w:val="0"/>
              <w:spacing w:line="360" w:lineRule="auto"/>
              <w:ind w:right="-91" w:rightChars="-38"/>
              <w:jc w:val="center"/>
              <w:rPr>
                <w:szCs w:val="28"/>
              </w:rPr>
            </w:pPr>
          </w:p>
        </w:tc>
        <w:tc>
          <w:tcPr>
            <w:tcW w:w="1525" w:type="dxa"/>
            <w:gridSpan w:val="2"/>
            <w:vAlign w:val="center"/>
          </w:tcPr>
          <w:p>
            <w:pPr>
              <w:wordWrap w:val="0"/>
              <w:autoSpaceDE w:val="0"/>
              <w:autoSpaceDN w:val="0"/>
              <w:adjustRightInd w:val="0"/>
              <w:spacing w:line="360" w:lineRule="auto"/>
              <w:ind w:right="-91" w:rightChars="-38"/>
              <w:jc w:val="center"/>
              <w:rPr>
                <w:szCs w:val="28"/>
              </w:rPr>
            </w:pPr>
          </w:p>
        </w:tc>
        <w:tc>
          <w:tcPr>
            <w:tcW w:w="1525" w:type="dxa"/>
            <w:gridSpan w:val="2"/>
            <w:tcBorders>
              <w:right w:val="single" w:color="auto" w:sz="4" w:space="0"/>
            </w:tcBorders>
            <w:vAlign w:val="center"/>
          </w:tcPr>
          <w:p>
            <w:pPr>
              <w:wordWrap w:val="0"/>
              <w:autoSpaceDE w:val="0"/>
              <w:autoSpaceDN w:val="0"/>
              <w:adjustRightInd w:val="0"/>
              <w:spacing w:line="360" w:lineRule="auto"/>
              <w:ind w:right="-91" w:rightChars="-38"/>
              <w:jc w:val="center"/>
              <w:rPr>
                <w:szCs w:val="28"/>
              </w:rPr>
            </w:pPr>
          </w:p>
        </w:tc>
        <w:tc>
          <w:tcPr>
            <w:tcW w:w="1525" w:type="dxa"/>
            <w:gridSpan w:val="2"/>
            <w:tcBorders>
              <w:left w:val="single" w:color="auto" w:sz="4" w:space="0"/>
            </w:tcBorders>
            <w:vAlign w:val="center"/>
          </w:tcPr>
          <w:p>
            <w:pPr>
              <w:wordWrap w:val="0"/>
              <w:autoSpaceDE w:val="0"/>
              <w:autoSpaceDN w:val="0"/>
              <w:adjustRightInd w:val="0"/>
              <w:spacing w:line="360" w:lineRule="auto"/>
              <w:ind w:right="-91" w:rightChars="-38"/>
              <w:jc w:val="center"/>
              <w:rPr>
                <w:szCs w:val="28"/>
              </w:rPr>
            </w:pPr>
          </w:p>
        </w:tc>
        <w:tc>
          <w:tcPr>
            <w:tcW w:w="1538" w:type="dxa"/>
            <w:gridSpan w:val="2"/>
            <w:vAlign w:val="center"/>
          </w:tcPr>
          <w:p>
            <w:pPr>
              <w:wordWrap w:val="0"/>
              <w:autoSpaceDE w:val="0"/>
              <w:autoSpaceDN w:val="0"/>
              <w:adjustRightInd w:val="0"/>
              <w:spacing w:line="360" w:lineRule="auto"/>
              <w:ind w:right="-91" w:rightChars="-38"/>
              <w:jc w:val="center"/>
              <w:rPr>
                <w:szCs w:val="28"/>
              </w:rPr>
            </w:pPr>
          </w:p>
        </w:tc>
        <w:tc>
          <w:tcPr>
            <w:tcW w:w="1337" w:type="dxa"/>
            <w:vAlign w:val="center"/>
          </w:tcPr>
          <w:p>
            <w:pPr>
              <w:wordWrap w:val="0"/>
              <w:autoSpaceDE w:val="0"/>
              <w:autoSpaceDN w:val="0"/>
              <w:adjustRightInd w:val="0"/>
              <w:spacing w:line="360" w:lineRule="auto"/>
              <w:ind w:right="-91" w:rightChars="-38"/>
              <w:jc w:val="center"/>
              <w:rPr>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73" w:hRule="atLeast"/>
          <w:jc w:val="center"/>
        </w:trPr>
        <w:tc>
          <w:tcPr>
            <w:tcW w:w="1902" w:type="dxa"/>
            <w:gridSpan w:val="2"/>
            <w:vAlign w:val="center"/>
          </w:tcPr>
          <w:p>
            <w:pPr>
              <w:wordWrap w:val="0"/>
              <w:autoSpaceDE w:val="0"/>
              <w:autoSpaceDN w:val="0"/>
              <w:adjustRightInd w:val="0"/>
              <w:spacing w:line="360" w:lineRule="auto"/>
              <w:ind w:right="-91" w:rightChars="-38"/>
              <w:jc w:val="center"/>
              <w:rPr>
                <w:szCs w:val="28"/>
              </w:rPr>
            </w:pPr>
          </w:p>
        </w:tc>
        <w:tc>
          <w:tcPr>
            <w:tcW w:w="1525" w:type="dxa"/>
            <w:gridSpan w:val="2"/>
            <w:vAlign w:val="center"/>
          </w:tcPr>
          <w:p>
            <w:pPr>
              <w:wordWrap w:val="0"/>
              <w:autoSpaceDE w:val="0"/>
              <w:autoSpaceDN w:val="0"/>
              <w:adjustRightInd w:val="0"/>
              <w:spacing w:line="360" w:lineRule="auto"/>
              <w:ind w:right="-91" w:rightChars="-38"/>
              <w:jc w:val="center"/>
              <w:rPr>
                <w:szCs w:val="28"/>
              </w:rPr>
            </w:pPr>
          </w:p>
        </w:tc>
        <w:tc>
          <w:tcPr>
            <w:tcW w:w="1525" w:type="dxa"/>
            <w:gridSpan w:val="2"/>
            <w:tcBorders>
              <w:right w:val="single" w:color="auto" w:sz="4" w:space="0"/>
            </w:tcBorders>
            <w:vAlign w:val="center"/>
          </w:tcPr>
          <w:p>
            <w:pPr>
              <w:wordWrap w:val="0"/>
              <w:autoSpaceDE w:val="0"/>
              <w:autoSpaceDN w:val="0"/>
              <w:adjustRightInd w:val="0"/>
              <w:spacing w:line="360" w:lineRule="auto"/>
              <w:ind w:right="-91" w:rightChars="-38"/>
              <w:jc w:val="center"/>
              <w:rPr>
                <w:szCs w:val="28"/>
              </w:rPr>
            </w:pPr>
          </w:p>
        </w:tc>
        <w:tc>
          <w:tcPr>
            <w:tcW w:w="1525" w:type="dxa"/>
            <w:gridSpan w:val="2"/>
            <w:tcBorders>
              <w:left w:val="single" w:color="auto" w:sz="4" w:space="0"/>
            </w:tcBorders>
            <w:vAlign w:val="center"/>
          </w:tcPr>
          <w:p>
            <w:pPr>
              <w:wordWrap w:val="0"/>
              <w:autoSpaceDE w:val="0"/>
              <w:autoSpaceDN w:val="0"/>
              <w:adjustRightInd w:val="0"/>
              <w:spacing w:line="360" w:lineRule="auto"/>
              <w:ind w:right="-91" w:rightChars="-38"/>
              <w:jc w:val="center"/>
              <w:rPr>
                <w:szCs w:val="28"/>
              </w:rPr>
            </w:pPr>
          </w:p>
        </w:tc>
        <w:tc>
          <w:tcPr>
            <w:tcW w:w="1538" w:type="dxa"/>
            <w:gridSpan w:val="2"/>
            <w:vAlign w:val="center"/>
          </w:tcPr>
          <w:p>
            <w:pPr>
              <w:wordWrap w:val="0"/>
              <w:autoSpaceDE w:val="0"/>
              <w:autoSpaceDN w:val="0"/>
              <w:adjustRightInd w:val="0"/>
              <w:spacing w:line="360" w:lineRule="auto"/>
              <w:ind w:right="-91" w:rightChars="-38"/>
              <w:jc w:val="center"/>
              <w:rPr>
                <w:szCs w:val="28"/>
              </w:rPr>
            </w:pPr>
          </w:p>
        </w:tc>
        <w:tc>
          <w:tcPr>
            <w:tcW w:w="1337" w:type="dxa"/>
            <w:vAlign w:val="center"/>
          </w:tcPr>
          <w:p>
            <w:pPr>
              <w:wordWrap w:val="0"/>
              <w:autoSpaceDE w:val="0"/>
              <w:autoSpaceDN w:val="0"/>
              <w:adjustRightInd w:val="0"/>
              <w:spacing w:line="360" w:lineRule="auto"/>
              <w:ind w:right="-91" w:rightChars="-38"/>
              <w:jc w:val="center"/>
              <w:rPr>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73" w:hRule="atLeast"/>
          <w:jc w:val="center"/>
        </w:trPr>
        <w:tc>
          <w:tcPr>
            <w:tcW w:w="1902" w:type="dxa"/>
            <w:gridSpan w:val="2"/>
            <w:vAlign w:val="center"/>
          </w:tcPr>
          <w:p>
            <w:pPr>
              <w:wordWrap w:val="0"/>
              <w:autoSpaceDE w:val="0"/>
              <w:autoSpaceDN w:val="0"/>
              <w:adjustRightInd w:val="0"/>
              <w:spacing w:line="360" w:lineRule="auto"/>
              <w:ind w:right="-91" w:rightChars="-38"/>
              <w:jc w:val="center"/>
              <w:rPr>
                <w:szCs w:val="28"/>
              </w:rPr>
            </w:pPr>
          </w:p>
        </w:tc>
        <w:tc>
          <w:tcPr>
            <w:tcW w:w="1525" w:type="dxa"/>
            <w:gridSpan w:val="2"/>
            <w:vAlign w:val="center"/>
          </w:tcPr>
          <w:p>
            <w:pPr>
              <w:wordWrap w:val="0"/>
              <w:autoSpaceDE w:val="0"/>
              <w:autoSpaceDN w:val="0"/>
              <w:adjustRightInd w:val="0"/>
              <w:spacing w:line="360" w:lineRule="auto"/>
              <w:ind w:right="-91" w:rightChars="-38"/>
              <w:jc w:val="center"/>
              <w:rPr>
                <w:szCs w:val="28"/>
              </w:rPr>
            </w:pPr>
          </w:p>
        </w:tc>
        <w:tc>
          <w:tcPr>
            <w:tcW w:w="1525" w:type="dxa"/>
            <w:gridSpan w:val="2"/>
            <w:tcBorders>
              <w:right w:val="single" w:color="auto" w:sz="4" w:space="0"/>
            </w:tcBorders>
            <w:vAlign w:val="center"/>
          </w:tcPr>
          <w:p>
            <w:pPr>
              <w:wordWrap w:val="0"/>
              <w:autoSpaceDE w:val="0"/>
              <w:autoSpaceDN w:val="0"/>
              <w:adjustRightInd w:val="0"/>
              <w:spacing w:line="360" w:lineRule="auto"/>
              <w:ind w:right="-91" w:rightChars="-38"/>
              <w:jc w:val="center"/>
              <w:rPr>
                <w:szCs w:val="28"/>
              </w:rPr>
            </w:pPr>
          </w:p>
        </w:tc>
        <w:tc>
          <w:tcPr>
            <w:tcW w:w="1525" w:type="dxa"/>
            <w:gridSpan w:val="2"/>
            <w:tcBorders>
              <w:left w:val="single" w:color="auto" w:sz="4" w:space="0"/>
            </w:tcBorders>
            <w:vAlign w:val="center"/>
          </w:tcPr>
          <w:p>
            <w:pPr>
              <w:wordWrap w:val="0"/>
              <w:autoSpaceDE w:val="0"/>
              <w:autoSpaceDN w:val="0"/>
              <w:adjustRightInd w:val="0"/>
              <w:spacing w:line="360" w:lineRule="auto"/>
              <w:ind w:right="-91" w:rightChars="-38"/>
              <w:jc w:val="center"/>
              <w:rPr>
                <w:szCs w:val="28"/>
              </w:rPr>
            </w:pPr>
          </w:p>
        </w:tc>
        <w:tc>
          <w:tcPr>
            <w:tcW w:w="1538" w:type="dxa"/>
            <w:gridSpan w:val="2"/>
            <w:vAlign w:val="center"/>
          </w:tcPr>
          <w:p>
            <w:pPr>
              <w:wordWrap w:val="0"/>
              <w:autoSpaceDE w:val="0"/>
              <w:autoSpaceDN w:val="0"/>
              <w:adjustRightInd w:val="0"/>
              <w:spacing w:line="360" w:lineRule="auto"/>
              <w:ind w:right="-91" w:rightChars="-38"/>
              <w:jc w:val="center"/>
              <w:rPr>
                <w:szCs w:val="28"/>
              </w:rPr>
            </w:pPr>
          </w:p>
        </w:tc>
        <w:tc>
          <w:tcPr>
            <w:tcW w:w="1337" w:type="dxa"/>
            <w:vAlign w:val="center"/>
          </w:tcPr>
          <w:p>
            <w:pPr>
              <w:wordWrap w:val="0"/>
              <w:autoSpaceDE w:val="0"/>
              <w:autoSpaceDN w:val="0"/>
              <w:adjustRightInd w:val="0"/>
              <w:spacing w:line="360" w:lineRule="auto"/>
              <w:ind w:right="-91" w:rightChars="-38"/>
              <w:jc w:val="center"/>
              <w:rPr>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73" w:hRule="atLeast"/>
          <w:jc w:val="center"/>
        </w:trPr>
        <w:tc>
          <w:tcPr>
            <w:tcW w:w="1902" w:type="dxa"/>
            <w:gridSpan w:val="2"/>
            <w:vAlign w:val="center"/>
          </w:tcPr>
          <w:p>
            <w:pPr>
              <w:wordWrap w:val="0"/>
              <w:autoSpaceDE w:val="0"/>
              <w:autoSpaceDN w:val="0"/>
              <w:adjustRightInd w:val="0"/>
              <w:spacing w:line="360" w:lineRule="auto"/>
              <w:ind w:right="-91" w:rightChars="-38"/>
              <w:jc w:val="center"/>
              <w:rPr>
                <w:szCs w:val="28"/>
              </w:rPr>
            </w:pPr>
          </w:p>
        </w:tc>
        <w:tc>
          <w:tcPr>
            <w:tcW w:w="1525" w:type="dxa"/>
            <w:gridSpan w:val="2"/>
            <w:vAlign w:val="center"/>
          </w:tcPr>
          <w:p>
            <w:pPr>
              <w:wordWrap w:val="0"/>
              <w:autoSpaceDE w:val="0"/>
              <w:autoSpaceDN w:val="0"/>
              <w:adjustRightInd w:val="0"/>
              <w:spacing w:line="360" w:lineRule="auto"/>
              <w:ind w:right="-91" w:rightChars="-38"/>
              <w:jc w:val="center"/>
              <w:rPr>
                <w:szCs w:val="28"/>
              </w:rPr>
            </w:pPr>
          </w:p>
        </w:tc>
        <w:tc>
          <w:tcPr>
            <w:tcW w:w="1525" w:type="dxa"/>
            <w:gridSpan w:val="2"/>
            <w:tcBorders>
              <w:right w:val="single" w:color="auto" w:sz="4" w:space="0"/>
            </w:tcBorders>
            <w:vAlign w:val="center"/>
          </w:tcPr>
          <w:p>
            <w:pPr>
              <w:wordWrap w:val="0"/>
              <w:autoSpaceDE w:val="0"/>
              <w:autoSpaceDN w:val="0"/>
              <w:adjustRightInd w:val="0"/>
              <w:spacing w:line="360" w:lineRule="auto"/>
              <w:ind w:right="-91" w:rightChars="-38"/>
              <w:jc w:val="center"/>
              <w:rPr>
                <w:szCs w:val="28"/>
              </w:rPr>
            </w:pPr>
          </w:p>
        </w:tc>
        <w:tc>
          <w:tcPr>
            <w:tcW w:w="1525" w:type="dxa"/>
            <w:gridSpan w:val="2"/>
            <w:tcBorders>
              <w:left w:val="single" w:color="auto" w:sz="4" w:space="0"/>
            </w:tcBorders>
            <w:vAlign w:val="center"/>
          </w:tcPr>
          <w:p>
            <w:pPr>
              <w:wordWrap w:val="0"/>
              <w:autoSpaceDE w:val="0"/>
              <w:autoSpaceDN w:val="0"/>
              <w:adjustRightInd w:val="0"/>
              <w:spacing w:line="360" w:lineRule="auto"/>
              <w:ind w:right="-91" w:rightChars="-38"/>
              <w:jc w:val="center"/>
              <w:rPr>
                <w:szCs w:val="28"/>
              </w:rPr>
            </w:pPr>
          </w:p>
        </w:tc>
        <w:tc>
          <w:tcPr>
            <w:tcW w:w="1538" w:type="dxa"/>
            <w:gridSpan w:val="2"/>
            <w:vAlign w:val="center"/>
          </w:tcPr>
          <w:p>
            <w:pPr>
              <w:wordWrap w:val="0"/>
              <w:autoSpaceDE w:val="0"/>
              <w:autoSpaceDN w:val="0"/>
              <w:adjustRightInd w:val="0"/>
              <w:spacing w:line="360" w:lineRule="auto"/>
              <w:ind w:right="-91" w:rightChars="-38"/>
              <w:jc w:val="center"/>
              <w:rPr>
                <w:szCs w:val="28"/>
              </w:rPr>
            </w:pPr>
          </w:p>
        </w:tc>
        <w:tc>
          <w:tcPr>
            <w:tcW w:w="1337" w:type="dxa"/>
            <w:vAlign w:val="center"/>
          </w:tcPr>
          <w:p>
            <w:pPr>
              <w:wordWrap w:val="0"/>
              <w:autoSpaceDE w:val="0"/>
              <w:autoSpaceDN w:val="0"/>
              <w:adjustRightInd w:val="0"/>
              <w:spacing w:line="360" w:lineRule="auto"/>
              <w:ind w:right="-91" w:rightChars="-38"/>
              <w:jc w:val="center"/>
              <w:rPr>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73" w:hRule="atLeast"/>
          <w:jc w:val="center"/>
        </w:trPr>
        <w:tc>
          <w:tcPr>
            <w:tcW w:w="1902" w:type="dxa"/>
            <w:gridSpan w:val="2"/>
            <w:vAlign w:val="center"/>
          </w:tcPr>
          <w:p>
            <w:pPr>
              <w:wordWrap w:val="0"/>
              <w:autoSpaceDE w:val="0"/>
              <w:autoSpaceDN w:val="0"/>
              <w:adjustRightInd w:val="0"/>
              <w:spacing w:line="360" w:lineRule="auto"/>
              <w:ind w:right="-91" w:rightChars="-38"/>
              <w:jc w:val="center"/>
              <w:rPr>
                <w:szCs w:val="28"/>
              </w:rPr>
            </w:pPr>
          </w:p>
        </w:tc>
        <w:tc>
          <w:tcPr>
            <w:tcW w:w="1525" w:type="dxa"/>
            <w:gridSpan w:val="2"/>
            <w:vAlign w:val="center"/>
          </w:tcPr>
          <w:p>
            <w:pPr>
              <w:wordWrap w:val="0"/>
              <w:autoSpaceDE w:val="0"/>
              <w:autoSpaceDN w:val="0"/>
              <w:adjustRightInd w:val="0"/>
              <w:spacing w:line="360" w:lineRule="auto"/>
              <w:ind w:right="-91" w:rightChars="-38"/>
              <w:jc w:val="center"/>
              <w:rPr>
                <w:szCs w:val="28"/>
              </w:rPr>
            </w:pPr>
          </w:p>
        </w:tc>
        <w:tc>
          <w:tcPr>
            <w:tcW w:w="1525" w:type="dxa"/>
            <w:gridSpan w:val="2"/>
            <w:tcBorders>
              <w:right w:val="single" w:color="auto" w:sz="4" w:space="0"/>
            </w:tcBorders>
            <w:vAlign w:val="center"/>
          </w:tcPr>
          <w:p>
            <w:pPr>
              <w:wordWrap w:val="0"/>
              <w:autoSpaceDE w:val="0"/>
              <w:autoSpaceDN w:val="0"/>
              <w:adjustRightInd w:val="0"/>
              <w:spacing w:line="360" w:lineRule="auto"/>
              <w:ind w:right="-91" w:rightChars="-38"/>
              <w:jc w:val="center"/>
              <w:rPr>
                <w:szCs w:val="28"/>
              </w:rPr>
            </w:pPr>
          </w:p>
        </w:tc>
        <w:tc>
          <w:tcPr>
            <w:tcW w:w="1525" w:type="dxa"/>
            <w:gridSpan w:val="2"/>
            <w:tcBorders>
              <w:left w:val="single" w:color="auto" w:sz="4" w:space="0"/>
            </w:tcBorders>
            <w:vAlign w:val="center"/>
          </w:tcPr>
          <w:p>
            <w:pPr>
              <w:wordWrap w:val="0"/>
              <w:autoSpaceDE w:val="0"/>
              <w:autoSpaceDN w:val="0"/>
              <w:adjustRightInd w:val="0"/>
              <w:spacing w:line="360" w:lineRule="auto"/>
              <w:ind w:right="-91" w:rightChars="-38"/>
              <w:jc w:val="center"/>
              <w:rPr>
                <w:szCs w:val="28"/>
              </w:rPr>
            </w:pPr>
          </w:p>
        </w:tc>
        <w:tc>
          <w:tcPr>
            <w:tcW w:w="1538" w:type="dxa"/>
            <w:gridSpan w:val="2"/>
            <w:vAlign w:val="center"/>
          </w:tcPr>
          <w:p>
            <w:pPr>
              <w:wordWrap w:val="0"/>
              <w:autoSpaceDE w:val="0"/>
              <w:autoSpaceDN w:val="0"/>
              <w:adjustRightInd w:val="0"/>
              <w:spacing w:line="360" w:lineRule="auto"/>
              <w:ind w:right="-91" w:rightChars="-38"/>
              <w:jc w:val="center"/>
              <w:rPr>
                <w:szCs w:val="28"/>
              </w:rPr>
            </w:pPr>
          </w:p>
        </w:tc>
        <w:tc>
          <w:tcPr>
            <w:tcW w:w="1337" w:type="dxa"/>
            <w:vAlign w:val="center"/>
          </w:tcPr>
          <w:p>
            <w:pPr>
              <w:wordWrap w:val="0"/>
              <w:autoSpaceDE w:val="0"/>
              <w:autoSpaceDN w:val="0"/>
              <w:adjustRightInd w:val="0"/>
              <w:spacing w:line="360" w:lineRule="auto"/>
              <w:ind w:right="-91" w:rightChars="-38"/>
              <w:jc w:val="center"/>
              <w:rPr>
                <w:szCs w:val="28"/>
              </w:rPr>
            </w:pPr>
          </w:p>
        </w:tc>
      </w:tr>
    </w:tbl>
    <w:p>
      <w:pPr>
        <w:wordWrap w:val="0"/>
        <w:spacing w:line="360" w:lineRule="auto"/>
        <w:ind w:left="723" w:hanging="723" w:hangingChars="300"/>
        <w:jc w:val="left"/>
        <w:rPr>
          <w:szCs w:val="24"/>
          <w:lang w:val="zh-CN"/>
        </w:rPr>
      </w:pPr>
      <w:r>
        <w:rPr>
          <w:rFonts w:hint="eastAsia"/>
          <w:b/>
          <w:szCs w:val="24"/>
          <w:lang w:val="zh-CN"/>
        </w:rPr>
        <w:t>说明：</w:t>
      </w:r>
      <w:r>
        <w:rPr>
          <w:rFonts w:hint="eastAsia"/>
          <w:szCs w:val="24"/>
          <w:lang w:val="zh-CN"/>
        </w:rPr>
        <w:t>应附完整的相关证明材料清晰影印件，未按照要求详细完整填写此表，导致的后果由投标人自行承担。</w:t>
      </w:r>
    </w:p>
    <w:p>
      <w:pPr>
        <w:wordWrap w:val="0"/>
        <w:spacing w:before="100" w:beforeAutospacing="1" w:after="100" w:afterAutospacing="1" w:line="360" w:lineRule="auto"/>
        <w:ind w:firstLine="3316" w:firstLineChars="1382"/>
        <w:rPr>
          <w:bCs/>
          <w:u w:val="single"/>
        </w:rPr>
      </w:pPr>
      <w:r>
        <w:rPr>
          <w:rFonts w:hint="eastAsia"/>
          <w:bCs/>
        </w:rPr>
        <w:t>投标人（公章）：</w:t>
      </w:r>
      <w:r>
        <w:rPr>
          <w:rFonts w:hint="eastAsia"/>
          <w:bCs/>
          <w:u w:val="single"/>
        </w:rPr>
        <w:t xml:space="preserve">                          </w:t>
      </w:r>
    </w:p>
    <w:p>
      <w:pPr>
        <w:wordWrap w:val="0"/>
        <w:spacing w:before="100" w:beforeAutospacing="1" w:after="100" w:afterAutospacing="1" w:line="360" w:lineRule="auto"/>
        <w:ind w:firstLine="3316" w:firstLineChars="1382"/>
      </w:pPr>
      <w:r>
        <w:rPr>
          <w:rFonts w:hint="eastAsia"/>
          <w:szCs w:val="24"/>
        </w:rPr>
        <w:t>日   期：</w:t>
      </w:r>
      <w:r>
        <w:rPr>
          <w:rFonts w:hint="eastAsia"/>
          <w:bCs/>
          <w:u w:val="single"/>
        </w:rPr>
        <w:t xml:space="preserve">                               </w:t>
      </w:r>
    </w:p>
    <w:p>
      <w:pPr>
        <w:pStyle w:val="3"/>
        <w:numPr>
          <w:ilvl w:val="0"/>
          <w:numId w:val="79"/>
        </w:numPr>
        <w:wordWrap w:val="0"/>
        <w:spacing w:before="40" w:after="40" w:line="360" w:lineRule="auto"/>
        <w:ind w:left="1285" w:hanging="1285" w:hangingChars="400"/>
        <w:jc w:val="left"/>
        <w:rPr>
          <w:rFonts w:ascii="宋体" w:hAnsi="宋体" w:eastAsia="宋体" w:cs="Times New Roman"/>
          <w:bCs w:val="0"/>
        </w:rPr>
        <w:sectPr>
          <w:pgSz w:w="11906" w:h="16838"/>
          <w:pgMar w:top="1134" w:right="1191" w:bottom="1134" w:left="1191" w:header="851" w:footer="992" w:gutter="0"/>
          <w:pgBorders>
            <w:top w:val="none" w:sz="0" w:space="0"/>
            <w:left w:val="none" w:sz="0" w:space="0"/>
            <w:bottom w:val="none" w:sz="0" w:space="0"/>
            <w:right w:val="none" w:sz="0" w:space="0"/>
          </w:pgBorders>
          <w:cols w:space="425" w:num="1"/>
          <w:docGrid w:type="lines" w:linePitch="312" w:charSpace="0"/>
        </w:sectPr>
      </w:pPr>
    </w:p>
    <w:p>
      <w:pPr>
        <w:pStyle w:val="3"/>
        <w:numPr>
          <w:ilvl w:val="0"/>
          <w:numId w:val="77"/>
        </w:numPr>
        <w:tabs>
          <w:tab w:val="left" w:pos="567"/>
        </w:tabs>
        <w:spacing w:line="360" w:lineRule="auto"/>
        <w:ind w:left="482" w:hanging="480" w:hangingChars="200"/>
        <w:jc w:val="left"/>
        <w:rPr>
          <w:rFonts w:ascii="宋体" w:hAnsi="宋体" w:eastAsia="宋体"/>
          <w:sz w:val="24"/>
          <w:szCs w:val="24"/>
        </w:rPr>
      </w:pPr>
      <w:bookmarkStart w:id="735" w:name="_Toc117244511"/>
      <w:bookmarkStart w:id="736" w:name="_Toc117244396"/>
      <w:bookmarkStart w:id="737" w:name="_Toc19006"/>
      <w:bookmarkStart w:id="738" w:name="_Toc24906"/>
      <w:bookmarkStart w:id="739" w:name="_Toc107561315"/>
      <w:r>
        <w:rPr>
          <w:rFonts w:hint="eastAsia" w:ascii="宋体" w:hAnsi="宋体" w:eastAsia="宋体"/>
          <w:sz w:val="24"/>
          <w:szCs w:val="24"/>
        </w:rPr>
        <w:t>项目班子成员情况表</w:t>
      </w:r>
      <w:bookmarkEnd w:id="735"/>
      <w:bookmarkEnd w:id="736"/>
      <w:bookmarkEnd w:id="737"/>
      <w:bookmarkEnd w:id="738"/>
      <w:bookmarkEnd w:id="739"/>
    </w:p>
    <w:p>
      <w:pPr>
        <w:wordWrap w:val="0"/>
        <w:spacing w:line="360" w:lineRule="auto"/>
        <w:jc w:val="left"/>
        <w:rPr>
          <w:b/>
        </w:rPr>
      </w:pPr>
      <w:r>
        <w:rPr>
          <w:rFonts w:hint="eastAsia"/>
          <w:b/>
        </w:rPr>
        <w:t>投 标 人：</w:t>
      </w:r>
      <w:r>
        <w:rPr>
          <w:rFonts w:hint="eastAsia"/>
          <w:b/>
          <w:szCs w:val="21"/>
          <w:u w:val="single"/>
          <w:lang w:val="zh-CN"/>
        </w:rPr>
        <w:t xml:space="preserve">                     </w:t>
      </w:r>
      <w:r>
        <w:rPr>
          <w:rFonts w:hint="eastAsia"/>
          <w:b/>
          <w:szCs w:val="21"/>
          <w:lang w:val="zh-CN"/>
        </w:rPr>
        <w:t xml:space="preserve"> </w:t>
      </w:r>
    </w:p>
    <w:p>
      <w:pPr>
        <w:wordWrap w:val="0"/>
        <w:spacing w:line="360" w:lineRule="auto"/>
        <w:jc w:val="left"/>
        <w:rPr>
          <w:b/>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w:t>
      </w:r>
      <w:r>
        <w:rPr>
          <w:b/>
          <w:bCs/>
          <w:szCs w:val="21"/>
          <w:lang w:val="zh-CN"/>
        </w:rPr>
        <w:t xml:space="preserve">         </w:t>
      </w:r>
      <w:r>
        <w:rPr>
          <w:rFonts w:hint="eastAsia"/>
          <w:b/>
          <w:bCs/>
          <w:szCs w:val="21"/>
          <w:lang w:val="zh-CN"/>
        </w:rPr>
        <w:t>包号：</w:t>
      </w:r>
      <w:r>
        <w:rPr>
          <w:rFonts w:hint="eastAsia"/>
          <w:b/>
          <w:bCs/>
          <w:szCs w:val="21"/>
          <w:u w:val="single"/>
          <w:lang w:val="zh-CN"/>
        </w:rPr>
        <w:t xml:space="preserve">           </w:t>
      </w:r>
    </w:p>
    <w:tbl>
      <w:tblPr>
        <w:tblStyle w:val="2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588"/>
        <w:gridCol w:w="1113"/>
        <w:gridCol w:w="1533"/>
        <w:gridCol w:w="1134"/>
        <w:gridCol w:w="1491"/>
        <w:gridCol w:w="1843"/>
        <w:gridCol w:w="184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9" w:hRule="atLeast"/>
          <w:jc w:val="center"/>
        </w:trPr>
        <w:tc>
          <w:tcPr>
            <w:tcW w:w="588" w:type="dxa"/>
            <w:shd w:val="pct10" w:color="C3BD96" w:themeColor="background2" w:themeShade="BF" w:fill="DDD9C4" w:themeFill="background2" w:themeFillShade="E6"/>
            <w:vAlign w:val="center"/>
          </w:tcPr>
          <w:p>
            <w:pPr>
              <w:wordWrap w:val="0"/>
              <w:spacing w:before="100" w:beforeAutospacing="1" w:after="100" w:afterAutospacing="1" w:line="360" w:lineRule="auto"/>
              <w:ind w:left="-120" w:leftChars="-50" w:right="-120" w:rightChars="-50"/>
              <w:jc w:val="center"/>
              <w:rPr>
                <w:b/>
                <w:szCs w:val="24"/>
              </w:rPr>
            </w:pPr>
            <w:r>
              <w:rPr>
                <w:rFonts w:hint="eastAsia" w:cs="仿宋_GB2312"/>
                <w:b/>
                <w:szCs w:val="24"/>
              </w:rPr>
              <w:t>序号</w:t>
            </w:r>
          </w:p>
        </w:tc>
        <w:tc>
          <w:tcPr>
            <w:tcW w:w="1113" w:type="dxa"/>
            <w:shd w:val="pct10" w:color="C3BD96" w:themeColor="background2" w:themeShade="BF" w:fill="DDD9C4" w:themeFill="background2" w:themeFillShade="E6"/>
            <w:vAlign w:val="center"/>
          </w:tcPr>
          <w:p>
            <w:pPr>
              <w:wordWrap w:val="0"/>
              <w:spacing w:before="100" w:beforeAutospacing="1" w:after="100" w:afterAutospacing="1" w:line="360" w:lineRule="auto"/>
              <w:jc w:val="center"/>
              <w:rPr>
                <w:b/>
                <w:szCs w:val="24"/>
              </w:rPr>
            </w:pPr>
            <w:r>
              <w:rPr>
                <w:rFonts w:hint="eastAsia"/>
                <w:b/>
                <w:szCs w:val="24"/>
              </w:rPr>
              <w:t>姓 名</w:t>
            </w:r>
          </w:p>
        </w:tc>
        <w:tc>
          <w:tcPr>
            <w:tcW w:w="1533" w:type="dxa"/>
            <w:shd w:val="pct10" w:color="C3BD96" w:themeColor="background2" w:themeShade="BF" w:fill="DDD9C4" w:themeFill="background2" w:themeFillShade="E6"/>
            <w:vAlign w:val="center"/>
          </w:tcPr>
          <w:p>
            <w:pPr>
              <w:wordWrap w:val="0"/>
              <w:spacing w:before="100" w:beforeAutospacing="1" w:after="100" w:afterAutospacing="1" w:line="360" w:lineRule="auto"/>
              <w:jc w:val="center"/>
              <w:rPr>
                <w:b/>
                <w:szCs w:val="24"/>
              </w:rPr>
            </w:pPr>
            <w:r>
              <w:rPr>
                <w:rFonts w:hint="eastAsia"/>
                <w:b/>
                <w:szCs w:val="24"/>
              </w:rPr>
              <w:t>专 业</w:t>
            </w:r>
          </w:p>
        </w:tc>
        <w:tc>
          <w:tcPr>
            <w:tcW w:w="1134" w:type="dxa"/>
            <w:shd w:val="pct10" w:color="C3BD96" w:themeColor="background2" w:themeShade="BF" w:fill="DDD9C4" w:themeFill="background2" w:themeFillShade="E6"/>
            <w:vAlign w:val="center"/>
          </w:tcPr>
          <w:p>
            <w:pPr>
              <w:wordWrap w:val="0"/>
              <w:spacing w:before="100" w:beforeAutospacing="1" w:after="100" w:afterAutospacing="1" w:line="360" w:lineRule="auto"/>
              <w:jc w:val="center"/>
              <w:rPr>
                <w:b/>
                <w:szCs w:val="24"/>
              </w:rPr>
            </w:pPr>
            <w:r>
              <w:rPr>
                <w:rFonts w:hint="eastAsia"/>
                <w:b/>
                <w:szCs w:val="24"/>
              </w:rPr>
              <w:t>年 龄</w:t>
            </w:r>
          </w:p>
        </w:tc>
        <w:tc>
          <w:tcPr>
            <w:tcW w:w="1491" w:type="dxa"/>
            <w:shd w:val="pct10" w:color="C3BD96" w:themeColor="background2" w:themeShade="BF" w:fill="DDD9C4" w:themeFill="background2" w:themeFillShade="E6"/>
            <w:vAlign w:val="center"/>
          </w:tcPr>
          <w:p>
            <w:pPr>
              <w:wordWrap w:val="0"/>
              <w:spacing w:before="100" w:beforeAutospacing="1" w:after="100" w:afterAutospacing="1" w:line="360" w:lineRule="auto"/>
              <w:jc w:val="center"/>
              <w:rPr>
                <w:b/>
                <w:szCs w:val="24"/>
              </w:rPr>
            </w:pPr>
            <w:r>
              <w:rPr>
                <w:rFonts w:hint="eastAsia"/>
                <w:b/>
                <w:szCs w:val="28"/>
              </w:rPr>
              <w:t>从事本行业工作年限</w:t>
            </w:r>
          </w:p>
        </w:tc>
        <w:tc>
          <w:tcPr>
            <w:tcW w:w="1843" w:type="dxa"/>
            <w:shd w:val="pct10" w:color="C3BD96" w:themeColor="background2" w:themeShade="BF" w:fill="DDD9C4" w:themeFill="background2" w:themeFillShade="E6"/>
            <w:vAlign w:val="center"/>
          </w:tcPr>
          <w:p>
            <w:pPr>
              <w:wordWrap w:val="0"/>
              <w:spacing w:before="100" w:beforeAutospacing="1" w:after="100" w:afterAutospacing="1" w:line="360" w:lineRule="auto"/>
              <w:jc w:val="center"/>
              <w:rPr>
                <w:b/>
                <w:szCs w:val="24"/>
              </w:rPr>
            </w:pPr>
            <w:r>
              <w:rPr>
                <w:rFonts w:hint="eastAsia"/>
                <w:b/>
                <w:szCs w:val="24"/>
              </w:rPr>
              <w:t>在本项目中承担的工作</w:t>
            </w:r>
          </w:p>
        </w:tc>
        <w:tc>
          <w:tcPr>
            <w:tcW w:w="1842" w:type="dxa"/>
            <w:shd w:val="pct10" w:color="C3BD96" w:themeColor="background2" w:themeShade="BF" w:fill="DDD9C4" w:themeFill="background2" w:themeFillShade="E6"/>
            <w:vAlign w:val="center"/>
          </w:tcPr>
          <w:p>
            <w:pPr>
              <w:wordWrap w:val="0"/>
              <w:spacing w:before="100" w:beforeAutospacing="1" w:after="100" w:afterAutospacing="1" w:line="360" w:lineRule="auto"/>
              <w:jc w:val="center"/>
              <w:rPr>
                <w:b/>
                <w:szCs w:val="24"/>
              </w:rPr>
            </w:pPr>
            <w:r>
              <w:rPr>
                <w:rFonts w:hint="eastAsia"/>
                <w:b/>
                <w:szCs w:val="28"/>
              </w:rPr>
              <w:t>个人专业资质及证书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588" w:type="dxa"/>
            <w:vAlign w:val="center"/>
          </w:tcPr>
          <w:p>
            <w:pPr>
              <w:numPr>
                <w:ilvl w:val="0"/>
                <w:numId w:val="86"/>
              </w:numPr>
              <w:tabs>
                <w:tab w:val="left" w:pos="61"/>
              </w:tabs>
              <w:wordWrap w:val="0"/>
              <w:adjustRightInd w:val="0"/>
              <w:snapToGrid w:val="0"/>
              <w:spacing w:line="360" w:lineRule="auto"/>
              <w:ind w:left="-72" w:leftChars="-30" w:firstLine="0"/>
              <w:jc w:val="center"/>
            </w:pPr>
          </w:p>
        </w:tc>
        <w:tc>
          <w:tcPr>
            <w:tcW w:w="1113" w:type="dxa"/>
            <w:vAlign w:val="center"/>
          </w:tcPr>
          <w:p>
            <w:pPr>
              <w:wordWrap w:val="0"/>
              <w:spacing w:line="360" w:lineRule="auto"/>
              <w:jc w:val="center"/>
              <w:rPr>
                <w:szCs w:val="24"/>
              </w:rPr>
            </w:pPr>
          </w:p>
        </w:tc>
        <w:tc>
          <w:tcPr>
            <w:tcW w:w="1533" w:type="dxa"/>
            <w:vAlign w:val="center"/>
          </w:tcPr>
          <w:p>
            <w:pPr>
              <w:wordWrap w:val="0"/>
              <w:spacing w:line="360" w:lineRule="auto"/>
              <w:jc w:val="center"/>
              <w:rPr>
                <w:szCs w:val="24"/>
              </w:rPr>
            </w:pPr>
          </w:p>
        </w:tc>
        <w:tc>
          <w:tcPr>
            <w:tcW w:w="1134" w:type="dxa"/>
            <w:vAlign w:val="center"/>
          </w:tcPr>
          <w:p>
            <w:pPr>
              <w:wordWrap w:val="0"/>
              <w:spacing w:line="360" w:lineRule="auto"/>
              <w:jc w:val="center"/>
              <w:rPr>
                <w:szCs w:val="24"/>
              </w:rPr>
            </w:pPr>
          </w:p>
        </w:tc>
        <w:tc>
          <w:tcPr>
            <w:tcW w:w="1491" w:type="dxa"/>
            <w:vAlign w:val="center"/>
          </w:tcPr>
          <w:p>
            <w:pPr>
              <w:wordWrap w:val="0"/>
              <w:spacing w:line="360" w:lineRule="auto"/>
              <w:jc w:val="center"/>
              <w:rPr>
                <w:szCs w:val="24"/>
              </w:rPr>
            </w:pPr>
          </w:p>
        </w:tc>
        <w:tc>
          <w:tcPr>
            <w:tcW w:w="1843" w:type="dxa"/>
            <w:vAlign w:val="center"/>
          </w:tcPr>
          <w:p>
            <w:pPr>
              <w:wordWrap w:val="0"/>
              <w:spacing w:line="360" w:lineRule="auto"/>
              <w:jc w:val="center"/>
              <w:rPr>
                <w:szCs w:val="24"/>
              </w:rPr>
            </w:pPr>
          </w:p>
        </w:tc>
        <w:tc>
          <w:tcPr>
            <w:tcW w:w="1842" w:type="dxa"/>
            <w:vAlign w:val="center"/>
          </w:tcPr>
          <w:p>
            <w:pPr>
              <w:wordWrap w:val="0"/>
              <w:spacing w:line="360" w:lineRule="auto"/>
              <w:jc w:val="center"/>
              <w:rPr>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588" w:type="dxa"/>
            <w:vAlign w:val="center"/>
          </w:tcPr>
          <w:p>
            <w:pPr>
              <w:numPr>
                <w:ilvl w:val="0"/>
                <w:numId w:val="86"/>
              </w:numPr>
              <w:tabs>
                <w:tab w:val="left" w:pos="61"/>
              </w:tabs>
              <w:wordWrap w:val="0"/>
              <w:adjustRightInd w:val="0"/>
              <w:snapToGrid w:val="0"/>
              <w:spacing w:line="360" w:lineRule="auto"/>
              <w:ind w:left="-72" w:leftChars="-30" w:firstLine="0"/>
              <w:jc w:val="center"/>
            </w:pPr>
          </w:p>
        </w:tc>
        <w:tc>
          <w:tcPr>
            <w:tcW w:w="1113" w:type="dxa"/>
            <w:vAlign w:val="center"/>
          </w:tcPr>
          <w:p>
            <w:pPr>
              <w:wordWrap w:val="0"/>
              <w:spacing w:line="360" w:lineRule="auto"/>
              <w:jc w:val="center"/>
              <w:rPr>
                <w:szCs w:val="24"/>
              </w:rPr>
            </w:pPr>
          </w:p>
        </w:tc>
        <w:tc>
          <w:tcPr>
            <w:tcW w:w="1533" w:type="dxa"/>
            <w:vAlign w:val="center"/>
          </w:tcPr>
          <w:p>
            <w:pPr>
              <w:wordWrap w:val="0"/>
              <w:spacing w:line="360" w:lineRule="auto"/>
              <w:jc w:val="center"/>
              <w:rPr>
                <w:szCs w:val="24"/>
              </w:rPr>
            </w:pPr>
          </w:p>
        </w:tc>
        <w:tc>
          <w:tcPr>
            <w:tcW w:w="1134" w:type="dxa"/>
            <w:vAlign w:val="center"/>
          </w:tcPr>
          <w:p>
            <w:pPr>
              <w:wordWrap w:val="0"/>
              <w:spacing w:line="360" w:lineRule="auto"/>
              <w:jc w:val="center"/>
              <w:rPr>
                <w:szCs w:val="24"/>
              </w:rPr>
            </w:pPr>
          </w:p>
        </w:tc>
        <w:tc>
          <w:tcPr>
            <w:tcW w:w="1491" w:type="dxa"/>
            <w:vAlign w:val="center"/>
          </w:tcPr>
          <w:p>
            <w:pPr>
              <w:wordWrap w:val="0"/>
              <w:spacing w:line="360" w:lineRule="auto"/>
              <w:jc w:val="center"/>
              <w:rPr>
                <w:szCs w:val="24"/>
              </w:rPr>
            </w:pPr>
          </w:p>
        </w:tc>
        <w:tc>
          <w:tcPr>
            <w:tcW w:w="1843" w:type="dxa"/>
            <w:vAlign w:val="center"/>
          </w:tcPr>
          <w:p>
            <w:pPr>
              <w:wordWrap w:val="0"/>
              <w:spacing w:line="360" w:lineRule="auto"/>
              <w:jc w:val="center"/>
              <w:rPr>
                <w:szCs w:val="24"/>
              </w:rPr>
            </w:pPr>
          </w:p>
        </w:tc>
        <w:tc>
          <w:tcPr>
            <w:tcW w:w="1842" w:type="dxa"/>
            <w:vAlign w:val="center"/>
          </w:tcPr>
          <w:p>
            <w:pPr>
              <w:wordWrap w:val="0"/>
              <w:spacing w:line="360" w:lineRule="auto"/>
              <w:jc w:val="center"/>
              <w:rPr>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588" w:type="dxa"/>
            <w:vAlign w:val="center"/>
          </w:tcPr>
          <w:p>
            <w:pPr>
              <w:numPr>
                <w:ilvl w:val="0"/>
                <w:numId w:val="86"/>
              </w:numPr>
              <w:tabs>
                <w:tab w:val="left" w:pos="61"/>
              </w:tabs>
              <w:wordWrap w:val="0"/>
              <w:adjustRightInd w:val="0"/>
              <w:snapToGrid w:val="0"/>
              <w:spacing w:line="360" w:lineRule="auto"/>
              <w:ind w:left="-72" w:leftChars="-30" w:firstLine="0"/>
              <w:jc w:val="center"/>
            </w:pPr>
          </w:p>
        </w:tc>
        <w:tc>
          <w:tcPr>
            <w:tcW w:w="1113" w:type="dxa"/>
            <w:vAlign w:val="center"/>
          </w:tcPr>
          <w:p>
            <w:pPr>
              <w:wordWrap w:val="0"/>
              <w:spacing w:line="360" w:lineRule="auto"/>
              <w:jc w:val="center"/>
              <w:rPr>
                <w:szCs w:val="24"/>
              </w:rPr>
            </w:pPr>
          </w:p>
        </w:tc>
        <w:tc>
          <w:tcPr>
            <w:tcW w:w="1533" w:type="dxa"/>
            <w:vAlign w:val="center"/>
          </w:tcPr>
          <w:p>
            <w:pPr>
              <w:wordWrap w:val="0"/>
              <w:spacing w:line="360" w:lineRule="auto"/>
              <w:jc w:val="center"/>
              <w:rPr>
                <w:szCs w:val="24"/>
              </w:rPr>
            </w:pPr>
          </w:p>
        </w:tc>
        <w:tc>
          <w:tcPr>
            <w:tcW w:w="1134" w:type="dxa"/>
            <w:vAlign w:val="center"/>
          </w:tcPr>
          <w:p>
            <w:pPr>
              <w:wordWrap w:val="0"/>
              <w:spacing w:line="360" w:lineRule="auto"/>
              <w:jc w:val="center"/>
              <w:rPr>
                <w:szCs w:val="24"/>
              </w:rPr>
            </w:pPr>
          </w:p>
        </w:tc>
        <w:tc>
          <w:tcPr>
            <w:tcW w:w="1491" w:type="dxa"/>
            <w:vAlign w:val="center"/>
          </w:tcPr>
          <w:p>
            <w:pPr>
              <w:wordWrap w:val="0"/>
              <w:spacing w:line="360" w:lineRule="auto"/>
              <w:jc w:val="center"/>
              <w:rPr>
                <w:szCs w:val="24"/>
              </w:rPr>
            </w:pPr>
          </w:p>
        </w:tc>
        <w:tc>
          <w:tcPr>
            <w:tcW w:w="1843" w:type="dxa"/>
            <w:vAlign w:val="center"/>
          </w:tcPr>
          <w:p>
            <w:pPr>
              <w:wordWrap w:val="0"/>
              <w:spacing w:line="360" w:lineRule="auto"/>
              <w:jc w:val="center"/>
              <w:rPr>
                <w:szCs w:val="24"/>
              </w:rPr>
            </w:pPr>
          </w:p>
        </w:tc>
        <w:tc>
          <w:tcPr>
            <w:tcW w:w="1842" w:type="dxa"/>
            <w:vAlign w:val="center"/>
          </w:tcPr>
          <w:p>
            <w:pPr>
              <w:wordWrap w:val="0"/>
              <w:spacing w:line="360" w:lineRule="auto"/>
              <w:jc w:val="center"/>
              <w:rPr>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588" w:type="dxa"/>
            <w:vAlign w:val="center"/>
          </w:tcPr>
          <w:p>
            <w:pPr>
              <w:numPr>
                <w:ilvl w:val="0"/>
                <w:numId w:val="86"/>
              </w:numPr>
              <w:tabs>
                <w:tab w:val="left" w:pos="61"/>
              </w:tabs>
              <w:wordWrap w:val="0"/>
              <w:adjustRightInd w:val="0"/>
              <w:snapToGrid w:val="0"/>
              <w:spacing w:line="360" w:lineRule="auto"/>
              <w:ind w:left="-72" w:leftChars="-30" w:firstLine="0"/>
              <w:jc w:val="center"/>
            </w:pPr>
          </w:p>
        </w:tc>
        <w:tc>
          <w:tcPr>
            <w:tcW w:w="1113" w:type="dxa"/>
            <w:vAlign w:val="center"/>
          </w:tcPr>
          <w:p>
            <w:pPr>
              <w:wordWrap w:val="0"/>
              <w:spacing w:line="360" w:lineRule="auto"/>
              <w:jc w:val="center"/>
              <w:rPr>
                <w:szCs w:val="24"/>
              </w:rPr>
            </w:pPr>
          </w:p>
        </w:tc>
        <w:tc>
          <w:tcPr>
            <w:tcW w:w="1533" w:type="dxa"/>
            <w:vAlign w:val="center"/>
          </w:tcPr>
          <w:p>
            <w:pPr>
              <w:wordWrap w:val="0"/>
              <w:spacing w:line="360" w:lineRule="auto"/>
              <w:jc w:val="center"/>
              <w:rPr>
                <w:szCs w:val="24"/>
              </w:rPr>
            </w:pPr>
          </w:p>
        </w:tc>
        <w:tc>
          <w:tcPr>
            <w:tcW w:w="1134" w:type="dxa"/>
            <w:vAlign w:val="center"/>
          </w:tcPr>
          <w:p>
            <w:pPr>
              <w:wordWrap w:val="0"/>
              <w:spacing w:line="360" w:lineRule="auto"/>
              <w:jc w:val="center"/>
              <w:rPr>
                <w:szCs w:val="24"/>
              </w:rPr>
            </w:pPr>
          </w:p>
        </w:tc>
        <w:tc>
          <w:tcPr>
            <w:tcW w:w="1491" w:type="dxa"/>
            <w:vAlign w:val="center"/>
          </w:tcPr>
          <w:p>
            <w:pPr>
              <w:wordWrap w:val="0"/>
              <w:spacing w:line="360" w:lineRule="auto"/>
              <w:jc w:val="center"/>
              <w:rPr>
                <w:szCs w:val="24"/>
              </w:rPr>
            </w:pPr>
          </w:p>
        </w:tc>
        <w:tc>
          <w:tcPr>
            <w:tcW w:w="1843" w:type="dxa"/>
            <w:vAlign w:val="center"/>
          </w:tcPr>
          <w:p>
            <w:pPr>
              <w:wordWrap w:val="0"/>
              <w:spacing w:line="360" w:lineRule="auto"/>
              <w:jc w:val="center"/>
              <w:rPr>
                <w:szCs w:val="24"/>
              </w:rPr>
            </w:pPr>
          </w:p>
        </w:tc>
        <w:tc>
          <w:tcPr>
            <w:tcW w:w="1842" w:type="dxa"/>
            <w:vAlign w:val="center"/>
          </w:tcPr>
          <w:p>
            <w:pPr>
              <w:wordWrap w:val="0"/>
              <w:spacing w:line="360" w:lineRule="auto"/>
              <w:jc w:val="center"/>
              <w:rPr>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588" w:type="dxa"/>
            <w:vAlign w:val="center"/>
          </w:tcPr>
          <w:p>
            <w:pPr>
              <w:numPr>
                <w:ilvl w:val="0"/>
                <w:numId w:val="86"/>
              </w:numPr>
              <w:tabs>
                <w:tab w:val="left" w:pos="61"/>
              </w:tabs>
              <w:wordWrap w:val="0"/>
              <w:adjustRightInd w:val="0"/>
              <w:snapToGrid w:val="0"/>
              <w:spacing w:line="360" w:lineRule="auto"/>
              <w:ind w:left="-72" w:leftChars="-30" w:firstLine="0"/>
              <w:jc w:val="center"/>
            </w:pPr>
          </w:p>
        </w:tc>
        <w:tc>
          <w:tcPr>
            <w:tcW w:w="1113" w:type="dxa"/>
            <w:vAlign w:val="center"/>
          </w:tcPr>
          <w:p>
            <w:pPr>
              <w:wordWrap w:val="0"/>
              <w:spacing w:line="360" w:lineRule="auto"/>
              <w:jc w:val="center"/>
              <w:rPr>
                <w:szCs w:val="24"/>
              </w:rPr>
            </w:pPr>
          </w:p>
        </w:tc>
        <w:tc>
          <w:tcPr>
            <w:tcW w:w="1533" w:type="dxa"/>
            <w:vAlign w:val="center"/>
          </w:tcPr>
          <w:p>
            <w:pPr>
              <w:wordWrap w:val="0"/>
              <w:spacing w:line="360" w:lineRule="auto"/>
              <w:jc w:val="center"/>
              <w:rPr>
                <w:szCs w:val="24"/>
              </w:rPr>
            </w:pPr>
          </w:p>
        </w:tc>
        <w:tc>
          <w:tcPr>
            <w:tcW w:w="1134" w:type="dxa"/>
            <w:vAlign w:val="center"/>
          </w:tcPr>
          <w:p>
            <w:pPr>
              <w:wordWrap w:val="0"/>
              <w:spacing w:line="360" w:lineRule="auto"/>
              <w:jc w:val="center"/>
              <w:rPr>
                <w:szCs w:val="24"/>
              </w:rPr>
            </w:pPr>
          </w:p>
        </w:tc>
        <w:tc>
          <w:tcPr>
            <w:tcW w:w="1491" w:type="dxa"/>
            <w:vAlign w:val="center"/>
          </w:tcPr>
          <w:p>
            <w:pPr>
              <w:wordWrap w:val="0"/>
              <w:spacing w:line="360" w:lineRule="auto"/>
              <w:jc w:val="center"/>
              <w:rPr>
                <w:szCs w:val="24"/>
              </w:rPr>
            </w:pPr>
          </w:p>
        </w:tc>
        <w:tc>
          <w:tcPr>
            <w:tcW w:w="1843" w:type="dxa"/>
            <w:vAlign w:val="center"/>
          </w:tcPr>
          <w:p>
            <w:pPr>
              <w:wordWrap w:val="0"/>
              <w:spacing w:line="360" w:lineRule="auto"/>
              <w:jc w:val="center"/>
              <w:rPr>
                <w:szCs w:val="24"/>
              </w:rPr>
            </w:pPr>
          </w:p>
        </w:tc>
        <w:tc>
          <w:tcPr>
            <w:tcW w:w="1842" w:type="dxa"/>
            <w:vAlign w:val="center"/>
          </w:tcPr>
          <w:p>
            <w:pPr>
              <w:wordWrap w:val="0"/>
              <w:spacing w:line="360" w:lineRule="auto"/>
              <w:jc w:val="center"/>
              <w:rPr>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588" w:type="dxa"/>
            <w:vAlign w:val="center"/>
          </w:tcPr>
          <w:p>
            <w:pPr>
              <w:numPr>
                <w:ilvl w:val="0"/>
                <w:numId w:val="86"/>
              </w:numPr>
              <w:tabs>
                <w:tab w:val="left" w:pos="61"/>
              </w:tabs>
              <w:wordWrap w:val="0"/>
              <w:adjustRightInd w:val="0"/>
              <w:snapToGrid w:val="0"/>
              <w:spacing w:line="360" w:lineRule="auto"/>
              <w:ind w:left="-72" w:leftChars="-30" w:firstLine="0"/>
              <w:jc w:val="center"/>
            </w:pPr>
          </w:p>
        </w:tc>
        <w:tc>
          <w:tcPr>
            <w:tcW w:w="1113" w:type="dxa"/>
            <w:vAlign w:val="center"/>
          </w:tcPr>
          <w:p>
            <w:pPr>
              <w:wordWrap w:val="0"/>
              <w:spacing w:line="360" w:lineRule="auto"/>
              <w:jc w:val="center"/>
              <w:rPr>
                <w:szCs w:val="24"/>
              </w:rPr>
            </w:pPr>
          </w:p>
        </w:tc>
        <w:tc>
          <w:tcPr>
            <w:tcW w:w="1533" w:type="dxa"/>
            <w:vAlign w:val="center"/>
          </w:tcPr>
          <w:p>
            <w:pPr>
              <w:wordWrap w:val="0"/>
              <w:spacing w:line="360" w:lineRule="auto"/>
              <w:jc w:val="center"/>
              <w:rPr>
                <w:szCs w:val="24"/>
              </w:rPr>
            </w:pPr>
          </w:p>
        </w:tc>
        <w:tc>
          <w:tcPr>
            <w:tcW w:w="1134" w:type="dxa"/>
            <w:vAlign w:val="center"/>
          </w:tcPr>
          <w:p>
            <w:pPr>
              <w:wordWrap w:val="0"/>
              <w:spacing w:line="360" w:lineRule="auto"/>
              <w:jc w:val="center"/>
              <w:rPr>
                <w:szCs w:val="24"/>
              </w:rPr>
            </w:pPr>
          </w:p>
        </w:tc>
        <w:tc>
          <w:tcPr>
            <w:tcW w:w="1491" w:type="dxa"/>
            <w:vAlign w:val="center"/>
          </w:tcPr>
          <w:p>
            <w:pPr>
              <w:wordWrap w:val="0"/>
              <w:spacing w:line="360" w:lineRule="auto"/>
              <w:jc w:val="center"/>
              <w:rPr>
                <w:szCs w:val="24"/>
              </w:rPr>
            </w:pPr>
          </w:p>
        </w:tc>
        <w:tc>
          <w:tcPr>
            <w:tcW w:w="1843" w:type="dxa"/>
            <w:vAlign w:val="center"/>
          </w:tcPr>
          <w:p>
            <w:pPr>
              <w:wordWrap w:val="0"/>
              <w:spacing w:line="360" w:lineRule="auto"/>
              <w:jc w:val="center"/>
              <w:rPr>
                <w:szCs w:val="24"/>
              </w:rPr>
            </w:pPr>
          </w:p>
        </w:tc>
        <w:tc>
          <w:tcPr>
            <w:tcW w:w="1842" w:type="dxa"/>
            <w:vAlign w:val="center"/>
          </w:tcPr>
          <w:p>
            <w:pPr>
              <w:wordWrap w:val="0"/>
              <w:spacing w:line="360" w:lineRule="auto"/>
              <w:jc w:val="center"/>
              <w:rPr>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588" w:type="dxa"/>
            <w:vAlign w:val="center"/>
          </w:tcPr>
          <w:p>
            <w:pPr>
              <w:numPr>
                <w:ilvl w:val="0"/>
                <w:numId w:val="86"/>
              </w:numPr>
              <w:tabs>
                <w:tab w:val="left" w:pos="61"/>
              </w:tabs>
              <w:wordWrap w:val="0"/>
              <w:adjustRightInd w:val="0"/>
              <w:snapToGrid w:val="0"/>
              <w:spacing w:line="360" w:lineRule="auto"/>
              <w:ind w:left="-72" w:leftChars="-30" w:firstLine="0"/>
              <w:jc w:val="center"/>
            </w:pPr>
          </w:p>
        </w:tc>
        <w:tc>
          <w:tcPr>
            <w:tcW w:w="1113" w:type="dxa"/>
            <w:vAlign w:val="center"/>
          </w:tcPr>
          <w:p>
            <w:pPr>
              <w:wordWrap w:val="0"/>
              <w:spacing w:line="360" w:lineRule="auto"/>
              <w:jc w:val="center"/>
              <w:rPr>
                <w:szCs w:val="24"/>
              </w:rPr>
            </w:pPr>
          </w:p>
        </w:tc>
        <w:tc>
          <w:tcPr>
            <w:tcW w:w="1533" w:type="dxa"/>
            <w:vAlign w:val="center"/>
          </w:tcPr>
          <w:p>
            <w:pPr>
              <w:wordWrap w:val="0"/>
              <w:spacing w:line="360" w:lineRule="auto"/>
              <w:jc w:val="center"/>
              <w:rPr>
                <w:szCs w:val="24"/>
              </w:rPr>
            </w:pPr>
          </w:p>
        </w:tc>
        <w:tc>
          <w:tcPr>
            <w:tcW w:w="1134" w:type="dxa"/>
            <w:vAlign w:val="center"/>
          </w:tcPr>
          <w:p>
            <w:pPr>
              <w:wordWrap w:val="0"/>
              <w:spacing w:line="360" w:lineRule="auto"/>
              <w:jc w:val="center"/>
              <w:rPr>
                <w:szCs w:val="24"/>
              </w:rPr>
            </w:pPr>
          </w:p>
        </w:tc>
        <w:tc>
          <w:tcPr>
            <w:tcW w:w="1491" w:type="dxa"/>
            <w:vAlign w:val="center"/>
          </w:tcPr>
          <w:p>
            <w:pPr>
              <w:wordWrap w:val="0"/>
              <w:spacing w:line="360" w:lineRule="auto"/>
              <w:jc w:val="center"/>
              <w:rPr>
                <w:szCs w:val="24"/>
              </w:rPr>
            </w:pPr>
          </w:p>
        </w:tc>
        <w:tc>
          <w:tcPr>
            <w:tcW w:w="1843" w:type="dxa"/>
            <w:vAlign w:val="center"/>
          </w:tcPr>
          <w:p>
            <w:pPr>
              <w:wordWrap w:val="0"/>
              <w:spacing w:line="360" w:lineRule="auto"/>
              <w:jc w:val="center"/>
              <w:rPr>
                <w:szCs w:val="24"/>
              </w:rPr>
            </w:pPr>
          </w:p>
        </w:tc>
        <w:tc>
          <w:tcPr>
            <w:tcW w:w="1842" w:type="dxa"/>
            <w:vAlign w:val="center"/>
          </w:tcPr>
          <w:p>
            <w:pPr>
              <w:wordWrap w:val="0"/>
              <w:spacing w:line="360" w:lineRule="auto"/>
              <w:jc w:val="center"/>
              <w:rPr>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588" w:type="dxa"/>
            <w:vAlign w:val="center"/>
          </w:tcPr>
          <w:p>
            <w:pPr>
              <w:numPr>
                <w:ilvl w:val="0"/>
                <w:numId w:val="86"/>
              </w:numPr>
              <w:tabs>
                <w:tab w:val="left" w:pos="61"/>
              </w:tabs>
              <w:wordWrap w:val="0"/>
              <w:adjustRightInd w:val="0"/>
              <w:snapToGrid w:val="0"/>
              <w:spacing w:line="360" w:lineRule="auto"/>
              <w:ind w:left="-72" w:leftChars="-30" w:firstLine="0"/>
              <w:jc w:val="center"/>
            </w:pPr>
          </w:p>
        </w:tc>
        <w:tc>
          <w:tcPr>
            <w:tcW w:w="1113" w:type="dxa"/>
            <w:vAlign w:val="center"/>
          </w:tcPr>
          <w:p>
            <w:pPr>
              <w:wordWrap w:val="0"/>
              <w:spacing w:line="360" w:lineRule="auto"/>
              <w:jc w:val="center"/>
              <w:rPr>
                <w:szCs w:val="24"/>
              </w:rPr>
            </w:pPr>
          </w:p>
        </w:tc>
        <w:tc>
          <w:tcPr>
            <w:tcW w:w="1533" w:type="dxa"/>
            <w:vAlign w:val="center"/>
          </w:tcPr>
          <w:p>
            <w:pPr>
              <w:wordWrap w:val="0"/>
              <w:spacing w:line="360" w:lineRule="auto"/>
              <w:jc w:val="center"/>
              <w:rPr>
                <w:szCs w:val="24"/>
              </w:rPr>
            </w:pPr>
          </w:p>
        </w:tc>
        <w:tc>
          <w:tcPr>
            <w:tcW w:w="1134" w:type="dxa"/>
            <w:vAlign w:val="center"/>
          </w:tcPr>
          <w:p>
            <w:pPr>
              <w:wordWrap w:val="0"/>
              <w:spacing w:line="360" w:lineRule="auto"/>
              <w:jc w:val="center"/>
              <w:rPr>
                <w:szCs w:val="24"/>
              </w:rPr>
            </w:pPr>
          </w:p>
        </w:tc>
        <w:tc>
          <w:tcPr>
            <w:tcW w:w="1491" w:type="dxa"/>
            <w:vAlign w:val="center"/>
          </w:tcPr>
          <w:p>
            <w:pPr>
              <w:wordWrap w:val="0"/>
              <w:spacing w:line="360" w:lineRule="auto"/>
              <w:jc w:val="center"/>
              <w:rPr>
                <w:szCs w:val="24"/>
              </w:rPr>
            </w:pPr>
          </w:p>
        </w:tc>
        <w:tc>
          <w:tcPr>
            <w:tcW w:w="1843" w:type="dxa"/>
            <w:vAlign w:val="center"/>
          </w:tcPr>
          <w:p>
            <w:pPr>
              <w:wordWrap w:val="0"/>
              <w:spacing w:line="360" w:lineRule="auto"/>
              <w:jc w:val="center"/>
              <w:rPr>
                <w:szCs w:val="24"/>
              </w:rPr>
            </w:pPr>
          </w:p>
        </w:tc>
        <w:tc>
          <w:tcPr>
            <w:tcW w:w="1842" w:type="dxa"/>
            <w:vAlign w:val="center"/>
          </w:tcPr>
          <w:p>
            <w:pPr>
              <w:wordWrap w:val="0"/>
              <w:spacing w:line="360" w:lineRule="auto"/>
              <w:jc w:val="center"/>
              <w:rPr>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588" w:type="dxa"/>
            <w:vAlign w:val="center"/>
          </w:tcPr>
          <w:p>
            <w:pPr>
              <w:numPr>
                <w:ilvl w:val="0"/>
                <w:numId w:val="86"/>
              </w:numPr>
              <w:tabs>
                <w:tab w:val="left" w:pos="61"/>
              </w:tabs>
              <w:wordWrap w:val="0"/>
              <w:adjustRightInd w:val="0"/>
              <w:snapToGrid w:val="0"/>
              <w:spacing w:line="360" w:lineRule="auto"/>
              <w:ind w:left="-72" w:leftChars="-30" w:firstLine="0"/>
              <w:jc w:val="center"/>
            </w:pPr>
          </w:p>
        </w:tc>
        <w:tc>
          <w:tcPr>
            <w:tcW w:w="1113" w:type="dxa"/>
            <w:vAlign w:val="center"/>
          </w:tcPr>
          <w:p>
            <w:pPr>
              <w:wordWrap w:val="0"/>
              <w:spacing w:line="360" w:lineRule="auto"/>
              <w:jc w:val="center"/>
              <w:rPr>
                <w:szCs w:val="24"/>
              </w:rPr>
            </w:pPr>
          </w:p>
        </w:tc>
        <w:tc>
          <w:tcPr>
            <w:tcW w:w="1533" w:type="dxa"/>
            <w:vAlign w:val="center"/>
          </w:tcPr>
          <w:p>
            <w:pPr>
              <w:wordWrap w:val="0"/>
              <w:spacing w:line="360" w:lineRule="auto"/>
              <w:jc w:val="center"/>
              <w:rPr>
                <w:szCs w:val="24"/>
              </w:rPr>
            </w:pPr>
          </w:p>
        </w:tc>
        <w:tc>
          <w:tcPr>
            <w:tcW w:w="1134" w:type="dxa"/>
            <w:vAlign w:val="center"/>
          </w:tcPr>
          <w:p>
            <w:pPr>
              <w:wordWrap w:val="0"/>
              <w:spacing w:line="360" w:lineRule="auto"/>
              <w:jc w:val="center"/>
              <w:rPr>
                <w:szCs w:val="24"/>
              </w:rPr>
            </w:pPr>
          </w:p>
        </w:tc>
        <w:tc>
          <w:tcPr>
            <w:tcW w:w="1491" w:type="dxa"/>
            <w:vAlign w:val="center"/>
          </w:tcPr>
          <w:p>
            <w:pPr>
              <w:wordWrap w:val="0"/>
              <w:spacing w:line="360" w:lineRule="auto"/>
              <w:jc w:val="center"/>
              <w:rPr>
                <w:szCs w:val="24"/>
              </w:rPr>
            </w:pPr>
          </w:p>
        </w:tc>
        <w:tc>
          <w:tcPr>
            <w:tcW w:w="1843" w:type="dxa"/>
            <w:vAlign w:val="center"/>
          </w:tcPr>
          <w:p>
            <w:pPr>
              <w:wordWrap w:val="0"/>
              <w:spacing w:line="360" w:lineRule="auto"/>
              <w:jc w:val="center"/>
              <w:rPr>
                <w:szCs w:val="24"/>
              </w:rPr>
            </w:pPr>
          </w:p>
        </w:tc>
        <w:tc>
          <w:tcPr>
            <w:tcW w:w="1842" w:type="dxa"/>
            <w:vAlign w:val="center"/>
          </w:tcPr>
          <w:p>
            <w:pPr>
              <w:wordWrap w:val="0"/>
              <w:spacing w:line="360" w:lineRule="auto"/>
              <w:jc w:val="center"/>
              <w:rPr>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588" w:type="dxa"/>
            <w:vAlign w:val="center"/>
          </w:tcPr>
          <w:p>
            <w:pPr>
              <w:wordWrap w:val="0"/>
              <w:spacing w:line="360" w:lineRule="auto"/>
              <w:jc w:val="center"/>
              <w:rPr>
                <w:szCs w:val="24"/>
              </w:rPr>
            </w:pPr>
            <w:r>
              <w:rPr>
                <w:szCs w:val="24"/>
              </w:rPr>
              <w:t>…</w:t>
            </w:r>
          </w:p>
        </w:tc>
        <w:tc>
          <w:tcPr>
            <w:tcW w:w="1113" w:type="dxa"/>
            <w:vAlign w:val="center"/>
          </w:tcPr>
          <w:p>
            <w:pPr>
              <w:wordWrap w:val="0"/>
              <w:spacing w:line="360" w:lineRule="auto"/>
              <w:jc w:val="center"/>
              <w:rPr>
                <w:szCs w:val="24"/>
              </w:rPr>
            </w:pPr>
          </w:p>
        </w:tc>
        <w:tc>
          <w:tcPr>
            <w:tcW w:w="1533" w:type="dxa"/>
            <w:vAlign w:val="center"/>
          </w:tcPr>
          <w:p>
            <w:pPr>
              <w:wordWrap w:val="0"/>
              <w:spacing w:line="360" w:lineRule="auto"/>
              <w:jc w:val="center"/>
              <w:rPr>
                <w:szCs w:val="24"/>
              </w:rPr>
            </w:pPr>
          </w:p>
        </w:tc>
        <w:tc>
          <w:tcPr>
            <w:tcW w:w="1134" w:type="dxa"/>
            <w:vAlign w:val="center"/>
          </w:tcPr>
          <w:p>
            <w:pPr>
              <w:wordWrap w:val="0"/>
              <w:spacing w:line="360" w:lineRule="auto"/>
              <w:jc w:val="center"/>
              <w:rPr>
                <w:szCs w:val="24"/>
              </w:rPr>
            </w:pPr>
          </w:p>
        </w:tc>
        <w:tc>
          <w:tcPr>
            <w:tcW w:w="1491" w:type="dxa"/>
            <w:vAlign w:val="center"/>
          </w:tcPr>
          <w:p>
            <w:pPr>
              <w:wordWrap w:val="0"/>
              <w:spacing w:line="360" w:lineRule="auto"/>
              <w:jc w:val="center"/>
              <w:rPr>
                <w:szCs w:val="24"/>
              </w:rPr>
            </w:pPr>
          </w:p>
        </w:tc>
        <w:tc>
          <w:tcPr>
            <w:tcW w:w="1843" w:type="dxa"/>
            <w:vAlign w:val="center"/>
          </w:tcPr>
          <w:p>
            <w:pPr>
              <w:wordWrap w:val="0"/>
              <w:spacing w:line="360" w:lineRule="auto"/>
              <w:jc w:val="center"/>
              <w:rPr>
                <w:szCs w:val="24"/>
              </w:rPr>
            </w:pPr>
          </w:p>
        </w:tc>
        <w:tc>
          <w:tcPr>
            <w:tcW w:w="1842" w:type="dxa"/>
            <w:vAlign w:val="center"/>
          </w:tcPr>
          <w:p>
            <w:pPr>
              <w:wordWrap w:val="0"/>
              <w:spacing w:line="360" w:lineRule="auto"/>
              <w:jc w:val="center"/>
              <w:rPr>
                <w:szCs w:val="24"/>
              </w:rPr>
            </w:pPr>
          </w:p>
        </w:tc>
      </w:tr>
    </w:tbl>
    <w:p>
      <w:pPr>
        <w:wordWrap w:val="0"/>
        <w:spacing w:line="360" w:lineRule="auto"/>
        <w:ind w:left="754" w:hanging="751" w:hangingChars="313"/>
        <w:jc w:val="left"/>
        <w:rPr>
          <w:szCs w:val="24"/>
          <w:lang w:val="zh-CN"/>
        </w:rPr>
      </w:pPr>
      <w:r>
        <w:rPr>
          <w:rFonts w:hint="eastAsia"/>
          <w:b/>
          <w:szCs w:val="24"/>
          <w:lang w:val="zh-CN"/>
        </w:rPr>
        <w:t>说明：</w:t>
      </w:r>
      <w:r>
        <w:rPr>
          <w:rFonts w:hint="eastAsia"/>
        </w:rPr>
        <w:t>应附完整的相关证明材料清晰影印件</w:t>
      </w:r>
      <w:r>
        <w:rPr>
          <w:rFonts w:hint="eastAsia"/>
          <w:szCs w:val="24"/>
          <w:lang w:val="zh-CN"/>
        </w:rPr>
        <w:t>，</w:t>
      </w:r>
      <w:r>
        <w:rPr>
          <w:rFonts w:hint="eastAsia" w:cs="Corbel"/>
          <w:szCs w:val="21"/>
          <w:lang w:val="zh-CN"/>
        </w:rPr>
        <w:t>未按照要求详细完整填写此表，</w:t>
      </w:r>
      <w:r>
        <w:rPr>
          <w:rFonts w:hint="eastAsia"/>
          <w:szCs w:val="21"/>
          <w:lang w:val="zh-CN"/>
        </w:rPr>
        <w:t>导致的后果由投标人自行承担。</w:t>
      </w:r>
    </w:p>
    <w:p>
      <w:pPr>
        <w:wordWrap w:val="0"/>
        <w:spacing w:before="100" w:beforeAutospacing="1" w:after="100" w:afterAutospacing="1" w:line="360" w:lineRule="auto"/>
        <w:ind w:firstLine="3316" w:firstLineChars="1382"/>
        <w:rPr>
          <w:bCs/>
          <w:u w:val="single"/>
        </w:rPr>
      </w:pPr>
      <w:r>
        <w:rPr>
          <w:rFonts w:hint="eastAsia"/>
          <w:bCs/>
        </w:rPr>
        <w:t>投标人（公章）：</w:t>
      </w:r>
      <w:r>
        <w:rPr>
          <w:rFonts w:hint="eastAsia"/>
          <w:bCs/>
          <w:u w:val="single"/>
        </w:rPr>
        <w:t xml:space="preserve">                          </w:t>
      </w:r>
    </w:p>
    <w:p>
      <w:pPr>
        <w:wordWrap w:val="0"/>
        <w:spacing w:before="100" w:beforeAutospacing="1" w:after="100" w:afterAutospacing="1" w:line="360" w:lineRule="auto"/>
        <w:ind w:firstLine="3316" w:firstLineChars="1382"/>
        <w:rPr>
          <w:bCs/>
        </w:rPr>
      </w:pPr>
      <w:r>
        <w:rPr>
          <w:rFonts w:hint="eastAsia"/>
          <w:szCs w:val="24"/>
        </w:rPr>
        <w:t>日   期：</w:t>
      </w:r>
      <w:r>
        <w:rPr>
          <w:rFonts w:hint="eastAsia"/>
          <w:bCs/>
          <w:u w:val="single"/>
        </w:rPr>
        <w:t xml:space="preserve">                               </w:t>
      </w:r>
    </w:p>
    <w:p>
      <w:pPr>
        <w:pStyle w:val="3"/>
        <w:numPr>
          <w:ilvl w:val="0"/>
          <w:numId w:val="79"/>
        </w:numPr>
        <w:wordWrap w:val="0"/>
        <w:spacing w:before="40" w:after="40" w:line="360" w:lineRule="auto"/>
        <w:ind w:left="1285" w:hanging="1280" w:hangingChars="400"/>
        <w:jc w:val="left"/>
        <w:rPr>
          <w:rFonts w:ascii="宋体" w:hAnsi="宋体" w:eastAsia="宋体" w:cs="Times New Roman"/>
          <w:bCs w:val="0"/>
        </w:rPr>
        <w:sectPr>
          <w:pgSz w:w="11906" w:h="16838"/>
          <w:pgMar w:top="1134" w:right="1191" w:bottom="1134" w:left="1191" w:header="851" w:footer="992" w:gutter="0"/>
          <w:pgBorders>
            <w:top w:val="none" w:sz="0" w:space="0"/>
            <w:left w:val="none" w:sz="0" w:space="0"/>
            <w:bottom w:val="none" w:sz="0" w:space="0"/>
            <w:right w:val="none" w:sz="0" w:space="0"/>
          </w:pgBorders>
          <w:cols w:space="425" w:num="1"/>
          <w:docGrid w:type="linesAndChars" w:linePitch="312" w:charSpace="0"/>
        </w:sectPr>
      </w:pPr>
    </w:p>
    <w:p>
      <w:pPr>
        <w:pStyle w:val="3"/>
        <w:numPr>
          <w:ilvl w:val="0"/>
          <w:numId w:val="77"/>
        </w:numPr>
        <w:tabs>
          <w:tab w:val="left" w:pos="567"/>
        </w:tabs>
        <w:spacing w:line="360" w:lineRule="auto"/>
        <w:ind w:left="482" w:hanging="480" w:hangingChars="200"/>
        <w:jc w:val="left"/>
        <w:rPr>
          <w:rFonts w:ascii="宋体" w:hAnsi="宋体" w:eastAsia="宋体"/>
          <w:sz w:val="24"/>
          <w:szCs w:val="24"/>
        </w:rPr>
      </w:pPr>
      <w:bookmarkStart w:id="740" w:name="_Toc20411"/>
      <w:bookmarkStart w:id="741" w:name="_Toc117244397"/>
      <w:bookmarkStart w:id="742" w:name="_Toc107561316"/>
      <w:bookmarkStart w:id="743" w:name="_Toc25929"/>
      <w:bookmarkStart w:id="744" w:name="_Toc117244512"/>
      <w:r>
        <w:rPr>
          <w:rFonts w:hint="eastAsia" w:ascii="宋体" w:hAnsi="宋体" w:eastAsia="宋体"/>
          <w:sz w:val="24"/>
          <w:szCs w:val="24"/>
        </w:rPr>
        <w:t>投标人类似项目业绩表</w:t>
      </w:r>
      <w:bookmarkEnd w:id="740"/>
      <w:bookmarkEnd w:id="741"/>
      <w:bookmarkEnd w:id="742"/>
      <w:bookmarkEnd w:id="743"/>
      <w:bookmarkEnd w:id="744"/>
    </w:p>
    <w:p>
      <w:pPr>
        <w:wordWrap w:val="0"/>
        <w:spacing w:line="360" w:lineRule="auto"/>
        <w:jc w:val="left"/>
        <w:rPr>
          <w:b/>
        </w:rPr>
      </w:pPr>
      <w:r>
        <w:rPr>
          <w:rFonts w:hint="eastAsia"/>
          <w:b/>
        </w:rPr>
        <w:t>投 标 人：</w:t>
      </w:r>
      <w:r>
        <w:rPr>
          <w:rFonts w:hint="eastAsia"/>
          <w:b/>
          <w:szCs w:val="21"/>
          <w:u w:val="single"/>
          <w:lang w:val="zh-CN"/>
        </w:rPr>
        <w:t xml:space="preserve">                     </w:t>
      </w:r>
      <w:r>
        <w:rPr>
          <w:rFonts w:hint="eastAsia"/>
          <w:b/>
          <w:szCs w:val="21"/>
          <w:lang w:val="zh-CN"/>
        </w:rPr>
        <w:t xml:space="preserve"> </w:t>
      </w:r>
    </w:p>
    <w:p>
      <w:pPr>
        <w:wordWrap w:val="0"/>
        <w:spacing w:line="360" w:lineRule="auto"/>
        <w:jc w:val="left"/>
        <w:rPr>
          <w:b/>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w:t>
      </w:r>
      <w:r>
        <w:rPr>
          <w:b/>
          <w:bCs/>
          <w:szCs w:val="21"/>
          <w:lang w:val="zh-CN"/>
        </w:rPr>
        <w:t xml:space="preserve">        </w:t>
      </w:r>
      <w:r>
        <w:rPr>
          <w:rFonts w:hint="eastAsia"/>
          <w:b/>
          <w:bCs/>
          <w:szCs w:val="21"/>
          <w:lang w:val="zh-CN"/>
        </w:rPr>
        <w:t>包号：</w:t>
      </w:r>
      <w:r>
        <w:rPr>
          <w:rFonts w:hint="eastAsia"/>
          <w:b/>
          <w:bCs/>
          <w:szCs w:val="21"/>
          <w:u w:val="single"/>
          <w:lang w:val="zh-CN"/>
        </w:rPr>
        <w:t xml:space="preserve">           </w:t>
      </w:r>
    </w:p>
    <w:tbl>
      <w:tblPr>
        <w:tblStyle w:val="29"/>
        <w:tblW w:w="94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220"/>
        <w:gridCol w:w="72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0" w:hRule="atLeast"/>
          <w:jc w:val="center"/>
        </w:trPr>
        <w:tc>
          <w:tcPr>
            <w:tcW w:w="2220" w:type="dxa"/>
            <w:shd w:val="clear" w:color="auto" w:fill="auto"/>
            <w:vAlign w:val="center"/>
          </w:tcPr>
          <w:p>
            <w:pPr>
              <w:wordWrap w:val="0"/>
              <w:spacing w:line="360" w:lineRule="auto"/>
              <w:jc w:val="center"/>
              <w:rPr>
                <w:rFonts w:cs="Courier New"/>
                <w:szCs w:val="24"/>
              </w:rPr>
            </w:pPr>
            <w:r>
              <w:rPr>
                <w:rFonts w:hint="eastAsia" w:cs="Courier New"/>
                <w:szCs w:val="24"/>
              </w:rPr>
              <w:t>项目单位名称</w:t>
            </w:r>
          </w:p>
        </w:tc>
        <w:tc>
          <w:tcPr>
            <w:tcW w:w="7200" w:type="dxa"/>
            <w:shd w:val="clear" w:color="auto" w:fill="auto"/>
            <w:vAlign w:val="center"/>
          </w:tcPr>
          <w:p>
            <w:pPr>
              <w:wordWrap w:val="0"/>
              <w:spacing w:line="360" w:lineRule="auto"/>
              <w:rPr>
                <w:rFonts w:cs="Courier New"/>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4" w:hRule="atLeast"/>
          <w:jc w:val="center"/>
        </w:trPr>
        <w:tc>
          <w:tcPr>
            <w:tcW w:w="2220" w:type="dxa"/>
            <w:shd w:val="clear" w:color="auto" w:fill="auto"/>
            <w:vAlign w:val="center"/>
          </w:tcPr>
          <w:p>
            <w:pPr>
              <w:wordWrap w:val="0"/>
              <w:spacing w:line="360" w:lineRule="auto"/>
              <w:jc w:val="center"/>
              <w:rPr>
                <w:rFonts w:cs="Courier New"/>
                <w:szCs w:val="24"/>
              </w:rPr>
            </w:pPr>
            <w:r>
              <w:rPr>
                <w:rFonts w:hint="eastAsia" w:cs="Courier New"/>
                <w:szCs w:val="24"/>
              </w:rPr>
              <w:t>项目名称</w:t>
            </w:r>
          </w:p>
        </w:tc>
        <w:tc>
          <w:tcPr>
            <w:tcW w:w="7200" w:type="dxa"/>
            <w:shd w:val="clear" w:color="auto" w:fill="auto"/>
            <w:vAlign w:val="center"/>
          </w:tcPr>
          <w:p>
            <w:pPr>
              <w:wordWrap w:val="0"/>
              <w:spacing w:line="360" w:lineRule="auto"/>
              <w:rPr>
                <w:rFonts w:cs="Courier New"/>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67" w:hRule="atLeast"/>
          <w:jc w:val="center"/>
        </w:trPr>
        <w:tc>
          <w:tcPr>
            <w:tcW w:w="2220" w:type="dxa"/>
            <w:shd w:val="clear" w:color="auto" w:fill="auto"/>
            <w:vAlign w:val="center"/>
          </w:tcPr>
          <w:p>
            <w:pPr>
              <w:wordWrap w:val="0"/>
              <w:spacing w:line="360" w:lineRule="auto"/>
              <w:jc w:val="center"/>
              <w:rPr>
                <w:rFonts w:cs="Courier New"/>
                <w:szCs w:val="24"/>
              </w:rPr>
            </w:pPr>
            <w:r>
              <w:rPr>
                <w:rFonts w:hint="eastAsia" w:cs="Courier New"/>
                <w:szCs w:val="24"/>
              </w:rPr>
              <w:t>项目单位联系人姓名及联系方式</w:t>
            </w:r>
          </w:p>
        </w:tc>
        <w:tc>
          <w:tcPr>
            <w:tcW w:w="7200" w:type="dxa"/>
            <w:shd w:val="clear" w:color="auto" w:fill="auto"/>
            <w:vAlign w:val="center"/>
          </w:tcPr>
          <w:p>
            <w:pPr>
              <w:wordWrap w:val="0"/>
              <w:spacing w:line="360" w:lineRule="auto"/>
              <w:rPr>
                <w:rFonts w:cs="Courier New"/>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3" w:hRule="atLeast"/>
          <w:jc w:val="center"/>
        </w:trPr>
        <w:tc>
          <w:tcPr>
            <w:tcW w:w="2220" w:type="dxa"/>
            <w:shd w:val="clear" w:color="auto" w:fill="auto"/>
            <w:vAlign w:val="center"/>
          </w:tcPr>
          <w:p>
            <w:pPr>
              <w:wordWrap w:val="0"/>
              <w:spacing w:line="360" w:lineRule="auto"/>
              <w:jc w:val="center"/>
              <w:rPr>
                <w:rFonts w:cs="Courier New"/>
                <w:szCs w:val="24"/>
              </w:rPr>
            </w:pPr>
            <w:r>
              <w:rPr>
                <w:rFonts w:hint="eastAsia" w:cs="Courier New"/>
                <w:szCs w:val="24"/>
              </w:rPr>
              <w:t>项目金额</w:t>
            </w:r>
          </w:p>
        </w:tc>
        <w:tc>
          <w:tcPr>
            <w:tcW w:w="7200" w:type="dxa"/>
            <w:shd w:val="clear" w:color="auto" w:fill="auto"/>
            <w:vAlign w:val="center"/>
          </w:tcPr>
          <w:p>
            <w:pPr>
              <w:wordWrap w:val="0"/>
              <w:spacing w:line="360" w:lineRule="auto"/>
              <w:rPr>
                <w:rFonts w:cs="Courier New"/>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3" w:hRule="atLeast"/>
          <w:jc w:val="center"/>
        </w:trPr>
        <w:tc>
          <w:tcPr>
            <w:tcW w:w="2220" w:type="dxa"/>
            <w:shd w:val="clear" w:color="auto" w:fill="auto"/>
            <w:vAlign w:val="center"/>
          </w:tcPr>
          <w:p>
            <w:pPr>
              <w:wordWrap w:val="0"/>
              <w:spacing w:line="360" w:lineRule="auto"/>
              <w:jc w:val="center"/>
              <w:rPr>
                <w:rFonts w:cs="Courier New"/>
                <w:szCs w:val="24"/>
              </w:rPr>
            </w:pPr>
            <w:r>
              <w:rPr>
                <w:rFonts w:hint="eastAsia" w:cs="Courier New"/>
                <w:szCs w:val="24"/>
              </w:rPr>
              <w:t>项目负责人姓名</w:t>
            </w:r>
          </w:p>
        </w:tc>
        <w:tc>
          <w:tcPr>
            <w:tcW w:w="7200" w:type="dxa"/>
            <w:shd w:val="clear" w:color="auto" w:fill="auto"/>
            <w:vAlign w:val="center"/>
          </w:tcPr>
          <w:p>
            <w:pPr>
              <w:wordWrap w:val="0"/>
              <w:spacing w:line="360" w:lineRule="auto"/>
              <w:rPr>
                <w:rFonts w:cs="Courier New"/>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04" w:hRule="atLeast"/>
          <w:jc w:val="center"/>
        </w:trPr>
        <w:tc>
          <w:tcPr>
            <w:tcW w:w="2220" w:type="dxa"/>
            <w:shd w:val="clear" w:color="auto" w:fill="auto"/>
            <w:vAlign w:val="center"/>
          </w:tcPr>
          <w:p>
            <w:pPr>
              <w:wordWrap w:val="0"/>
              <w:spacing w:line="360" w:lineRule="auto"/>
              <w:jc w:val="center"/>
              <w:rPr>
                <w:rFonts w:cs="Courier New"/>
                <w:szCs w:val="24"/>
              </w:rPr>
            </w:pPr>
            <w:r>
              <w:rPr>
                <w:rFonts w:hint="eastAsia" w:cs="Courier New"/>
                <w:szCs w:val="24"/>
              </w:rPr>
              <w:t>项目时间</w:t>
            </w:r>
          </w:p>
        </w:tc>
        <w:tc>
          <w:tcPr>
            <w:tcW w:w="7200" w:type="dxa"/>
            <w:shd w:val="clear" w:color="auto" w:fill="auto"/>
            <w:vAlign w:val="center"/>
          </w:tcPr>
          <w:p>
            <w:pPr>
              <w:wordWrap w:val="0"/>
              <w:spacing w:line="360" w:lineRule="auto"/>
              <w:rPr>
                <w:rFonts w:cs="Courier New"/>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458" w:hRule="atLeast"/>
          <w:jc w:val="center"/>
        </w:trPr>
        <w:tc>
          <w:tcPr>
            <w:tcW w:w="2220" w:type="dxa"/>
            <w:shd w:val="clear" w:color="auto" w:fill="auto"/>
            <w:vAlign w:val="center"/>
          </w:tcPr>
          <w:p>
            <w:pPr>
              <w:wordWrap w:val="0"/>
              <w:spacing w:line="360" w:lineRule="auto"/>
              <w:jc w:val="center"/>
              <w:rPr>
                <w:rFonts w:cs="Courier New"/>
                <w:szCs w:val="24"/>
              </w:rPr>
            </w:pPr>
            <w:r>
              <w:rPr>
                <w:rFonts w:hint="eastAsia" w:cs="Courier New"/>
                <w:szCs w:val="24"/>
              </w:rPr>
              <w:t>项目内容</w:t>
            </w:r>
          </w:p>
        </w:tc>
        <w:tc>
          <w:tcPr>
            <w:tcW w:w="7200" w:type="dxa"/>
            <w:shd w:val="clear" w:color="auto" w:fill="auto"/>
          </w:tcPr>
          <w:p>
            <w:pPr>
              <w:wordWrap w:val="0"/>
              <w:spacing w:line="360" w:lineRule="auto"/>
              <w:rPr>
                <w:rFonts w:cs="Courier New"/>
                <w:szCs w:val="24"/>
              </w:rPr>
            </w:pPr>
          </w:p>
        </w:tc>
      </w:tr>
    </w:tbl>
    <w:p>
      <w:pPr>
        <w:wordWrap w:val="0"/>
        <w:spacing w:line="360" w:lineRule="auto"/>
        <w:ind w:left="1132" w:hanging="1128" w:hangingChars="470"/>
        <w:jc w:val="left"/>
        <w:rPr>
          <w:szCs w:val="24"/>
        </w:rPr>
      </w:pPr>
      <w:r>
        <w:rPr>
          <w:rFonts w:hint="eastAsia"/>
          <w:b/>
          <w:szCs w:val="24"/>
        </w:rPr>
        <w:t>说明：</w:t>
      </w:r>
      <w:r>
        <w:rPr>
          <w:rFonts w:hint="eastAsia"/>
          <w:szCs w:val="24"/>
        </w:rPr>
        <w:t>1.每个合同应单独附表，并附上相关证明材料，</w:t>
      </w:r>
      <w:r>
        <w:rPr>
          <w:rFonts w:hint="eastAsia" w:cs="Corbel"/>
          <w:szCs w:val="24"/>
        </w:rPr>
        <w:t>未按照要求详细完整填写此表，</w:t>
      </w:r>
      <w:r>
        <w:rPr>
          <w:rFonts w:hint="eastAsia"/>
          <w:szCs w:val="24"/>
        </w:rPr>
        <w:t>导致的后果由投标人自行承担。</w:t>
      </w:r>
    </w:p>
    <w:p>
      <w:pPr>
        <w:wordWrap w:val="0"/>
        <w:spacing w:line="360" w:lineRule="auto"/>
        <w:ind w:firstLine="708" w:firstLineChars="295"/>
        <w:jc w:val="left"/>
        <w:rPr>
          <w:szCs w:val="24"/>
        </w:rPr>
      </w:pPr>
      <w:r>
        <w:rPr>
          <w:rFonts w:hint="eastAsia"/>
          <w:szCs w:val="24"/>
        </w:rPr>
        <w:t>2.项目内容请详细说明所承担的具体工作内容等。</w:t>
      </w:r>
    </w:p>
    <w:p>
      <w:pPr>
        <w:wordWrap w:val="0"/>
        <w:spacing w:before="100" w:beforeAutospacing="1" w:after="100" w:afterAutospacing="1" w:line="360" w:lineRule="auto"/>
        <w:ind w:firstLine="3316" w:firstLineChars="1382"/>
        <w:rPr>
          <w:bCs/>
          <w:u w:val="single"/>
        </w:rPr>
      </w:pPr>
      <w:r>
        <w:rPr>
          <w:rFonts w:hint="eastAsia"/>
          <w:bCs/>
        </w:rPr>
        <w:t>投标人（公章）：</w:t>
      </w:r>
      <w:r>
        <w:rPr>
          <w:rFonts w:hint="eastAsia"/>
          <w:bCs/>
          <w:u w:val="single"/>
        </w:rPr>
        <w:t xml:space="preserve">                          </w:t>
      </w:r>
    </w:p>
    <w:p>
      <w:pPr>
        <w:wordWrap w:val="0"/>
        <w:spacing w:before="100" w:beforeAutospacing="1" w:after="100" w:afterAutospacing="1" w:line="360" w:lineRule="auto"/>
        <w:ind w:firstLine="3316" w:firstLineChars="1382"/>
        <w:rPr>
          <w:bCs/>
        </w:rPr>
      </w:pPr>
      <w:r>
        <w:rPr>
          <w:rFonts w:hint="eastAsia"/>
          <w:szCs w:val="24"/>
        </w:rPr>
        <w:t>日   期：</w:t>
      </w:r>
      <w:r>
        <w:rPr>
          <w:rFonts w:hint="eastAsia"/>
          <w:bCs/>
          <w:u w:val="single"/>
        </w:rPr>
        <w:t xml:space="preserve">                               </w:t>
      </w:r>
    </w:p>
    <w:p>
      <w:pPr>
        <w:spacing w:line="360" w:lineRule="auto"/>
        <w:rPr>
          <w:szCs w:val="32"/>
        </w:rPr>
      </w:pPr>
    </w:p>
    <w:p>
      <w:pPr>
        <w:spacing w:line="360" w:lineRule="auto"/>
      </w:pPr>
      <w:bookmarkStart w:id="745" w:name="_Toc107561317"/>
    </w:p>
    <w:bookmarkEnd w:id="745"/>
    <w:p>
      <w:pPr>
        <w:pStyle w:val="3"/>
        <w:numPr>
          <w:ilvl w:val="0"/>
          <w:numId w:val="79"/>
        </w:numPr>
        <w:wordWrap w:val="0"/>
        <w:spacing w:before="40" w:after="40" w:line="360" w:lineRule="auto"/>
        <w:ind w:left="1285" w:hanging="1280" w:hangingChars="400"/>
        <w:jc w:val="left"/>
        <w:rPr>
          <w:rFonts w:ascii="宋体" w:hAnsi="宋体" w:eastAsia="宋体" w:cs="Times New Roman"/>
          <w:bCs w:val="0"/>
        </w:rPr>
        <w:sectPr>
          <w:pgSz w:w="11906" w:h="16838"/>
          <w:pgMar w:top="1134" w:right="1191" w:bottom="1134" w:left="1191" w:header="851" w:footer="992" w:gutter="0"/>
          <w:pgBorders>
            <w:top w:val="none" w:sz="0" w:space="0"/>
            <w:left w:val="none" w:sz="0" w:space="0"/>
            <w:bottom w:val="none" w:sz="0" w:space="0"/>
            <w:right w:val="none" w:sz="0" w:space="0"/>
          </w:pgBorders>
          <w:cols w:space="425" w:num="1"/>
          <w:docGrid w:type="linesAndChars" w:linePitch="312" w:charSpace="0"/>
        </w:sectPr>
      </w:pPr>
    </w:p>
    <w:bookmarkEnd w:id="617"/>
    <w:bookmarkEnd w:id="618"/>
    <w:bookmarkEnd w:id="619"/>
    <w:bookmarkEnd w:id="620"/>
    <w:bookmarkEnd w:id="621"/>
    <w:bookmarkEnd w:id="622"/>
    <w:bookmarkEnd w:id="623"/>
    <w:bookmarkEnd w:id="624"/>
    <w:bookmarkEnd w:id="625"/>
    <w:bookmarkEnd w:id="626"/>
    <w:bookmarkEnd w:id="627"/>
    <w:bookmarkEnd w:id="628"/>
    <w:bookmarkEnd w:id="629"/>
    <w:p>
      <w:pPr>
        <w:pStyle w:val="3"/>
        <w:numPr>
          <w:ilvl w:val="0"/>
          <w:numId w:val="77"/>
        </w:numPr>
        <w:tabs>
          <w:tab w:val="left" w:pos="567"/>
        </w:tabs>
        <w:spacing w:after="0" w:line="360" w:lineRule="auto"/>
        <w:ind w:left="482" w:hanging="482" w:hangingChars="200"/>
        <w:jc w:val="left"/>
        <w:rPr>
          <w:b w:val="0"/>
          <w:sz w:val="24"/>
          <w:szCs w:val="24"/>
        </w:rPr>
      </w:pPr>
      <w:bookmarkStart w:id="746" w:name="_Toc12833"/>
      <w:bookmarkStart w:id="747" w:name="_Toc28349"/>
      <w:bookmarkStart w:id="748" w:name="_Toc117244398"/>
      <w:bookmarkStart w:id="749" w:name="_Toc117244513"/>
      <w:r>
        <w:rPr>
          <w:rFonts w:hint="eastAsia"/>
          <w:sz w:val="24"/>
          <w:szCs w:val="24"/>
        </w:rPr>
        <w:t>节能</w:t>
      </w:r>
      <w:r>
        <w:rPr>
          <w:sz w:val="24"/>
          <w:szCs w:val="24"/>
        </w:rPr>
        <w:t>、环保、创新产品</w:t>
      </w:r>
      <w:r>
        <w:rPr>
          <w:rFonts w:hint="eastAsia"/>
          <w:sz w:val="24"/>
          <w:szCs w:val="24"/>
        </w:rPr>
        <w:t>明细</w:t>
      </w:r>
      <w:r>
        <w:rPr>
          <w:sz w:val="24"/>
          <w:szCs w:val="24"/>
        </w:rPr>
        <w:t>清单及证明</w:t>
      </w:r>
      <w:r>
        <w:rPr>
          <w:rFonts w:hint="eastAsia"/>
          <w:sz w:val="24"/>
          <w:szCs w:val="24"/>
        </w:rPr>
        <w:t>材料</w:t>
      </w:r>
      <w:r>
        <w:rPr>
          <w:rFonts w:hint="eastAsia" w:ascii="宋体" w:hAnsi="宋体" w:eastAsia="宋体"/>
          <w:sz w:val="24"/>
          <w:szCs w:val="24"/>
        </w:rPr>
        <w:t>（此表非必填项，可选择填写）</w:t>
      </w:r>
      <w:bookmarkEnd w:id="746"/>
      <w:bookmarkEnd w:id="747"/>
    </w:p>
    <w:p>
      <w:pPr>
        <w:spacing w:line="360" w:lineRule="auto"/>
        <w:ind w:firstLine="1200" w:firstLineChars="500"/>
        <w:rPr>
          <w:rFonts w:ascii="楷体" w:hAnsi="楷体" w:eastAsia="楷体"/>
          <w:szCs w:val="24"/>
        </w:rPr>
      </w:pPr>
      <w:r>
        <w:rPr>
          <w:rFonts w:hint="eastAsia" w:ascii="楷体" w:hAnsi="楷体" w:eastAsia="楷体"/>
          <w:szCs w:val="24"/>
        </w:rPr>
        <w:t>（</w:t>
      </w:r>
      <w:r>
        <w:rPr>
          <w:rFonts w:ascii="楷体" w:hAnsi="楷体" w:eastAsia="楷体"/>
          <w:szCs w:val="24"/>
        </w:rPr>
        <w:t>不含强制</w:t>
      </w:r>
      <w:r>
        <w:rPr>
          <w:rFonts w:hint="eastAsia" w:ascii="楷体" w:hAnsi="楷体" w:eastAsia="楷体"/>
          <w:szCs w:val="24"/>
        </w:rPr>
        <w:t>采购</w:t>
      </w:r>
      <w:r>
        <w:rPr>
          <w:rFonts w:ascii="楷体" w:hAnsi="楷体" w:eastAsia="楷体"/>
          <w:szCs w:val="24"/>
        </w:rPr>
        <w:t>的节能</w:t>
      </w:r>
      <w:r>
        <w:rPr>
          <w:rFonts w:hint="eastAsia" w:ascii="楷体" w:hAnsi="楷体" w:eastAsia="楷体"/>
          <w:szCs w:val="24"/>
        </w:rPr>
        <w:t>产品</w:t>
      </w:r>
      <w:r>
        <w:rPr>
          <w:rFonts w:ascii="楷体" w:hAnsi="楷体" w:eastAsia="楷体"/>
          <w:szCs w:val="24"/>
        </w:rPr>
        <w:t>）</w:t>
      </w:r>
    </w:p>
    <w:p>
      <w:pPr>
        <w:wordWrap w:val="0"/>
        <w:spacing w:line="360" w:lineRule="auto"/>
        <w:jc w:val="left"/>
        <w:rPr>
          <w:b/>
        </w:rPr>
      </w:pPr>
      <w:r>
        <w:rPr>
          <w:rFonts w:hint="eastAsia"/>
          <w:b/>
        </w:rPr>
        <w:t>投 标 人：</w:t>
      </w:r>
      <w:r>
        <w:rPr>
          <w:rFonts w:hint="eastAsia"/>
          <w:b/>
          <w:szCs w:val="21"/>
          <w:u w:val="single"/>
          <w:lang w:val="zh-CN"/>
        </w:rPr>
        <w:t xml:space="preserve">                     </w:t>
      </w:r>
      <w:r>
        <w:rPr>
          <w:rFonts w:hint="eastAsia"/>
          <w:b/>
          <w:szCs w:val="21"/>
          <w:lang w:val="zh-CN"/>
        </w:rPr>
        <w:t xml:space="preserve"> </w:t>
      </w:r>
    </w:p>
    <w:p>
      <w:pPr>
        <w:pStyle w:val="11"/>
        <w:spacing w:line="360" w:lineRule="auto"/>
        <w:rPr>
          <w:b/>
          <w:bCs/>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w:t>
      </w:r>
      <w:r>
        <w:rPr>
          <w:b/>
          <w:bCs/>
          <w:szCs w:val="21"/>
          <w:lang w:val="zh-CN"/>
        </w:rPr>
        <w:t xml:space="preserve">         </w:t>
      </w:r>
      <w:r>
        <w:rPr>
          <w:rFonts w:hint="eastAsia"/>
          <w:b/>
          <w:bCs/>
          <w:szCs w:val="21"/>
          <w:lang w:val="zh-CN"/>
        </w:rPr>
        <w:t>包号：</w:t>
      </w:r>
      <w:r>
        <w:rPr>
          <w:rFonts w:hint="eastAsia"/>
          <w:b/>
          <w:bCs/>
          <w:szCs w:val="21"/>
          <w:u w:val="single"/>
          <w:lang w:val="zh-CN"/>
        </w:rPr>
        <w:t xml:space="preserve">          </w:t>
      </w:r>
    </w:p>
    <w:tbl>
      <w:tblPr>
        <w:tblStyle w:val="29"/>
        <w:tblW w:w="9518"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72"/>
        <w:gridCol w:w="1655"/>
        <w:gridCol w:w="1111"/>
        <w:gridCol w:w="699"/>
        <w:gridCol w:w="699"/>
        <w:gridCol w:w="913"/>
        <w:gridCol w:w="1207"/>
        <w:gridCol w:w="1394"/>
        <w:gridCol w:w="126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24" w:hRule="atLeast"/>
          <w:jc w:val="center"/>
        </w:trPr>
        <w:tc>
          <w:tcPr>
            <w:tcW w:w="572" w:type="dxa"/>
            <w:shd w:val="pct10" w:color="C3BD96" w:themeColor="background2" w:themeShade="BF" w:fill="DDD9C4" w:themeFill="background2" w:themeFillShade="E6"/>
            <w:vAlign w:val="center"/>
          </w:tcPr>
          <w:p>
            <w:pPr>
              <w:spacing w:line="360" w:lineRule="auto"/>
              <w:ind w:left="-120" w:leftChars="-50" w:right="-120" w:rightChars="-50"/>
              <w:jc w:val="center"/>
              <w:rPr>
                <w:rFonts w:cs="宋体"/>
                <w:b/>
              </w:rPr>
            </w:pPr>
            <w:r>
              <w:rPr>
                <w:rFonts w:hint="eastAsia" w:cs="仿宋_GB2312"/>
                <w:b/>
                <w:szCs w:val="24"/>
              </w:rPr>
              <w:t>序号</w:t>
            </w:r>
          </w:p>
        </w:tc>
        <w:tc>
          <w:tcPr>
            <w:tcW w:w="1655" w:type="dxa"/>
            <w:shd w:val="pct10" w:color="C3BD96" w:themeColor="background2" w:themeShade="BF" w:fill="DDD9C4" w:themeFill="background2" w:themeFillShade="E6"/>
            <w:vAlign w:val="center"/>
          </w:tcPr>
          <w:p>
            <w:pPr>
              <w:wordWrap w:val="0"/>
              <w:spacing w:line="360" w:lineRule="auto"/>
              <w:ind w:left="-55" w:leftChars="-23" w:right="-74" w:rightChars="-31"/>
              <w:jc w:val="center"/>
              <w:rPr>
                <w:rFonts w:cs="宋体"/>
                <w:b/>
              </w:rPr>
            </w:pPr>
            <w:r>
              <w:rPr>
                <w:rFonts w:hint="eastAsia" w:cs="宋体"/>
                <w:b/>
              </w:rPr>
              <w:t>名称</w:t>
            </w:r>
          </w:p>
        </w:tc>
        <w:tc>
          <w:tcPr>
            <w:tcW w:w="1111" w:type="dxa"/>
            <w:shd w:val="pct10" w:color="C3BD96" w:themeColor="background2" w:themeShade="BF" w:fill="DDD9C4" w:themeFill="background2" w:themeFillShade="E6"/>
            <w:vAlign w:val="center"/>
          </w:tcPr>
          <w:p>
            <w:pPr>
              <w:wordWrap w:val="0"/>
              <w:spacing w:line="360" w:lineRule="auto"/>
              <w:ind w:left="-55" w:leftChars="-23" w:right="-74" w:rightChars="-31"/>
              <w:jc w:val="center"/>
              <w:rPr>
                <w:rFonts w:cs="宋体"/>
                <w:b/>
              </w:rPr>
            </w:pPr>
            <w:r>
              <w:rPr>
                <w:rFonts w:hint="eastAsia"/>
                <w:b/>
              </w:rPr>
              <w:t>品牌规格型号</w:t>
            </w:r>
          </w:p>
        </w:tc>
        <w:tc>
          <w:tcPr>
            <w:tcW w:w="699" w:type="dxa"/>
            <w:tcBorders>
              <w:right w:val="single" w:color="auto" w:sz="4" w:space="0"/>
            </w:tcBorders>
            <w:shd w:val="pct10" w:color="C3BD96" w:themeColor="background2" w:themeShade="BF" w:fill="DDD9C4" w:themeFill="background2" w:themeFillShade="E6"/>
            <w:vAlign w:val="center"/>
          </w:tcPr>
          <w:p>
            <w:pPr>
              <w:wordWrap w:val="0"/>
              <w:spacing w:line="360" w:lineRule="auto"/>
              <w:ind w:left="-55" w:leftChars="-23" w:right="-74" w:rightChars="-31"/>
              <w:jc w:val="center"/>
              <w:rPr>
                <w:rFonts w:cs="宋体"/>
                <w:b/>
              </w:rPr>
            </w:pPr>
            <w:r>
              <w:rPr>
                <w:rFonts w:hint="eastAsia" w:cs="宋体"/>
                <w:b/>
              </w:rPr>
              <w:t>数量</w:t>
            </w:r>
          </w:p>
        </w:tc>
        <w:tc>
          <w:tcPr>
            <w:tcW w:w="699" w:type="dxa"/>
            <w:tcBorders>
              <w:left w:val="single" w:color="auto" w:sz="4" w:space="0"/>
            </w:tcBorders>
            <w:shd w:val="pct10" w:color="C3BD96" w:themeColor="background2" w:themeShade="BF" w:fill="DDD9C4" w:themeFill="background2" w:themeFillShade="E6"/>
            <w:vAlign w:val="center"/>
          </w:tcPr>
          <w:p>
            <w:pPr>
              <w:wordWrap w:val="0"/>
              <w:spacing w:line="360" w:lineRule="auto"/>
              <w:ind w:left="-55" w:leftChars="-23" w:right="-74" w:rightChars="-31"/>
              <w:jc w:val="center"/>
              <w:rPr>
                <w:rFonts w:cs="宋体"/>
                <w:b/>
              </w:rPr>
            </w:pPr>
            <w:r>
              <w:rPr>
                <w:rFonts w:hint="eastAsia" w:cs="宋体"/>
                <w:b/>
              </w:rPr>
              <w:t>单位</w:t>
            </w:r>
          </w:p>
        </w:tc>
        <w:tc>
          <w:tcPr>
            <w:tcW w:w="913" w:type="dxa"/>
            <w:shd w:val="pct10" w:color="C3BD96" w:themeColor="background2" w:themeShade="BF" w:fill="DDD9C4" w:themeFill="background2" w:themeFillShade="E6"/>
            <w:vAlign w:val="center"/>
          </w:tcPr>
          <w:p>
            <w:pPr>
              <w:wordWrap w:val="0"/>
              <w:spacing w:line="360" w:lineRule="auto"/>
              <w:ind w:left="-26" w:leftChars="-11" w:right="-74" w:rightChars="-31"/>
              <w:jc w:val="center"/>
              <w:rPr>
                <w:rFonts w:cs="宋体"/>
                <w:b/>
              </w:rPr>
            </w:pPr>
            <w:r>
              <w:rPr>
                <w:rFonts w:hint="eastAsia" w:cs="宋体"/>
                <w:b/>
              </w:rPr>
              <w:t>单价（</w:t>
            </w:r>
            <w:r>
              <w:rPr>
                <w:rFonts w:cs="宋体"/>
                <w:b/>
              </w:rPr>
              <w:t>元）</w:t>
            </w:r>
          </w:p>
        </w:tc>
        <w:tc>
          <w:tcPr>
            <w:tcW w:w="1207" w:type="dxa"/>
            <w:shd w:val="pct10" w:color="C3BD96" w:themeColor="background2" w:themeShade="BF" w:fill="DDD9C4" w:themeFill="background2" w:themeFillShade="E6"/>
            <w:vAlign w:val="center"/>
          </w:tcPr>
          <w:p>
            <w:pPr>
              <w:spacing w:line="360" w:lineRule="auto"/>
              <w:ind w:left="-120" w:leftChars="-50" w:right="-120" w:rightChars="-50"/>
              <w:jc w:val="center"/>
              <w:rPr>
                <w:rFonts w:cs="宋体"/>
                <w:b/>
              </w:rPr>
            </w:pPr>
            <w:r>
              <w:rPr>
                <w:rFonts w:hint="eastAsia" w:cs="宋体"/>
                <w:b/>
              </w:rPr>
              <w:t>分项</w:t>
            </w:r>
            <w:r>
              <w:rPr>
                <w:rFonts w:hint="eastAsia" w:cs="仿宋_GB2312"/>
                <w:b/>
                <w:szCs w:val="24"/>
              </w:rPr>
              <w:t>合计</w:t>
            </w:r>
            <w:r>
              <w:rPr>
                <w:rFonts w:hint="eastAsia" w:cs="宋体"/>
                <w:b/>
              </w:rPr>
              <w:t>（</w:t>
            </w:r>
            <w:r>
              <w:rPr>
                <w:rFonts w:cs="宋体"/>
                <w:b/>
              </w:rPr>
              <w:t>元</w:t>
            </w:r>
            <w:r>
              <w:rPr>
                <w:rFonts w:hint="eastAsia" w:cs="宋体"/>
                <w:b/>
              </w:rPr>
              <w:t>）</w:t>
            </w:r>
          </w:p>
        </w:tc>
        <w:tc>
          <w:tcPr>
            <w:tcW w:w="1394" w:type="dxa"/>
            <w:shd w:val="pct10" w:color="C3BD96" w:themeColor="background2" w:themeShade="BF" w:fill="DDD9C4" w:themeFill="background2" w:themeFillShade="E6"/>
            <w:vAlign w:val="center"/>
          </w:tcPr>
          <w:p>
            <w:pPr>
              <w:spacing w:line="360" w:lineRule="auto"/>
              <w:ind w:left="-120" w:leftChars="-50" w:right="-120" w:rightChars="-50"/>
              <w:jc w:val="center"/>
              <w:rPr>
                <w:rFonts w:cs="宋体"/>
                <w:b/>
              </w:rPr>
            </w:pPr>
            <w:r>
              <w:rPr>
                <w:rFonts w:hint="eastAsia" w:cs="宋体"/>
                <w:b/>
              </w:rPr>
              <w:t>节能/</w:t>
            </w:r>
            <w:r>
              <w:rPr>
                <w:rFonts w:cs="宋体"/>
                <w:b/>
              </w:rPr>
              <w:t>环保</w:t>
            </w:r>
            <w:r>
              <w:rPr>
                <w:rFonts w:hint="eastAsia" w:cs="宋体"/>
                <w:b/>
              </w:rPr>
              <w:t>/</w:t>
            </w:r>
            <w:r>
              <w:rPr>
                <w:rFonts w:cs="宋体"/>
                <w:b/>
              </w:rPr>
              <w:t>创新</w:t>
            </w:r>
            <w:r>
              <w:rPr>
                <w:rFonts w:hint="eastAsia" w:cs="仿宋_GB2312"/>
                <w:b/>
                <w:szCs w:val="24"/>
              </w:rPr>
              <w:t>产品</w:t>
            </w:r>
          </w:p>
        </w:tc>
        <w:tc>
          <w:tcPr>
            <w:tcW w:w="1268" w:type="dxa"/>
            <w:shd w:val="pct10" w:color="C3BD96" w:themeColor="background2" w:themeShade="BF" w:fill="DDD9C4" w:themeFill="background2" w:themeFillShade="E6"/>
          </w:tcPr>
          <w:p>
            <w:pPr>
              <w:spacing w:line="360" w:lineRule="auto"/>
              <w:ind w:left="-120" w:leftChars="-50" w:right="-120" w:rightChars="-50"/>
              <w:jc w:val="center"/>
              <w:rPr>
                <w:rFonts w:cs="宋体"/>
                <w:b/>
              </w:rPr>
            </w:pPr>
            <w:r>
              <w:rPr>
                <w:rFonts w:hint="eastAsia" w:cs="宋体"/>
                <w:b/>
              </w:rPr>
              <w:t>制造厂家（</w:t>
            </w:r>
            <w:r>
              <w:rPr>
                <w:rFonts w:hint="eastAsia" w:cs="仿宋_GB2312"/>
                <w:b/>
                <w:szCs w:val="24"/>
              </w:rPr>
              <w:t>全称</w:t>
            </w:r>
            <w:r>
              <w:rPr>
                <w:rFonts w:hint="eastAsia" w:cs="宋体"/>
                <w:b/>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4" w:hRule="atLeast"/>
          <w:jc w:val="center"/>
        </w:trPr>
        <w:tc>
          <w:tcPr>
            <w:tcW w:w="572" w:type="dxa"/>
            <w:shd w:val="clear" w:color="auto" w:fill="auto"/>
            <w:vAlign w:val="center"/>
          </w:tcPr>
          <w:p>
            <w:pPr>
              <w:wordWrap w:val="0"/>
              <w:spacing w:line="360" w:lineRule="auto"/>
              <w:ind w:left="-55" w:leftChars="-23" w:right="-74" w:rightChars="-31"/>
              <w:jc w:val="center"/>
            </w:pPr>
            <w:r>
              <w:rPr>
                <w:rFonts w:hint="eastAsia"/>
              </w:rPr>
              <w:t>1</w:t>
            </w:r>
          </w:p>
        </w:tc>
        <w:tc>
          <w:tcPr>
            <w:tcW w:w="1655" w:type="dxa"/>
            <w:shd w:val="clear" w:color="auto" w:fill="auto"/>
            <w:vAlign w:val="center"/>
          </w:tcPr>
          <w:p>
            <w:pPr>
              <w:wordWrap w:val="0"/>
              <w:spacing w:line="360" w:lineRule="auto"/>
              <w:ind w:left="-55" w:leftChars="-23" w:right="-74" w:rightChars="-31"/>
              <w:jc w:val="center"/>
            </w:pPr>
          </w:p>
        </w:tc>
        <w:tc>
          <w:tcPr>
            <w:tcW w:w="1111" w:type="dxa"/>
            <w:shd w:val="clear" w:color="auto" w:fill="auto"/>
            <w:vAlign w:val="center"/>
          </w:tcPr>
          <w:p>
            <w:pPr>
              <w:wordWrap w:val="0"/>
              <w:spacing w:line="360" w:lineRule="auto"/>
              <w:ind w:left="-55" w:leftChars="-23" w:right="-74" w:rightChars="-31"/>
              <w:jc w:val="left"/>
              <w:rPr>
                <w:rFonts w:cs="宋体"/>
                <w:szCs w:val="24"/>
              </w:rPr>
            </w:pPr>
          </w:p>
        </w:tc>
        <w:tc>
          <w:tcPr>
            <w:tcW w:w="699" w:type="dxa"/>
            <w:tcBorders>
              <w:right w:val="single" w:color="auto" w:sz="4" w:space="0"/>
            </w:tcBorders>
            <w:shd w:val="clear" w:color="auto" w:fill="auto"/>
            <w:vAlign w:val="center"/>
          </w:tcPr>
          <w:p>
            <w:pPr>
              <w:wordWrap w:val="0"/>
              <w:spacing w:line="360" w:lineRule="auto"/>
              <w:ind w:left="-55" w:leftChars="-23" w:right="-430" w:rightChars="-179"/>
              <w:jc w:val="center"/>
              <w:rPr>
                <w:rFonts w:cs="宋体"/>
                <w:szCs w:val="24"/>
              </w:rPr>
            </w:pPr>
          </w:p>
        </w:tc>
        <w:tc>
          <w:tcPr>
            <w:tcW w:w="699" w:type="dxa"/>
            <w:tcBorders>
              <w:left w:val="single" w:color="auto" w:sz="4" w:space="0"/>
            </w:tcBorders>
            <w:shd w:val="clear" w:color="auto" w:fill="auto"/>
            <w:vAlign w:val="center"/>
          </w:tcPr>
          <w:p>
            <w:pPr>
              <w:wordWrap w:val="0"/>
              <w:spacing w:line="360" w:lineRule="auto"/>
              <w:ind w:left="-55" w:leftChars="-23" w:right="-430" w:rightChars="-179"/>
              <w:jc w:val="center"/>
              <w:rPr>
                <w:rFonts w:cs="宋体"/>
                <w:szCs w:val="24"/>
              </w:rPr>
            </w:pPr>
          </w:p>
        </w:tc>
        <w:tc>
          <w:tcPr>
            <w:tcW w:w="913" w:type="dxa"/>
            <w:shd w:val="clear" w:color="auto" w:fill="auto"/>
            <w:vAlign w:val="center"/>
          </w:tcPr>
          <w:p>
            <w:pPr>
              <w:wordWrap w:val="0"/>
              <w:spacing w:line="360" w:lineRule="auto"/>
              <w:ind w:left="-55" w:leftChars="-23" w:right="-74" w:rightChars="-31"/>
              <w:jc w:val="center"/>
              <w:rPr>
                <w:rFonts w:cs="宋体"/>
                <w:szCs w:val="24"/>
              </w:rPr>
            </w:pPr>
          </w:p>
        </w:tc>
        <w:tc>
          <w:tcPr>
            <w:tcW w:w="1207" w:type="dxa"/>
            <w:shd w:val="clear" w:color="auto" w:fill="auto"/>
            <w:vAlign w:val="center"/>
          </w:tcPr>
          <w:p>
            <w:pPr>
              <w:wordWrap w:val="0"/>
              <w:spacing w:line="360" w:lineRule="auto"/>
              <w:ind w:left="-55" w:leftChars="-23" w:right="-74" w:rightChars="-31"/>
              <w:jc w:val="left"/>
              <w:rPr>
                <w:rFonts w:cs="宋体"/>
                <w:szCs w:val="24"/>
              </w:rPr>
            </w:pPr>
          </w:p>
        </w:tc>
        <w:tc>
          <w:tcPr>
            <w:tcW w:w="1394" w:type="dxa"/>
            <w:shd w:val="clear" w:color="auto" w:fill="auto"/>
            <w:vAlign w:val="center"/>
          </w:tcPr>
          <w:p>
            <w:pPr>
              <w:wordWrap w:val="0"/>
              <w:spacing w:line="360" w:lineRule="auto"/>
              <w:ind w:left="-55" w:leftChars="-23" w:right="-74" w:rightChars="-31"/>
              <w:jc w:val="center"/>
              <w:rPr>
                <w:rFonts w:cs="宋体"/>
                <w:szCs w:val="24"/>
              </w:rPr>
            </w:pPr>
          </w:p>
        </w:tc>
        <w:tc>
          <w:tcPr>
            <w:tcW w:w="1268" w:type="dxa"/>
          </w:tcPr>
          <w:p>
            <w:pPr>
              <w:wordWrap w:val="0"/>
              <w:spacing w:line="360" w:lineRule="auto"/>
              <w:ind w:left="-55" w:leftChars="-23" w:right="-74" w:rightChars="-31"/>
              <w:jc w:val="center"/>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10" w:hRule="atLeast"/>
          <w:jc w:val="center"/>
        </w:trPr>
        <w:tc>
          <w:tcPr>
            <w:tcW w:w="572" w:type="dxa"/>
            <w:shd w:val="clear" w:color="auto" w:fill="auto"/>
            <w:vAlign w:val="center"/>
          </w:tcPr>
          <w:p>
            <w:pPr>
              <w:wordWrap w:val="0"/>
              <w:spacing w:line="360" w:lineRule="auto"/>
              <w:ind w:left="-55" w:leftChars="-23" w:right="-74" w:rightChars="-31"/>
              <w:jc w:val="center"/>
            </w:pPr>
            <w:r>
              <w:rPr>
                <w:rFonts w:hint="eastAsia"/>
              </w:rPr>
              <w:t>2</w:t>
            </w:r>
          </w:p>
        </w:tc>
        <w:tc>
          <w:tcPr>
            <w:tcW w:w="1655" w:type="dxa"/>
            <w:shd w:val="clear" w:color="auto" w:fill="auto"/>
            <w:vAlign w:val="center"/>
          </w:tcPr>
          <w:p>
            <w:pPr>
              <w:wordWrap w:val="0"/>
              <w:spacing w:line="360" w:lineRule="auto"/>
              <w:ind w:left="-55" w:leftChars="-23" w:right="-74" w:rightChars="-31"/>
              <w:jc w:val="center"/>
            </w:pPr>
          </w:p>
        </w:tc>
        <w:tc>
          <w:tcPr>
            <w:tcW w:w="1111" w:type="dxa"/>
            <w:shd w:val="clear" w:color="auto" w:fill="auto"/>
            <w:vAlign w:val="center"/>
          </w:tcPr>
          <w:p>
            <w:pPr>
              <w:wordWrap w:val="0"/>
              <w:spacing w:line="360" w:lineRule="auto"/>
              <w:ind w:left="-55" w:leftChars="-23" w:right="-74" w:rightChars="-31"/>
              <w:jc w:val="left"/>
              <w:rPr>
                <w:rFonts w:cs="宋体"/>
                <w:szCs w:val="24"/>
              </w:rPr>
            </w:pPr>
          </w:p>
        </w:tc>
        <w:tc>
          <w:tcPr>
            <w:tcW w:w="699" w:type="dxa"/>
            <w:tcBorders>
              <w:right w:val="single" w:color="auto" w:sz="4" w:space="0"/>
            </w:tcBorders>
            <w:shd w:val="clear" w:color="auto" w:fill="auto"/>
            <w:vAlign w:val="center"/>
          </w:tcPr>
          <w:p>
            <w:pPr>
              <w:wordWrap w:val="0"/>
              <w:spacing w:line="360" w:lineRule="auto"/>
              <w:ind w:left="-55" w:leftChars="-23" w:right="-74" w:rightChars="-31"/>
              <w:jc w:val="center"/>
              <w:rPr>
                <w:rFonts w:cs="宋体"/>
                <w:szCs w:val="24"/>
              </w:rPr>
            </w:pPr>
          </w:p>
        </w:tc>
        <w:tc>
          <w:tcPr>
            <w:tcW w:w="699" w:type="dxa"/>
            <w:tcBorders>
              <w:left w:val="single" w:color="auto" w:sz="4" w:space="0"/>
            </w:tcBorders>
            <w:shd w:val="clear" w:color="auto" w:fill="auto"/>
            <w:vAlign w:val="center"/>
          </w:tcPr>
          <w:p>
            <w:pPr>
              <w:wordWrap w:val="0"/>
              <w:spacing w:line="360" w:lineRule="auto"/>
              <w:ind w:left="-55" w:leftChars="-23" w:right="-74" w:rightChars="-31"/>
              <w:jc w:val="center"/>
              <w:rPr>
                <w:rFonts w:cs="宋体"/>
                <w:szCs w:val="24"/>
              </w:rPr>
            </w:pPr>
          </w:p>
        </w:tc>
        <w:tc>
          <w:tcPr>
            <w:tcW w:w="913" w:type="dxa"/>
            <w:shd w:val="clear" w:color="auto" w:fill="auto"/>
            <w:vAlign w:val="center"/>
          </w:tcPr>
          <w:p>
            <w:pPr>
              <w:wordWrap w:val="0"/>
              <w:spacing w:line="360" w:lineRule="auto"/>
              <w:ind w:left="-55" w:leftChars="-23" w:right="-74" w:rightChars="-31"/>
              <w:jc w:val="center"/>
              <w:rPr>
                <w:rFonts w:cs="宋体"/>
                <w:szCs w:val="24"/>
              </w:rPr>
            </w:pPr>
          </w:p>
        </w:tc>
        <w:tc>
          <w:tcPr>
            <w:tcW w:w="1207" w:type="dxa"/>
            <w:shd w:val="clear" w:color="auto" w:fill="auto"/>
            <w:vAlign w:val="center"/>
          </w:tcPr>
          <w:p>
            <w:pPr>
              <w:wordWrap w:val="0"/>
              <w:spacing w:line="360" w:lineRule="auto"/>
              <w:ind w:left="-55" w:leftChars="-23" w:right="-74" w:rightChars="-31"/>
              <w:jc w:val="left"/>
              <w:rPr>
                <w:rFonts w:cs="宋体"/>
                <w:szCs w:val="24"/>
              </w:rPr>
            </w:pPr>
          </w:p>
        </w:tc>
        <w:tc>
          <w:tcPr>
            <w:tcW w:w="1394" w:type="dxa"/>
            <w:shd w:val="clear" w:color="auto" w:fill="auto"/>
            <w:vAlign w:val="center"/>
          </w:tcPr>
          <w:p>
            <w:pPr>
              <w:wordWrap w:val="0"/>
              <w:spacing w:line="360" w:lineRule="auto"/>
              <w:ind w:left="-55" w:leftChars="-23" w:right="-74" w:rightChars="-31"/>
              <w:jc w:val="center"/>
              <w:rPr>
                <w:rFonts w:cs="宋体"/>
                <w:szCs w:val="24"/>
              </w:rPr>
            </w:pPr>
          </w:p>
        </w:tc>
        <w:tc>
          <w:tcPr>
            <w:tcW w:w="1268" w:type="dxa"/>
          </w:tcPr>
          <w:p>
            <w:pPr>
              <w:wordWrap w:val="0"/>
              <w:spacing w:line="360" w:lineRule="auto"/>
              <w:ind w:left="-55" w:leftChars="-23" w:right="-74" w:rightChars="-31"/>
              <w:jc w:val="center"/>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2" w:hRule="atLeast"/>
          <w:jc w:val="center"/>
        </w:trPr>
        <w:tc>
          <w:tcPr>
            <w:tcW w:w="572" w:type="dxa"/>
            <w:shd w:val="clear" w:color="auto" w:fill="auto"/>
            <w:vAlign w:val="center"/>
          </w:tcPr>
          <w:p>
            <w:pPr>
              <w:wordWrap w:val="0"/>
              <w:spacing w:line="360" w:lineRule="auto"/>
              <w:ind w:left="-55" w:leftChars="-23" w:right="-74" w:rightChars="-31"/>
              <w:jc w:val="center"/>
            </w:pPr>
            <w:r>
              <w:rPr>
                <w:rFonts w:hint="eastAsia"/>
              </w:rPr>
              <w:t>3</w:t>
            </w:r>
          </w:p>
        </w:tc>
        <w:tc>
          <w:tcPr>
            <w:tcW w:w="1655" w:type="dxa"/>
            <w:shd w:val="clear" w:color="auto" w:fill="auto"/>
            <w:vAlign w:val="center"/>
          </w:tcPr>
          <w:p>
            <w:pPr>
              <w:wordWrap w:val="0"/>
              <w:spacing w:line="360" w:lineRule="auto"/>
              <w:ind w:left="-55" w:leftChars="-23" w:right="-74" w:rightChars="-31"/>
              <w:jc w:val="center"/>
            </w:pPr>
          </w:p>
        </w:tc>
        <w:tc>
          <w:tcPr>
            <w:tcW w:w="1111" w:type="dxa"/>
            <w:shd w:val="clear" w:color="auto" w:fill="auto"/>
            <w:vAlign w:val="center"/>
          </w:tcPr>
          <w:p>
            <w:pPr>
              <w:wordWrap w:val="0"/>
              <w:spacing w:line="360" w:lineRule="auto"/>
              <w:ind w:left="-55" w:leftChars="-23" w:right="-74" w:rightChars="-31"/>
              <w:jc w:val="left"/>
              <w:rPr>
                <w:rFonts w:cs="宋体"/>
                <w:szCs w:val="24"/>
              </w:rPr>
            </w:pPr>
          </w:p>
        </w:tc>
        <w:tc>
          <w:tcPr>
            <w:tcW w:w="699" w:type="dxa"/>
            <w:tcBorders>
              <w:right w:val="single" w:color="auto" w:sz="4" w:space="0"/>
            </w:tcBorders>
            <w:shd w:val="clear" w:color="auto" w:fill="auto"/>
            <w:vAlign w:val="center"/>
          </w:tcPr>
          <w:p>
            <w:pPr>
              <w:wordWrap w:val="0"/>
              <w:spacing w:line="360" w:lineRule="auto"/>
              <w:ind w:left="-55" w:leftChars="-23" w:right="-74" w:rightChars="-31"/>
              <w:jc w:val="center"/>
              <w:rPr>
                <w:rFonts w:cs="宋体"/>
                <w:szCs w:val="24"/>
              </w:rPr>
            </w:pPr>
          </w:p>
        </w:tc>
        <w:tc>
          <w:tcPr>
            <w:tcW w:w="699" w:type="dxa"/>
            <w:tcBorders>
              <w:left w:val="single" w:color="auto" w:sz="4" w:space="0"/>
            </w:tcBorders>
            <w:shd w:val="clear" w:color="auto" w:fill="auto"/>
            <w:vAlign w:val="center"/>
          </w:tcPr>
          <w:p>
            <w:pPr>
              <w:wordWrap w:val="0"/>
              <w:spacing w:line="360" w:lineRule="auto"/>
              <w:ind w:left="-55" w:leftChars="-23" w:right="-74" w:rightChars="-31"/>
              <w:jc w:val="center"/>
              <w:rPr>
                <w:rFonts w:cs="宋体"/>
                <w:szCs w:val="24"/>
              </w:rPr>
            </w:pPr>
          </w:p>
        </w:tc>
        <w:tc>
          <w:tcPr>
            <w:tcW w:w="913" w:type="dxa"/>
            <w:shd w:val="clear" w:color="auto" w:fill="auto"/>
            <w:vAlign w:val="center"/>
          </w:tcPr>
          <w:p>
            <w:pPr>
              <w:wordWrap w:val="0"/>
              <w:spacing w:line="360" w:lineRule="auto"/>
              <w:ind w:left="-55" w:leftChars="-23" w:right="-74" w:rightChars="-31"/>
              <w:jc w:val="center"/>
              <w:rPr>
                <w:rFonts w:cs="宋体"/>
                <w:szCs w:val="24"/>
              </w:rPr>
            </w:pPr>
          </w:p>
        </w:tc>
        <w:tc>
          <w:tcPr>
            <w:tcW w:w="1207" w:type="dxa"/>
            <w:shd w:val="clear" w:color="auto" w:fill="auto"/>
            <w:vAlign w:val="center"/>
          </w:tcPr>
          <w:p>
            <w:pPr>
              <w:wordWrap w:val="0"/>
              <w:spacing w:line="360" w:lineRule="auto"/>
              <w:ind w:left="-55" w:leftChars="-23" w:right="-74" w:rightChars="-31"/>
              <w:jc w:val="left"/>
              <w:rPr>
                <w:rFonts w:cs="宋体"/>
                <w:szCs w:val="24"/>
              </w:rPr>
            </w:pPr>
          </w:p>
        </w:tc>
        <w:tc>
          <w:tcPr>
            <w:tcW w:w="1394" w:type="dxa"/>
            <w:shd w:val="clear" w:color="auto" w:fill="auto"/>
            <w:vAlign w:val="center"/>
          </w:tcPr>
          <w:p>
            <w:pPr>
              <w:wordWrap w:val="0"/>
              <w:spacing w:line="360" w:lineRule="auto"/>
              <w:ind w:left="-55" w:leftChars="-23" w:right="-74" w:rightChars="-31"/>
              <w:jc w:val="center"/>
              <w:rPr>
                <w:rFonts w:cs="宋体"/>
                <w:szCs w:val="24"/>
              </w:rPr>
            </w:pPr>
          </w:p>
        </w:tc>
        <w:tc>
          <w:tcPr>
            <w:tcW w:w="1268" w:type="dxa"/>
          </w:tcPr>
          <w:p>
            <w:pPr>
              <w:wordWrap w:val="0"/>
              <w:spacing w:line="360" w:lineRule="auto"/>
              <w:ind w:left="-55" w:leftChars="-23" w:right="-74" w:rightChars="-31"/>
              <w:jc w:val="center"/>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70" w:hRule="atLeast"/>
          <w:jc w:val="center"/>
        </w:trPr>
        <w:tc>
          <w:tcPr>
            <w:tcW w:w="572" w:type="dxa"/>
            <w:shd w:val="clear" w:color="auto" w:fill="auto"/>
            <w:vAlign w:val="center"/>
          </w:tcPr>
          <w:p>
            <w:pPr>
              <w:wordWrap w:val="0"/>
              <w:spacing w:line="360" w:lineRule="auto"/>
              <w:ind w:left="-55" w:leftChars="-23" w:right="-74" w:rightChars="-31"/>
              <w:jc w:val="center"/>
            </w:pPr>
            <w:r>
              <w:rPr>
                <w:rFonts w:hint="eastAsia"/>
              </w:rPr>
              <w:t>…</w:t>
            </w:r>
          </w:p>
        </w:tc>
        <w:tc>
          <w:tcPr>
            <w:tcW w:w="1655" w:type="dxa"/>
            <w:shd w:val="clear" w:color="auto" w:fill="auto"/>
            <w:vAlign w:val="center"/>
          </w:tcPr>
          <w:p>
            <w:pPr>
              <w:wordWrap w:val="0"/>
              <w:spacing w:line="360" w:lineRule="auto"/>
              <w:ind w:left="-55" w:leftChars="-23" w:right="-74" w:rightChars="-31"/>
              <w:jc w:val="center"/>
              <w:rPr>
                <w:rFonts w:cs="宋体"/>
                <w:szCs w:val="24"/>
              </w:rPr>
            </w:pPr>
            <w:r>
              <w:rPr>
                <w:rFonts w:hint="eastAsia"/>
              </w:rPr>
              <w:t>……</w:t>
            </w:r>
          </w:p>
        </w:tc>
        <w:tc>
          <w:tcPr>
            <w:tcW w:w="1111" w:type="dxa"/>
            <w:shd w:val="clear" w:color="auto" w:fill="auto"/>
            <w:vAlign w:val="center"/>
          </w:tcPr>
          <w:p>
            <w:pPr>
              <w:wordWrap w:val="0"/>
              <w:spacing w:line="360" w:lineRule="auto"/>
              <w:ind w:left="-55" w:leftChars="-23" w:right="-74" w:rightChars="-31"/>
              <w:jc w:val="left"/>
              <w:rPr>
                <w:rFonts w:cs="宋体"/>
                <w:szCs w:val="24"/>
              </w:rPr>
            </w:pPr>
            <w:r>
              <w:rPr>
                <w:rFonts w:hint="eastAsia"/>
              </w:rPr>
              <w:t>…</w:t>
            </w:r>
          </w:p>
        </w:tc>
        <w:tc>
          <w:tcPr>
            <w:tcW w:w="699" w:type="dxa"/>
            <w:tcBorders>
              <w:right w:val="single" w:color="auto" w:sz="4" w:space="0"/>
            </w:tcBorders>
            <w:shd w:val="clear" w:color="auto" w:fill="auto"/>
            <w:vAlign w:val="center"/>
          </w:tcPr>
          <w:p>
            <w:pPr>
              <w:wordWrap w:val="0"/>
              <w:spacing w:line="360" w:lineRule="auto"/>
              <w:ind w:left="-55" w:leftChars="-23" w:right="-74" w:rightChars="-31"/>
              <w:jc w:val="center"/>
              <w:rPr>
                <w:rFonts w:cs="宋体"/>
                <w:szCs w:val="24"/>
              </w:rPr>
            </w:pPr>
            <w:r>
              <w:rPr>
                <w:rFonts w:hint="eastAsia"/>
              </w:rPr>
              <w:t>…</w:t>
            </w:r>
          </w:p>
        </w:tc>
        <w:tc>
          <w:tcPr>
            <w:tcW w:w="699" w:type="dxa"/>
            <w:tcBorders>
              <w:left w:val="single" w:color="auto" w:sz="4" w:space="0"/>
            </w:tcBorders>
            <w:shd w:val="clear" w:color="auto" w:fill="auto"/>
            <w:vAlign w:val="center"/>
          </w:tcPr>
          <w:p>
            <w:pPr>
              <w:wordWrap w:val="0"/>
              <w:spacing w:line="360" w:lineRule="auto"/>
              <w:ind w:left="-55" w:leftChars="-23" w:right="-74" w:rightChars="-31"/>
              <w:jc w:val="center"/>
              <w:rPr>
                <w:rFonts w:cs="宋体"/>
                <w:szCs w:val="24"/>
              </w:rPr>
            </w:pPr>
            <w:r>
              <w:rPr>
                <w:rFonts w:hint="eastAsia"/>
              </w:rPr>
              <w:t>…</w:t>
            </w:r>
          </w:p>
        </w:tc>
        <w:tc>
          <w:tcPr>
            <w:tcW w:w="913" w:type="dxa"/>
            <w:shd w:val="clear" w:color="auto" w:fill="auto"/>
            <w:vAlign w:val="center"/>
          </w:tcPr>
          <w:p>
            <w:pPr>
              <w:wordWrap w:val="0"/>
              <w:spacing w:line="360" w:lineRule="auto"/>
              <w:ind w:left="-55" w:leftChars="-23" w:right="-74" w:rightChars="-31"/>
              <w:jc w:val="center"/>
              <w:rPr>
                <w:rFonts w:cs="宋体"/>
                <w:szCs w:val="24"/>
              </w:rPr>
            </w:pPr>
            <w:r>
              <w:rPr>
                <w:rFonts w:hint="eastAsia"/>
              </w:rPr>
              <w:t>…</w:t>
            </w:r>
          </w:p>
        </w:tc>
        <w:tc>
          <w:tcPr>
            <w:tcW w:w="1207" w:type="dxa"/>
            <w:shd w:val="clear" w:color="auto" w:fill="auto"/>
            <w:vAlign w:val="center"/>
          </w:tcPr>
          <w:p>
            <w:pPr>
              <w:wordWrap w:val="0"/>
              <w:spacing w:line="360" w:lineRule="auto"/>
              <w:ind w:left="-55" w:leftChars="-23" w:right="-74" w:rightChars="-31"/>
              <w:jc w:val="left"/>
              <w:rPr>
                <w:rFonts w:cs="宋体"/>
                <w:szCs w:val="24"/>
              </w:rPr>
            </w:pPr>
            <w:r>
              <w:rPr>
                <w:rFonts w:hint="eastAsia"/>
              </w:rPr>
              <w:t>…</w:t>
            </w:r>
          </w:p>
        </w:tc>
        <w:tc>
          <w:tcPr>
            <w:tcW w:w="1394" w:type="dxa"/>
            <w:shd w:val="clear" w:color="auto" w:fill="auto"/>
            <w:vAlign w:val="center"/>
          </w:tcPr>
          <w:p>
            <w:pPr>
              <w:wordWrap w:val="0"/>
              <w:spacing w:line="360" w:lineRule="auto"/>
              <w:ind w:left="-55" w:leftChars="-23" w:right="-74" w:rightChars="-31"/>
              <w:jc w:val="center"/>
              <w:rPr>
                <w:rFonts w:cs="宋体"/>
                <w:szCs w:val="24"/>
              </w:rPr>
            </w:pPr>
            <w:r>
              <w:rPr>
                <w:rFonts w:hint="eastAsia"/>
              </w:rPr>
              <w:t>…</w:t>
            </w:r>
          </w:p>
        </w:tc>
        <w:tc>
          <w:tcPr>
            <w:tcW w:w="1268" w:type="dxa"/>
          </w:tcPr>
          <w:p>
            <w:pPr>
              <w:wordWrap w:val="0"/>
              <w:spacing w:line="360" w:lineRule="auto"/>
              <w:ind w:left="-55" w:leftChars="-23" w:right="-74" w:rightChars="-31"/>
              <w:jc w:val="cente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08" w:hRule="atLeast"/>
          <w:jc w:val="center"/>
        </w:trPr>
        <w:tc>
          <w:tcPr>
            <w:tcW w:w="5649" w:type="dxa"/>
            <w:gridSpan w:val="6"/>
            <w:shd w:val="clear" w:color="auto" w:fill="auto"/>
            <w:vAlign w:val="center"/>
          </w:tcPr>
          <w:p>
            <w:pPr>
              <w:wordWrap w:val="0"/>
              <w:spacing w:line="360" w:lineRule="auto"/>
              <w:ind w:left="-55" w:leftChars="-23" w:right="-74" w:rightChars="-31"/>
              <w:jc w:val="center"/>
              <w:rPr>
                <w:rFonts w:cs="宋体"/>
                <w:b/>
                <w:szCs w:val="24"/>
              </w:rPr>
            </w:pPr>
            <w:r>
              <w:rPr>
                <w:rFonts w:hint="eastAsia" w:cs="宋体"/>
                <w:b/>
                <w:szCs w:val="24"/>
              </w:rPr>
              <w:t>合  计</w:t>
            </w:r>
          </w:p>
        </w:tc>
        <w:tc>
          <w:tcPr>
            <w:tcW w:w="3869" w:type="dxa"/>
            <w:gridSpan w:val="3"/>
            <w:shd w:val="clear" w:color="auto" w:fill="auto"/>
            <w:vAlign w:val="center"/>
          </w:tcPr>
          <w:p>
            <w:pPr>
              <w:wordWrap w:val="0"/>
              <w:spacing w:line="360" w:lineRule="auto"/>
              <w:ind w:left="-55" w:leftChars="-23" w:right="-74" w:rightChars="-31"/>
              <w:jc w:val="left"/>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04" w:hRule="atLeast"/>
          <w:jc w:val="center"/>
        </w:trPr>
        <w:tc>
          <w:tcPr>
            <w:tcW w:w="5649" w:type="dxa"/>
            <w:gridSpan w:val="6"/>
            <w:shd w:val="clear" w:color="auto" w:fill="auto"/>
            <w:vAlign w:val="center"/>
          </w:tcPr>
          <w:p>
            <w:pPr>
              <w:wordWrap w:val="0"/>
              <w:spacing w:line="360" w:lineRule="auto"/>
              <w:ind w:left="-55" w:leftChars="-23" w:right="-74" w:rightChars="-31"/>
              <w:jc w:val="center"/>
              <w:rPr>
                <w:rFonts w:cs="宋体"/>
                <w:b/>
                <w:szCs w:val="24"/>
              </w:rPr>
            </w:pPr>
            <w:r>
              <w:rPr>
                <w:rFonts w:hint="eastAsia" w:cs="宋体"/>
                <w:b/>
                <w:szCs w:val="24"/>
              </w:rPr>
              <w:t>占</w:t>
            </w:r>
            <w:r>
              <w:rPr>
                <w:rFonts w:cs="宋体"/>
                <w:b/>
                <w:szCs w:val="24"/>
              </w:rPr>
              <w:t>投标金额比例（</w:t>
            </w:r>
            <w:r>
              <w:rPr>
                <w:rFonts w:hint="eastAsia" w:cs="宋体"/>
                <w:b/>
                <w:szCs w:val="24"/>
              </w:rPr>
              <w:t>%）</w:t>
            </w:r>
          </w:p>
        </w:tc>
        <w:tc>
          <w:tcPr>
            <w:tcW w:w="3869" w:type="dxa"/>
            <w:gridSpan w:val="3"/>
            <w:shd w:val="clear" w:color="auto" w:fill="auto"/>
            <w:vAlign w:val="center"/>
          </w:tcPr>
          <w:p>
            <w:pPr>
              <w:wordWrap w:val="0"/>
              <w:spacing w:line="360" w:lineRule="auto"/>
              <w:ind w:left="-55" w:leftChars="-23" w:right="-74" w:rightChars="-31"/>
              <w:jc w:val="left"/>
              <w:rPr>
                <w:rFonts w:cs="宋体"/>
                <w:szCs w:val="24"/>
              </w:rPr>
            </w:pPr>
          </w:p>
        </w:tc>
      </w:tr>
    </w:tbl>
    <w:p>
      <w:pPr>
        <w:spacing w:line="360" w:lineRule="auto"/>
        <w:ind w:left="723" w:hanging="723" w:hangingChars="300"/>
        <w:rPr>
          <w:b/>
          <w:szCs w:val="24"/>
        </w:rPr>
      </w:pPr>
      <w:r>
        <w:rPr>
          <w:rFonts w:hint="eastAsia"/>
          <w:b/>
          <w:szCs w:val="24"/>
        </w:rPr>
        <w:t>说明：</w:t>
      </w:r>
      <w:r>
        <w:rPr>
          <w:rFonts w:hint="eastAsia"/>
          <w:szCs w:val="24"/>
        </w:rPr>
        <w:t>1.在“节能</w:t>
      </w:r>
      <w:r>
        <w:rPr>
          <w:szCs w:val="24"/>
        </w:rPr>
        <w:t>/环保/创新产品</w:t>
      </w:r>
      <w:r>
        <w:rPr>
          <w:rFonts w:hint="eastAsia"/>
          <w:szCs w:val="24"/>
        </w:rPr>
        <w:t>”栏中注明对应产品属于“节能或环保或创新”产品。</w:t>
      </w:r>
    </w:p>
    <w:p>
      <w:pPr>
        <w:spacing w:line="360" w:lineRule="auto"/>
        <w:ind w:left="1080" w:leftChars="300" w:hanging="360" w:hangingChars="150"/>
        <w:rPr>
          <w:szCs w:val="24"/>
        </w:rPr>
      </w:pPr>
      <w:r>
        <w:rPr>
          <w:rFonts w:hint="eastAsia"/>
          <w:szCs w:val="24"/>
        </w:rPr>
        <w:t>2.节能</w:t>
      </w:r>
      <w:r>
        <w:rPr>
          <w:szCs w:val="24"/>
        </w:rPr>
        <w:t>产品</w:t>
      </w:r>
      <w:r>
        <w:rPr>
          <w:rFonts w:hint="eastAsia"/>
          <w:szCs w:val="24"/>
        </w:rPr>
        <w:t>的应提供《节能产品政府采购品目清单》中</w:t>
      </w:r>
      <w:r>
        <w:rPr>
          <w:szCs w:val="24"/>
        </w:rPr>
        <w:t>相关</w:t>
      </w:r>
      <w:r>
        <w:rPr>
          <w:rFonts w:hint="eastAsia"/>
          <w:szCs w:val="24"/>
        </w:rPr>
        <w:t>产品（所投产品应与清单中产品规格型号一致）</w:t>
      </w:r>
      <w:r>
        <w:rPr>
          <w:szCs w:val="24"/>
        </w:rPr>
        <w:t>截图及</w:t>
      </w:r>
      <w:r>
        <w:rPr>
          <w:rFonts w:hint="eastAsia"/>
          <w:szCs w:val="24"/>
        </w:rPr>
        <w:t>节能</w:t>
      </w:r>
      <w:r>
        <w:rPr>
          <w:szCs w:val="24"/>
        </w:rPr>
        <w:t>产品认证证书复印件</w:t>
      </w:r>
      <w:r>
        <w:rPr>
          <w:rFonts w:hint="eastAsia"/>
          <w:szCs w:val="24"/>
        </w:rPr>
        <w:t>；环保</w:t>
      </w:r>
      <w:r>
        <w:rPr>
          <w:szCs w:val="24"/>
        </w:rPr>
        <w:t>产品</w:t>
      </w:r>
      <w:r>
        <w:rPr>
          <w:rFonts w:hint="eastAsia"/>
          <w:szCs w:val="24"/>
        </w:rPr>
        <w:t>的应提供《环境标志产品政府采购品目清单》中</w:t>
      </w:r>
      <w:r>
        <w:rPr>
          <w:szCs w:val="24"/>
        </w:rPr>
        <w:t>相关</w:t>
      </w:r>
      <w:r>
        <w:rPr>
          <w:rFonts w:hint="eastAsia"/>
          <w:szCs w:val="24"/>
        </w:rPr>
        <w:t>产品（所投产品应与清单中产品规格型号一致）</w:t>
      </w:r>
      <w:r>
        <w:rPr>
          <w:szCs w:val="24"/>
        </w:rPr>
        <w:t>截图及环境标志</w:t>
      </w:r>
      <w:r>
        <w:rPr>
          <w:rFonts w:hint="eastAsia"/>
          <w:szCs w:val="24"/>
        </w:rPr>
        <w:t>产品</w:t>
      </w:r>
      <w:r>
        <w:rPr>
          <w:szCs w:val="24"/>
        </w:rPr>
        <w:t>认证证书复</w:t>
      </w:r>
      <w:r>
        <w:rPr>
          <w:rFonts w:hint="eastAsia"/>
          <w:szCs w:val="24"/>
        </w:rPr>
        <w:t>印</w:t>
      </w:r>
      <w:r>
        <w:rPr>
          <w:szCs w:val="24"/>
        </w:rPr>
        <w:t>件；</w:t>
      </w:r>
      <w:r>
        <w:rPr>
          <w:rFonts w:hint="eastAsia"/>
          <w:szCs w:val="24"/>
        </w:rPr>
        <w:t>创新</w:t>
      </w:r>
      <w:r>
        <w:rPr>
          <w:szCs w:val="24"/>
        </w:rPr>
        <w:t>产品</w:t>
      </w:r>
      <w:r>
        <w:rPr>
          <w:rFonts w:hint="eastAsia"/>
          <w:szCs w:val="24"/>
        </w:rPr>
        <w:t>的应提供行政部门颁发的创新产品应用示范推荐目录（有效期内且所投产品应与清单中产品规格型号一致）。</w:t>
      </w:r>
    </w:p>
    <w:p>
      <w:pPr>
        <w:spacing w:line="360" w:lineRule="auto"/>
        <w:ind w:left="720" w:leftChars="300"/>
        <w:rPr>
          <w:szCs w:val="24"/>
        </w:rPr>
      </w:pPr>
      <w:r>
        <w:rPr>
          <w:rFonts w:hint="eastAsia" w:cs="Corbel"/>
          <w:szCs w:val="24"/>
        </w:rPr>
        <w:t>3.未按要求填写此表并</w:t>
      </w:r>
      <w:r>
        <w:rPr>
          <w:rFonts w:hint="eastAsia"/>
          <w:szCs w:val="24"/>
        </w:rPr>
        <w:t>附相关证明材料，导致的后果由投标人自行承担。</w:t>
      </w:r>
    </w:p>
    <w:p>
      <w:pPr>
        <w:wordWrap w:val="0"/>
        <w:spacing w:before="100" w:beforeAutospacing="1" w:after="100" w:afterAutospacing="1" w:line="360" w:lineRule="auto"/>
        <w:ind w:firstLine="3316" w:firstLineChars="1382"/>
        <w:rPr>
          <w:bCs/>
          <w:u w:val="single"/>
        </w:rPr>
      </w:pPr>
      <w:r>
        <w:rPr>
          <w:rFonts w:hint="eastAsia"/>
          <w:bCs/>
        </w:rPr>
        <w:t>投标人（公章）：</w:t>
      </w:r>
      <w:r>
        <w:rPr>
          <w:rFonts w:hint="eastAsia"/>
          <w:bCs/>
          <w:u w:val="single"/>
        </w:rPr>
        <w:t xml:space="preserve">                          </w:t>
      </w:r>
    </w:p>
    <w:p>
      <w:pPr>
        <w:wordWrap w:val="0"/>
        <w:spacing w:before="100" w:beforeAutospacing="1" w:after="100" w:afterAutospacing="1" w:line="360" w:lineRule="auto"/>
        <w:ind w:firstLine="3316" w:firstLineChars="1382"/>
        <w:rPr>
          <w:bCs/>
        </w:rPr>
      </w:pPr>
      <w:r>
        <w:rPr>
          <w:rFonts w:hint="eastAsia"/>
          <w:szCs w:val="24"/>
        </w:rPr>
        <w:t>日   期：</w:t>
      </w:r>
      <w:r>
        <w:rPr>
          <w:rFonts w:hint="eastAsia"/>
          <w:bCs/>
          <w:u w:val="single"/>
        </w:rPr>
        <w:t xml:space="preserve">                               </w:t>
      </w:r>
    </w:p>
    <w:p>
      <w:pPr>
        <w:widowControl/>
        <w:jc w:val="left"/>
        <w:rPr>
          <w:rFonts w:cstheme="majorBidi"/>
          <w:b/>
          <w:bCs/>
          <w:szCs w:val="24"/>
        </w:rPr>
      </w:pPr>
      <w:r>
        <w:rPr>
          <w:szCs w:val="24"/>
        </w:rPr>
        <w:br w:type="page"/>
      </w:r>
    </w:p>
    <w:p>
      <w:pPr>
        <w:pStyle w:val="3"/>
        <w:numPr>
          <w:ilvl w:val="0"/>
          <w:numId w:val="77"/>
        </w:numPr>
        <w:tabs>
          <w:tab w:val="left" w:pos="567"/>
        </w:tabs>
        <w:spacing w:before="0" w:after="0" w:line="360" w:lineRule="auto"/>
        <w:ind w:left="482" w:hanging="482" w:hangingChars="200"/>
        <w:jc w:val="left"/>
        <w:rPr>
          <w:rFonts w:ascii="宋体" w:hAnsi="宋体" w:eastAsia="宋体"/>
          <w:sz w:val="24"/>
          <w:szCs w:val="24"/>
        </w:rPr>
      </w:pPr>
      <w:bookmarkStart w:id="750" w:name="_Toc7501"/>
      <w:bookmarkStart w:id="751" w:name="_Toc1304"/>
      <w:r>
        <w:rPr>
          <w:rFonts w:hint="eastAsia" w:ascii="宋体" w:hAnsi="宋体" w:eastAsia="宋体"/>
          <w:sz w:val="24"/>
          <w:szCs w:val="24"/>
        </w:rPr>
        <w:t>享受价格扣除优惠政策应提供的材料</w:t>
      </w:r>
      <w:bookmarkEnd w:id="750"/>
      <w:bookmarkEnd w:id="751"/>
    </w:p>
    <w:p>
      <w:pPr>
        <w:pStyle w:val="11"/>
        <w:spacing w:line="360" w:lineRule="auto"/>
        <w:ind w:firstLine="600" w:firstLineChars="250"/>
        <w:rPr>
          <w:rFonts w:ascii="楷体" w:hAnsi="楷体" w:eastAsia="楷体"/>
          <w:szCs w:val="24"/>
        </w:rPr>
      </w:pPr>
      <w:r>
        <w:rPr>
          <w:rFonts w:hint="eastAsia" w:ascii="楷体" w:hAnsi="楷体" w:eastAsia="楷体"/>
          <w:szCs w:val="24"/>
        </w:rPr>
        <w:t>（按投标人</w:t>
      </w:r>
      <w:r>
        <w:rPr>
          <w:rFonts w:hint="eastAsia" w:ascii="楷体" w:hAnsi="楷体" w:eastAsia="楷体"/>
        </w:rPr>
        <w:t>实际情况</w:t>
      </w:r>
      <w:r>
        <w:rPr>
          <w:rFonts w:hint="eastAsia" w:ascii="楷体" w:hAnsi="楷体" w:eastAsia="楷体"/>
          <w:szCs w:val="24"/>
        </w:rPr>
        <w:t>选择提供）</w:t>
      </w:r>
      <w:bookmarkEnd w:id="748"/>
      <w:bookmarkEnd w:id="749"/>
    </w:p>
    <w:p>
      <w:pPr>
        <w:pStyle w:val="43"/>
        <w:numPr>
          <w:ilvl w:val="0"/>
          <w:numId w:val="87"/>
        </w:numPr>
        <w:tabs>
          <w:tab w:val="left" w:pos="567"/>
        </w:tabs>
        <w:autoSpaceDE w:val="0"/>
        <w:autoSpaceDN w:val="0"/>
        <w:adjustRightInd w:val="0"/>
        <w:spacing w:line="360" w:lineRule="auto"/>
        <w:ind w:hanging="1130" w:firstLineChars="0"/>
        <w:outlineLvl w:val="2"/>
        <w:rPr>
          <w:szCs w:val="32"/>
        </w:rPr>
      </w:pPr>
      <w:r>
        <w:rPr>
          <w:rFonts w:hint="eastAsia"/>
          <w:b/>
          <w:szCs w:val="32"/>
        </w:rPr>
        <w:t>联合协议书（适用于联合体投标）</w:t>
      </w:r>
    </w:p>
    <w:p>
      <w:pPr>
        <w:pStyle w:val="11"/>
        <w:spacing w:line="360" w:lineRule="auto"/>
        <w:ind w:firstLine="600" w:firstLineChars="250"/>
        <w:rPr>
          <w:rFonts w:ascii="楷体" w:hAnsi="楷体" w:eastAsia="楷体"/>
          <w:szCs w:val="32"/>
        </w:rPr>
      </w:pPr>
      <w:r>
        <w:rPr>
          <w:rFonts w:hint="eastAsia" w:ascii="楷体" w:hAnsi="楷体" w:eastAsia="楷体"/>
          <w:szCs w:val="32"/>
        </w:rPr>
        <w:t>（格式详见</w:t>
      </w:r>
      <w:r>
        <w:rPr>
          <w:rFonts w:hint="eastAsia" w:ascii="楷体" w:hAnsi="楷体" w:eastAsia="楷体"/>
        </w:rPr>
        <w:t>资格</w:t>
      </w:r>
      <w:r>
        <w:rPr>
          <w:rFonts w:ascii="楷体" w:hAnsi="楷体" w:eastAsia="楷体"/>
          <w:szCs w:val="32"/>
        </w:rPr>
        <w:t>证明文件</w:t>
      </w:r>
      <w:r>
        <w:rPr>
          <w:rFonts w:hint="eastAsia" w:ascii="楷体" w:hAnsi="楷体" w:eastAsia="楷体"/>
          <w:szCs w:val="32"/>
        </w:rPr>
        <w:t>6.1）</w:t>
      </w:r>
    </w:p>
    <w:p>
      <w:pPr>
        <w:pStyle w:val="43"/>
        <w:numPr>
          <w:ilvl w:val="0"/>
          <w:numId w:val="87"/>
        </w:numPr>
        <w:tabs>
          <w:tab w:val="left" w:pos="567"/>
        </w:tabs>
        <w:autoSpaceDE w:val="0"/>
        <w:autoSpaceDN w:val="0"/>
        <w:adjustRightInd w:val="0"/>
        <w:spacing w:line="360" w:lineRule="auto"/>
        <w:ind w:hanging="1130" w:firstLineChars="0"/>
        <w:outlineLvl w:val="2"/>
        <w:rPr>
          <w:szCs w:val="32"/>
        </w:rPr>
      </w:pPr>
      <w:r>
        <w:rPr>
          <w:rFonts w:hint="eastAsia"/>
          <w:b/>
          <w:szCs w:val="32"/>
        </w:rPr>
        <w:t>分包意向协议书（适用于中标后分包）</w:t>
      </w:r>
    </w:p>
    <w:p>
      <w:pPr>
        <w:pStyle w:val="11"/>
        <w:spacing w:line="360" w:lineRule="auto"/>
        <w:ind w:firstLine="600" w:firstLineChars="250"/>
        <w:rPr>
          <w:szCs w:val="32"/>
        </w:rPr>
      </w:pPr>
      <w:r>
        <w:rPr>
          <w:rFonts w:hint="eastAsia" w:ascii="楷体" w:hAnsi="楷体" w:eastAsia="楷体"/>
          <w:szCs w:val="32"/>
        </w:rPr>
        <w:t>（格式详见资格</w:t>
      </w:r>
      <w:r>
        <w:rPr>
          <w:rFonts w:ascii="楷体" w:hAnsi="楷体" w:eastAsia="楷体"/>
          <w:szCs w:val="32"/>
        </w:rPr>
        <w:t>证明文件</w:t>
      </w:r>
      <w:r>
        <w:rPr>
          <w:rFonts w:hint="eastAsia" w:ascii="楷体" w:hAnsi="楷体" w:eastAsia="楷体"/>
          <w:szCs w:val="32"/>
        </w:rPr>
        <w:t>6.</w:t>
      </w:r>
      <w:r>
        <w:rPr>
          <w:rFonts w:ascii="楷体" w:hAnsi="楷体" w:eastAsia="楷体"/>
          <w:szCs w:val="32"/>
        </w:rPr>
        <w:t>2</w:t>
      </w:r>
      <w:r>
        <w:rPr>
          <w:rFonts w:hint="eastAsia" w:ascii="楷体" w:hAnsi="楷体" w:eastAsia="楷体"/>
          <w:szCs w:val="32"/>
        </w:rPr>
        <w:t>）</w:t>
      </w:r>
    </w:p>
    <w:p>
      <w:pPr>
        <w:pStyle w:val="43"/>
        <w:numPr>
          <w:ilvl w:val="0"/>
          <w:numId w:val="87"/>
        </w:numPr>
        <w:tabs>
          <w:tab w:val="left" w:pos="567"/>
        </w:tabs>
        <w:autoSpaceDE w:val="0"/>
        <w:autoSpaceDN w:val="0"/>
        <w:adjustRightInd w:val="0"/>
        <w:spacing w:line="360" w:lineRule="auto"/>
        <w:ind w:hanging="1130" w:firstLineChars="0"/>
        <w:outlineLvl w:val="2"/>
        <w:rPr>
          <w:szCs w:val="32"/>
        </w:rPr>
      </w:pPr>
      <w:r>
        <w:rPr>
          <w:rFonts w:hint="eastAsia"/>
          <w:b/>
          <w:szCs w:val="32"/>
        </w:rPr>
        <w:t>中小企业声明函</w:t>
      </w:r>
    </w:p>
    <w:p>
      <w:pPr>
        <w:pStyle w:val="11"/>
        <w:spacing w:line="360" w:lineRule="auto"/>
        <w:ind w:firstLine="600" w:firstLineChars="250"/>
        <w:rPr>
          <w:rFonts w:ascii="楷体" w:hAnsi="楷体" w:eastAsia="楷体"/>
          <w:szCs w:val="32"/>
        </w:rPr>
      </w:pPr>
      <w:r>
        <w:rPr>
          <w:rFonts w:hint="eastAsia" w:ascii="楷体" w:hAnsi="楷体" w:eastAsia="楷体"/>
          <w:szCs w:val="32"/>
        </w:rPr>
        <w:t>（格式详见资格</w:t>
      </w:r>
      <w:r>
        <w:rPr>
          <w:rFonts w:ascii="楷体" w:hAnsi="楷体" w:eastAsia="楷体"/>
          <w:szCs w:val="32"/>
        </w:rPr>
        <w:t>证明文件</w:t>
      </w:r>
      <w:r>
        <w:rPr>
          <w:rFonts w:hint="eastAsia" w:ascii="楷体" w:hAnsi="楷体" w:eastAsia="楷体"/>
          <w:szCs w:val="32"/>
        </w:rPr>
        <w:t>6.</w:t>
      </w:r>
      <w:r>
        <w:rPr>
          <w:rFonts w:ascii="楷体" w:hAnsi="楷体" w:eastAsia="楷体"/>
          <w:szCs w:val="32"/>
        </w:rPr>
        <w:t>3</w:t>
      </w:r>
      <w:r>
        <w:rPr>
          <w:rFonts w:hint="eastAsia" w:ascii="楷体" w:hAnsi="楷体" w:eastAsia="楷体"/>
          <w:szCs w:val="32"/>
        </w:rPr>
        <w:t>）</w:t>
      </w:r>
    </w:p>
    <w:p>
      <w:pPr>
        <w:pStyle w:val="43"/>
        <w:numPr>
          <w:ilvl w:val="0"/>
          <w:numId w:val="87"/>
        </w:numPr>
        <w:tabs>
          <w:tab w:val="left" w:pos="567"/>
        </w:tabs>
        <w:autoSpaceDE w:val="0"/>
        <w:autoSpaceDN w:val="0"/>
        <w:adjustRightInd w:val="0"/>
        <w:spacing w:line="360" w:lineRule="auto"/>
        <w:ind w:hanging="1130" w:firstLineChars="0"/>
        <w:outlineLvl w:val="2"/>
        <w:rPr>
          <w:szCs w:val="32"/>
        </w:rPr>
      </w:pPr>
      <w:r>
        <w:rPr>
          <w:rFonts w:hint="eastAsia"/>
          <w:b/>
          <w:szCs w:val="32"/>
        </w:rPr>
        <w:t>监狱企业的证明文件（适用于监狱企业）</w:t>
      </w:r>
    </w:p>
    <w:p>
      <w:pPr>
        <w:pStyle w:val="11"/>
        <w:spacing w:line="360" w:lineRule="auto"/>
        <w:ind w:firstLine="600" w:firstLineChars="250"/>
        <w:rPr>
          <w:rFonts w:ascii="楷体" w:hAnsi="楷体" w:eastAsia="楷体"/>
          <w:szCs w:val="32"/>
        </w:rPr>
      </w:pPr>
      <w:r>
        <w:rPr>
          <w:rFonts w:hint="eastAsia" w:ascii="楷体" w:hAnsi="楷体" w:eastAsia="楷体"/>
          <w:szCs w:val="32"/>
        </w:rPr>
        <w:t>（格式详见资格</w:t>
      </w:r>
      <w:r>
        <w:rPr>
          <w:rFonts w:ascii="楷体" w:hAnsi="楷体" w:eastAsia="楷体"/>
          <w:szCs w:val="32"/>
        </w:rPr>
        <w:t>证明文件</w:t>
      </w:r>
      <w:r>
        <w:rPr>
          <w:rFonts w:hint="eastAsia" w:ascii="楷体" w:hAnsi="楷体" w:eastAsia="楷体"/>
          <w:szCs w:val="32"/>
        </w:rPr>
        <w:t>6.</w:t>
      </w:r>
      <w:r>
        <w:rPr>
          <w:rFonts w:ascii="楷体" w:hAnsi="楷体" w:eastAsia="楷体"/>
          <w:szCs w:val="32"/>
        </w:rPr>
        <w:t>4</w:t>
      </w:r>
      <w:r>
        <w:rPr>
          <w:rFonts w:hint="eastAsia" w:ascii="楷体" w:hAnsi="楷体" w:eastAsia="楷体"/>
          <w:szCs w:val="32"/>
        </w:rPr>
        <w:t>）</w:t>
      </w:r>
    </w:p>
    <w:p>
      <w:pPr>
        <w:pStyle w:val="43"/>
        <w:numPr>
          <w:ilvl w:val="0"/>
          <w:numId w:val="87"/>
        </w:numPr>
        <w:tabs>
          <w:tab w:val="left" w:pos="567"/>
        </w:tabs>
        <w:autoSpaceDE w:val="0"/>
        <w:autoSpaceDN w:val="0"/>
        <w:adjustRightInd w:val="0"/>
        <w:spacing w:line="360" w:lineRule="auto"/>
        <w:ind w:hanging="1130" w:firstLineChars="0"/>
        <w:outlineLvl w:val="2"/>
        <w:rPr>
          <w:szCs w:val="32"/>
        </w:rPr>
      </w:pPr>
      <w:r>
        <w:rPr>
          <w:rFonts w:hint="eastAsia"/>
          <w:b/>
          <w:szCs w:val="32"/>
        </w:rPr>
        <w:t>残疾人福利性单位声明函（适用于残疾人福利性单位）</w:t>
      </w:r>
    </w:p>
    <w:p>
      <w:pPr>
        <w:pStyle w:val="11"/>
        <w:spacing w:line="360" w:lineRule="auto"/>
        <w:ind w:firstLine="600" w:firstLineChars="250"/>
        <w:rPr>
          <w:rFonts w:ascii="楷体" w:hAnsi="楷体" w:eastAsia="楷体"/>
          <w:szCs w:val="32"/>
        </w:rPr>
      </w:pPr>
      <w:r>
        <w:rPr>
          <w:rFonts w:hint="eastAsia" w:ascii="楷体" w:hAnsi="楷体" w:eastAsia="楷体"/>
          <w:szCs w:val="32"/>
        </w:rPr>
        <w:t>（格式详见资格</w:t>
      </w:r>
      <w:r>
        <w:rPr>
          <w:rFonts w:ascii="楷体" w:hAnsi="楷体" w:eastAsia="楷体"/>
          <w:szCs w:val="32"/>
        </w:rPr>
        <w:t>证明文件</w:t>
      </w:r>
      <w:r>
        <w:rPr>
          <w:rFonts w:hint="eastAsia" w:ascii="楷体" w:hAnsi="楷体" w:eastAsia="楷体"/>
          <w:szCs w:val="32"/>
        </w:rPr>
        <w:t>6.</w:t>
      </w:r>
      <w:r>
        <w:rPr>
          <w:rFonts w:ascii="楷体" w:hAnsi="楷体" w:eastAsia="楷体"/>
          <w:szCs w:val="32"/>
        </w:rPr>
        <w:t>5</w:t>
      </w:r>
      <w:r>
        <w:rPr>
          <w:rFonts w:hint="eastAsia" w:ascii="楷体" w:hAnsi="楷体" w:eastAsia="楷体"/>
          <w:szCs w:val="32"/>
        </w:rPr>
        <w:t>）</w:t>
      </w:r>
    </w:p>
    <w:p>
      <w:pPr>
        <w:pStyle w:val="11"/>
        <w:spacing w:line="360" w:lineRule="auto"/>
        <w:ind w:firstLine="600" w:firstLineChars="250"/>
        <w:rPr>
          <w:rFonts w:ascii="楷体" w:hAnsi="楷体" w:eastAsia="楷体"/>
          <w:szCs w:val="32"/>
        </w:rPr>
      </w:pPr>
    </w:p>
    <w:p>
      <w:pPr>
        <w:pStyle w:val="11"/>
        <w:spacing w:line="360" w:lineRule="auto"/>
        <w:ind w:firstLine="600" w:firstLineChars="250"/>
        <w:rPr>
          <w:rFonts w:ascii="楷体" w:hAnsi="楷体" w:eastAsia="楷体"/>
          <w:szCs w:val="32"/>
        </w:rPr>
      </w:pPr>
    </w:p>
    <w:p>
      <w:pPr>
        <w:pStyle w:val="3"/>
        <w:numPr>
          <w:ilvl w:val="0"/>
          <w:numId w:val="77"/>
        </w:numPr>
        <w:tabs>
          <w:tab w:val="left" w:pos="567"/>
        </w:tabs>
        <w:spacing w:before="0" w:after="0" w:line="360" w:lineRule="auto"/>
        <w:jc w:val="left"/>
        <w:rPr>
          <w:rFonts w:ascii="宋体" w:hAnsi="宋体" w:eastAsia="宋体" w:cs="Times New Roman"/>
          <w:sz w:val="24"/>
          <w:szCs w:val="24"/>
        </w:rPr>
      </w:pPr>
      <w:bookmarkStart w:id="752" w:name="_Toc32255"/>
      <w:bookmarkStart w:id="753" w:name="_Toc14005"/>
      <w:bookmarkStart w:id="754" w:name="_Toc117244399"/>
      <w:bookmarkStart w:id="755" w:name="_Toc117244514"/>
      <w:r>
        <w:rPr>
          <w:rFonts w:hint="eastAsia" w:ascii="宋体" w:hAnsi="宋体" w:eastAsia="宋体" w:cs="Times New Roman"/>
          <w:sz w:val="24"/>
          <w:szCs w:val="24"/>
        </w:rPr>
        <w:t>投标货物（或服务）介绍，项目建设（服务）方案</w:t>
      </w:r>
      <w:bookmarkEnd w:id="752"/>
      <w:bookmarkEnd w:id="753"/>
    </w:p>
    <w:p>
      <w:pPr>
        <w:pStyle w:val="11"/>
        <w:spacing w:line="360" w:lineRule="auto"/>
        <w:ind w:firstLine="600" w:firstLineChars="250"/>
        <w:rPr>
          <w:rFonts w:ascii="楷体" w:hAnsi="楷体" w:eastAsia="楷体"/>
          <w:szCs w:val="24"/>
        </w:rPr>
      </w:pPr>
      <w:r>
        <w:rPr>
          <w:rFonts w:hint="eastAsia" w:ascii="楷体" w:hAnsi="楷体" w:eastAsia="楷体" w:cs="Courier New"/>
          <w:szCs w:val="24"/>
        </w:rPr>
        <w:t>（根据项目实际自行编写）</w:t>
      </w:r>
      <w:bookmarkEnd w:id="754"/>
      <w:bookmarkEnd w:id="755"/>
      <w:r>
        <w:rPr>
          <w:rFonts w:ascii="楷体" w:hAnsi="楷体" w:eastAsia="楷体"/>
          <w:szCs w:val="24"/>
        </w:rPr>
        <w:t xml:space="preserve"> </w:t>
      </w:r>
    </w:p>
    <w:p>
      <w:pPr>
        <w:spacing w:line="360" w:lineRule="auto"/>
      </w:pPr>
    </w:p>
    <w:p>
      <w:pPr>
        <w:pStyle w:val="11"/>
        <w:spacing w:line="360" w:lineRule="auto"/>
      </w:pPr>
    </w:p>
    <w:p>
      <w:pPr>
        <w:pStyle w:val="3"/>
        <w:numPr>
          <w:ilvl w:val="0"/>
          <w:numId w:val="77"/>
        </w:numPr>
        <w:tabs>
          <w:tab w:val="left" w:pos="567"/>
        </w:tabs>
        <w:spacing w:before="0" w:after="0" w:line="360" w:lineRule="auto"/>
        <w:jc w:val="left"/>
        <w:rPr>
          <w:rFonts w:ascii="宋体" w:hAnsi="宋体" w:eastAsia="宋体" w:cs="Times New Roman"/>
          <w:sz w:val="24"/>
          <w:szCs w:val="24"/>
        </w:rPr>
      </w:pPr>
      <w:bookmarkStart w:id="756" w:name="_Toc22456"/>
      <w:bookmarkStart w:id="757" w:name="_Toc17023"/>
      <w:bookmarkStart w:id="758" w:name="_Toc117244515"/>
      <w:bookmarkStart w:id="759" w:name="_Toc117244400"/>
      <w:r>
        <w:rPr>
          <w:rFonts w:hint="eastAsia" w:ascii="宋体" w:hAnsi="宋体" w:eastAsia="宋体" w:cs="Times New Roman"/>
          <w:sz w:val="24"/>
          <w:szCs w:val="24"/>
        </w:rPr>
        <w:t>招标文件要求提供或投标人认为需提供的其它资料</w:t>
      </w:r>
      <w:bookmarkEnd w:id="756"/>
      <w:bookmarkEnd w:id="757"/>
    </w:p>
    <w:p>
      <w:pPr>
        <w:pStyle w:val="11"/>
        <w:spacing w:line="360" w:lineRule="auto"/>
        <w:ind w:firstLine="600" w:firstLineChars="250"/>
        <w:rPr>
          <w:rFonts w:ascii="楷体" w:hAnsi="楷体" w:eastAsia="楷体" w:cs="Courier New"/>
          <w:szCs w:val="24"/>
        </w:rPr>
      </w:pPr>
      <w:r>
        <w:rPr>
          <w:rFonts w:hint="eastAsia" w:ascii="楷体" w:hAnsi="楷体" w:eastAsia="楷体" w:cs="Courier New"/>
          <w:szCs w:val="24"/>
        </w:rPr>
        <w:t>（根据项目实际自行编写）</w:t>
      </w:r>
      <w:bookmarkEnd w:id="758"/>
      <w:bookmarkEnd w:id="759"/>
    </w:p>
    <w:sectPr>
      <w:pgSz w:w="11906" w:h="16838"/>
      <w:pgMar w:top="1134" w:right="1191" w:bottom="1134" w:left="1191"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Corbel">
    <w:panose1 w:val="020B0503020204020204"/>
    <w:charset w:val="00"/>
    <w:family w:val="swiss"/>
    <w:pitch w:val="default"/>
    <w:sig w:usb0="A00002EF" w:usb1="4000A44B"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top w:val="single" w:color="000000" w:themeColor="text1" w:sz="4" w:space="1"/>
      </w:pBdr>
      <w:tabs>
        <w:tab w:val="clear" w:pos="4153"/>
        <w:tab w:val="clear" w:pos="8306"/>
      </w:tabs>
      <w:ind w:right="-9"/>
      <w:rPr>
        <w:rFonts w:asciiTheme="minorEastAsia" w:hAnsiTheme="minorEastAsia"/>
        <w:b/>
        <w:sz w:val="20"/>
        <w:szCs w:val="20"/>
      </w:rPr>
    </w:pPr>
    <w:r>
      <w:rPr>
        <w:rFonts w:hint="eastAsia" w:asciiTheme="minorEastAsia" w:hAnsiTheme="minorEastAsia"/>
        <w:sz w:val="20"/>
        <w:szCs w:val="20"/>
      </w:rPr>
      <w:t>黄冈市政府采购中心编制</w:t>
    </w:r>
    <w:r>
      <w:rPr>
        <w:rFonts w:asciiTheme="minorEastAsia" w:hAnsiTheme="minorEastAsia"/>
        <w:sz w:val="20"/>
        <w:szCs w:val="20"/>
      </w:rPr>
      <w:t xml:space="preserve"> </w:t>
    </w:r>
    <w:r>
      <w:rPr>
        <w:rFonts w:hint="eastAsia" w:asciiTheme="minorEastAsia" w:hAnsiTheme="minorEastAsia"/>
        <w:sz w:val="20"/>
        <w:szCs w:val="20"/>
      </w:rPr>
      <w:t xml:space="preserve">                  </w:t>
    </w:r>
    <w:r>
      <w:rPr>
        <w:rFonts w:asciiTheme="minorEastAsia" w:hAnsiTheme="minorEastAsia"/>
        <w:sz w:val="20"/>
        <w:szCs w:val="20"/>
      </w:rPr>
      <w:t xml:space="preserve">    </w:t>
    </w:r>
    <w:r>
      <w:rPr>
        <w:rFonts w:hint="eastAsia" w:asciiTheme="minorEastAsia" w:hAnsiTheme="minorEastAsia"/>
        <w:sz w:val="20"/>
        <w:szCs w:val="20"/>
      </w:rPr>
      <w:t xml:space="preserve">                           全流程电子化1.0版</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top w:val="single" w:color="000000" w:themeColor="text1" w:sz="4" w:space="1"/>
      </w:pBdr>
      <w:tabs>
        <w:tab w:val="clear" w:pos="4153"/>
        <w:tab w:val="clear" w:pos="8306"/>
      </w:tabs>
      <w:ind w:right="-9"/>
      <w:rPr>
        <w:rFonts w:asciiTheme="minorEastAsia" w:hAnsiTheme="minorEastAsia"/>
        <w:sz w:val="20"/>
        <w:szCs w:val="20"/>
      </w:rPr>
    </w:pPr>
    <w:r>
      <w:rPr>
        <w:rFonts w:hint="eastAsia"/>
        <w:bCs/>
        <w:sz w:val="20"/>
        <w:szCs w:val="20"/>
      </w:rPr>
      <w:t xml:space="preserve">黄冈市政府采购中心编制 </w:t>
    </w:r>
    <w:r>
      <w:rPr>
        <w:bCs/>
        <w:sz w:val="20"/>
        <w:szCs w:val="20"/>
      </w:rPr>
      <w:t xml:space="preserve">                  </w:t>
    </w:r>
    <w:r>
      <w:rPr>
        <w:bCs/>
        <w:sz w:val="20"/>
        <w:szCs w:val="20"/>
      </w:rPr>
      <w:fldChar w:fldCharType="begin"/>
    </w:r>
    <w:r>
      <w:rPr>
        <w:bCs/>
        <w:sz w:val="20"/>
        <w:szCs w:val="20"/>
      </w:rPr>
      <w:instrText xml:space="preserve">PAGE</w:instrText>
    </w:r>
    <w:r>
      <w:rPr>
        <w:bCs/>
        <w:sz w:val="20"/>
        <w:szCs w:val="20"/>
      </w:rPr>
      <w:fldChar w:fldCharType="separate"/>
    </w:r>
    <w:r>
      <w:rPr>
        <w:bCs/>
        <w:sz w:val="20"/>
        <w:szCs w:val="20"/>
      </w:rPr>
      <w:t>41</w:t>
    </w:r>
    <w:r>
      <w:rPr>
        <w:bCs/>
        <w:sz w:val="20"/>
        <w:szCs w:val="20"/>
      </w:rPr>
      <w:fldChar w:fldCharType="end"/>
    </w:r>
    <w:r>
      <w:rPr>
        <w:sz w:val="20"/>
        <w:szCs w:val="20"/>
        <w:lang w:val="zh-CN"/>
      </w:rPr>
      <w:t xml:space="preserve"> /</w:t>
    </w:r>
    <w:r>
      <w:rPr>
        <w:sz w:val="20"/>
        <w:szCs w:val="20"/>
        <w:lang w:val="zh-CN"/>
      </w:rPr>
      <w:fldChar w:fldCharType="begin"/>
    </w:r>
    <w:r>
      <w:rPr>
        <w:sz w:val="20"/>
        <w:szCs w:val="20"/>
        <w:lang w:val="zh-CN"/>
      </w:rPr>
      <w:instrText xml:space="preserve">=</w:instrText>
    </w:r>
    <w:r>
      <w:rPr>
        <w:bCs/>
        <w:sz w:val="20"/>
        <w:szCs w:val="20"/>
      </w:rPr>
      <w:fldChar w:fldCharType="begin"/>
    </w:r>
    <w:r>
      <w:rPr>
        <w:bCs/>
        <w:sz w:val="20"/>
        <w:szCs w:val="20"/>
      </w:rPr>
      <w:instrText xml:space="preserve">NUMPAGES</w:instrText>
    </w:r>
    <w:r>
      <w:rPr>
        <w:bCs/>
        <w:sz w:val="20"/>
        <w:szCs w:val="20"/>
      </w:rPr>
      <w:fldChar w:fldCharType="separate"/>
    </w:r>
    <w:r>
      <w:rPr>
        <w:bCs/>
        <w:sz w:val="20"/>
        <w:szCs w:val="20"/>
      </w:rPr>
      <w:instrText xml:space="preserve">84</w:instrText>
    </w:r>
    <w:r>
      <w:rPr>
        <w:bCs/>
        <w:sz w:val="20"/>
        <w:szCs w:val="20"/>
      </w:rPr>
      <w:fldChar w:fldCharType="end"/>
    </w:r>
    <w:r>
      <w:rPr>
        <w:bCs/>
        <w:sz w:val="20"/>
        <w:szCs w:val="20"/>
      </w:rPr>
      <w:instrText xml:space="preserve">-6</w:instrText>
    </w:r>
    <w:r>
      <w:rPr>
        <w:sz w:val="20"/>
        <w:szCs w:val="20"/>
        <w:lang w:val="zh-CN"/>
      </w:rPr>
      <w:fldChar w:fldCharType="separate"/>
    </w:r>
    <w:r>
      <w:rPr>
        <w:sz w:val="20"/>
        <w:szCs w:val="20"/>
        <w:lang w:val="zh-CN"/>
      </w:rPr>
      <w:t>78</w:t>
    </w:r>
    <w:r>
      <w:rPr>
        <w:sz w:val="20"/>
        <w:szCs w:val="20"/>
        <w:lang w:val="zh-CN"/>
      </w:rPr>
      <w:fldChar w:fldCharType="end"/>
    </w:r>
    <w:r>
      <w:rPr>
        <w:sz w:val="20"/>
        <w:szCs w:val="20"/>
        <w:lang w:val="zh-CN"/>
      </w:rPr>
      <w:t xml:space="preserve"> </w:t>
    </w:r>
    <w:r>
      <w:rPr>
        <w:bCs/>
        <w:sz w:val="20"/>
        <w:szCs w:val="20"/>
      </w:rPr>
      <w:t xml:space="preserve">         </w:t>
    </w:r>
    <w:r>
      <w:rPr>
        <w:rFonts w:hint="eastAsia"/>
        <w:bCs/>
        <w:sz w:val="20"/>
        <w:szCs w:val="20"/>
      </w:rPr>
      <w:t xml:space="preserve">    </w:t>
    </w:r>
    <w:r>
      <w:rPr>
        <w:bCs/>
        <w:sz w:val="20"/>
        <w:szCs w:val="20"/>
      </w:rPr>
      <w:t xml:space="preserve">          全流程电子化1.0版</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rPr>
        <w:sz w:val="20"/>
        <w:szCs w:val="20"/>
        <w:u w:val="single"/>
      </w:rPr>
    </w:pPr>
    <w:r>
      <w:rPr>
        <w:sz w:val="21"/>
        <w:szCs w:val="21"/>
        <w:u w:val="single"/>
      </w:rPr>
      <w:t xml:space="preserve">   </w:t>
    </w:r>
    <w:r>
      <w:rPr>
        <w:rFonts w:hint="eastAsia"/>
        <w:sz w:val="21"/>
        <w:szCs w:val="21"/>
        <w:u w:val="single"/>
      </w:rPr>
      <w:t xml:space="preserve">                        </w:t>
    </w:r>
    <w:r>
      <w:rPr>
        <w:sz w:val="21"/>
        <w:szCs w:val="21"/>
        <w:u w:val="single"/>
      </w:rPr>
      <w:t xml:space="preserve">  </w:t>
    </w:r>
    <w:r>
      <w:rPr>
        <w:rFonts w:hint="eastAsia"/>
        <w:sz w:val="21"/>
        <w:szCs w:val="21"/>
        <w:u w:val="single"/>
      </w:rPr>
      <w:t xml:space="preserve">                                              </w:t>
    </w:r>
    <w:r>
      <w:rPr>
        <w:rFonts w:hint="eastAsia"/>
        <w:sz w:val="20"/>
        <w:szCs w:val="20"/>
        <w:u w:val="single"/>
      </w:rPr>
      <w:t xml:space="preserve"> 黄冈市政府采购</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AED37"/>
    <w:multiLevelType w:val="multilevel"/>
    <w:tmpl w:val="80EAED37"/>
    <w:lvl w:ilvl="0" w:tentative="0">
      <w:start w:val="1"/>
      <w:numFmt w:val="decimal"/>
      <w:lvlText w:val="2.%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872FC132"/>
    <w:multiLevelType w:val="multilevel"/>
    <w:tmpl w:val="872FC132"/>
    <w:lvl w:ilvl="0" w:tentative="0">
      <w:start w:val="1"/>
      <w:numFmt w:val="decimal"/>
      <w:lvlText w:val="42.%1"/>
      <w:lvlJc w:val="left"/>
      <w:pPr>
        <w:ind w:left="420"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8741AB5F"/>
    <w:multiLevelType w:val="multilevel"/>
    <w:tmpl w:val="8741AB5F"/>
    <w:lvl w:ilvl="0" w:tentative="0">
      <w:start w:val="1"/>
      <w:numFmt w:val="decimal"/>
      <w:lvlText w:val="11.%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8F3068E4"/>
    <w:multiLevelType w:val="multilevel"/>
    <w:tmpl w:val="8F3068E4"/>
    <w:lvl w:ilvl="0" w:tentative="0">
      <w:start w:val="1"/>
      <w:numFmt w:val="decimal"/>
      <w:suff w:val="nothing"/>
      <w:lvlText w:val="%1."/>
      <w:lvlJc w:val="left"/>
      <w:pPr>
        <w:tabs>
          <w:tab w:val="left" w:pos="420"/>
        </w:tabs>
        <w:ind w:left="902" w:hanging="420"/>
      </w:pPr>
      <w:rPr>
        <w:rFonts w:hint="default" w:ascii="宋体" w:hAnsi="宋体" w:eastAsia="宋体"/>
        <w:b w:val="0"/>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4">
    <w:nsid w:val="925CB7A7"/>
    <w:multiLevelType w:val="multilevel"/>
    <w:tmpl w:val="925CB7A7"/>
    <w:lvl w:ilvl="0" w:tentative="0">
      <w:start w:val="1"/>
      <w:numFmt w:val="decimal"/>
      <w:lvlText w:val="4.%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97FB681D"/>
    <w:multiLevelType w:val="multilevel"/>
    <w:tmpl w:val="97FB681D"/>
    <w:lvl w:ilvl="0" w:tentative="0">
      <w:start w:val="1"/>
      <w:numFmt w:val="decimal"/>
      <w:lvlText w:val="25.%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9C5F4B62"/>
    <w:multiLevelType w:val="multilevel"/>
    <w:tmpl w:val="9C5F4B62"/>
    <w:lvl w:ilvl="0" w:tentative="0">
      <w:start w:val="1"/>
      <w:numFmt w:val="decimal"/>
      <w:suff w:val="nothing"/>
      <w:lvlText w:val="%1."/>
      <w:lvlJc w:val="left"/>
      <w:pPr>
        <w:tabs>
          <w:tab w:val="left" w:pos="420"/>
        </w:tabs>
        <w:ind w:left="902" w:hanging="420"/>
      </w:pPr>
      <w:rPr>
        <w:rFonts w:hint="default" w:ascii="宋体" w:hAnsi="宋体" w:eastAsia="宋体"/>
        <w:b w:val="0"/>
        <w:color w:val="auto"/>
        <w:sz w:val="24"/>
        <w:szCs w:val="24"/>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7">
    <w:nsid w:val="A19B6980"/>
    <w:multiLevelType w:val="multilevel"/>
    <w:tmpl w:val="A19B6980"/>
    <w:lvl w:ilvl="0" w:tentative="0">
      <w:start w:val="1"/>
      <w:numFmt w:val="decimal"/>
      <w:lvlText w:val="12.%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ADFE80A9"/>
    <w:multiLevelType w:val="multilevel"/>
    <w:tmpl w:val="ADFE80A9"/>
    <w:lvl w:ilvl="0" w:tentative="0">
      <w:start w:val="1"/>
      <w:numFmt w:val="decimal"/>
      <w:suff w:val="space"/>
      <w:lvlText w:val="2.%1"/>
      <w:lvlJc w:val="left"/>
      <w:pPr>
        <w:tabs>
          <w:tab w:val="left" w:pos="420"/>
        </w:tabs>
        <w:ind w:left="420"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B12B9D01"/>
    <w:multiLevelType w:val="multilevel"/>
    <w:tmpl w:val="B12B9D01"/>
    <w:lvl w:ilvl="0" w:tentative="0">
      <w:start w:val="1"/>
      <w:numFmt w:val="decimal"/>
      <w:suff w:val="space"/>
      <w:lvlText w:val="8.%1"/>
      <w:lvlJc w:val="left"/>
      <w:pPr>
        <w:tabs>
          <w:tab w:val="left" w:pos="420"/>
        </w:tabs>
        <w:ind w:left="420"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BE9980CE"/>
    <w:multiLevelType w:val="multilevel"/>
    <w:tmpl w:val="BE9980CE"/>
    <w:lvl w:ilvl="0" w:tentative="0">
      <w:start w:val="1"/>
      <w:numFmt w:val="decimal"/>
      <w:lvlText w:val="17.%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C34BA289"/>
    <w:multiLevelType w:val="multilevel"/>
    <w:tmpl w:val="C34BA289"/>
    <w:lvl w:ilvl="0" w:tentative="0">
      <w:start w:val="1"/>
      <w:numFmt w:val="decimal"/>
      <w:lvlText w:val="14.%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CD5C3757"/>
    <w:multiLevelType w:val="multilevel"/>
    <w:tmpl w:val="CD5C3757"/>
    <w:lvl w:ilvl="0" w:tentative="0">
      <w:start w:val="1"/>
      <w:numFmt w:val="decimal"/>
      <w:lvlText w:val="24.%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CD88F271"/>
    <w:multiLevelType w:val="multilevel"/>
    <w:tmpl w:val="CD88F271"/>
    <w:lvl w:ilvl="0" w:tentative="0">
      <w:start w:val="1"/>
      <w:numFmt w:val="decimal"/>
      <w:lvlText w:val="%1"/>
      <w:lvlJc w:val="right"/>
      <w:pPr>
        <w:ind w:left="420" w:hanging="136"/>
      </w:pPr>
      <w:rPr>
        <w:rFonts w:hint="eastAsia"/>
        <w:b w:val="0"/>
        <w:i w:val="0"/>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CDC31D64"/>
    <w:multiLevelType w:val="multilevel"/>
    <w:tmpl w:val="CDC31D64"/>
    <w:lvl w:ilvl="0" w:tentative="0">
      <w:start w:val="1"/>
      <w:numFmt w:val="decimal"/>
      <w:lvlText w:val="38.%1"/>
      <w:lvlJc w:val="left"/>
      <w:pPr>
        <w:ind w:left="420"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D19FA298"/>
    <w:multiLevelType w:val="multilevel"/>
    <w:tmpl w:val="D19FA298"/>
    <w:lvl w:ilvl="0" w:tentative="0">
      <w:start w:val="1"/>
      <w:numFmt w:val="decimal"/>
      <w:lvlText w:val="3.%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D1CA9CFC"/>
    <w:multiLevelType w:val="multilevel"/>
    <w:tmpl w:val="D1CA9CFC"/>
    <w:lvl w:ilvl="0" w:tentative="0">
      <w:start w:val="1"/>
      <w:numFmt w:val="decimal"/>
      <w:suff w:val="space"/>
      <w:lvlText w:val="7.%1"/>
      <w:lvlJc w:val="left"/>
      <w:pPr>
        <w:tabs>
          <w:tab w:val="left" w:pos="420"/>
        </w:tabs>
        <w:ind w:left="420"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D5522B63"/>
    <w:multiLevelType w:val="multilevel"/>
    <w:tmpl w:val="D5522B63"/>
    <w:lvl w:ilvl="0" w:tentative="0">
      <w:start w:val="1"/>
      <w:numFmt w:val="decimal"/>
      <w:suff w:val="space"/>
      <w:lvlText w:val="6.%1"/>
      <w:lvlJc w:val="left"/>
      <w:pPr>
        <w:tabs>
          <w:tab w:val="left" w:pos="420"/>
        </w:tabs>
        <w:ind w:left="420"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D846646B"/>
    <w:multiLevelType w:val="multilevel"/>
    <w:tmpl w:val="D846646B"/>
    <w:lvl w:ilvl="0" w:tentative="0">
      <w:start w:val="1"/>
      <w:numFmt w:val="decimal"/>
      <w:lvlText w:val="41.%1"/>
      <w:lvlJc w:val="left"/>
      <w:pPr>
        <w:ind w:left="420"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E1E95C70"/>
    <w:multiLevelType w:val="multilevel"/>
    <w:tmpl w:val="E1E95C70"/>
    <w:lvl w:ilvl="0" w:tentative="0">
      <w:start w:val="1"/>
      <w:numFmt w:val="decimal"/>
      <w:lvlText w:val="30.%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E25C67D6"/>
    <w:multiLevelType w:val="multilevel"/>
    <w:tmpl w:val="E25C67D6"/>
    <w:lvl w:ilvl="0" w:tentative="0">
      <w:start w:val="1"/>
      <w:numFmt w:val="decimal"/>
      <w:suff w:val="space"/>
      <w:lvlText w:val="10.%1"/>
      <w:lvlJc w:val="left"/>
      <w:pPr>
        <w:tabs>
          <w:tab w:val="left" w:pos="420"/>
        </w:tabs>
        <w:ind w:left="420" w:hanging="420"/>
      </w:pPr>
      <w:rPr>
        <w:rFonts w:hint="default" w:ascii="宋体" w:hAnsi="宋体" w:eastAsia="宋体" w:cs="宋体"/>
        <w:b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E3674F76"/>
    <w:multiLevelType w:val="multilevel"/>
    <w:tmpl w:val="E3674F76"/>
    <w:lvl w:ilvl="0" w:tentative="0">
      <w:start w:val="1"/>
      <w:numFmt w:val="decimal"/>
      <w:lvlText w:val="13.%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E5763B74"/>
    <w:multiLevelType w:val="multilevel"/>
    <w:tmpl w:val="E5763B74"/>
    <w:lvl w:ilvl="0" w:tentative="0">
      <w:start w:val="1"/>
      <w:numFmt w:val="decimal"/>
      <w:lvlText w:val="28.%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EDD531A3"/>
    <w:multiLevelType w:val="multilevel"/>
    <w:tmpl w:val="EDD531A3"/>
    <w:lvl w:ilvl="0" w:tentative="0">
      <w:start w:val="1"/>
      <w:numFmt w:val="decimal"/>
      <w:lvlText w:val="%1"/>
      <w:lvlJc w:val="right"/>
      <w:pPr>
        <w:ind w:left="420" w:hanging="136"/>
      </w:pPr>
      <w:rPr>
        <w:rFonts w:hint="eastAsia"/>
        <w:b w:val="0"/>
        <w:i w:val="0"/>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F5180CC5"/>
    <w:multiLevelType w:val="multilevel"/>
    <w:tmpl w:val="F5180CC5"/>
    <w:lvl w:ilvl="0" w:tentative="0">
      <w:start w:val="1"/>
      <w:numFmt w:val="decimal"/>
      <w:suff w:val="nothing"/>
      <w:lvlText w:val="%1."/>
      <w:lvlJc w:val="left"/>
      <w:pPr>
        <w:tabs>
          <w:tab w:val="left" w:pos="420"/>
        </w:tabs>
        <w:ind w:left="902" w:hanging="420"/>
      </w:pPr>
      <w:rPr>
        <w:rFonts w:hint="default" w:ascii="宋体" w:hAnsi="宋体" w:eastAsia="宋体"/>
        <w:b w:val="0"/>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5">
    <w:nsid w:val="F8F396BA"/>
    <w:multiLevelType w:val="multilevel"/>
    <w:tmpl w:val="F8F396BA"/>
    <w:lvl w:ilvl="0" w:tentative="0">
      <w:start w:val="1"/>
      <w:numFmt w:val="decimal"/>
      <w:suff w:val="space"/>
      <w:lvlText w:val="5.%1"/>
      <w:lvlJc w:val="left"/>
      <w:pPr>
        <w:tabs>
          <w:tab w:val="left" w:pos="420"/>
        </w:tabs>
        <w:ind w:left="420"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FCE33EAC"/>
    <w:multiLevelType w:val="multilevel"/>
    <w:tmpl w:val="FCE33EAC"/>
    <w:lvl w:ilvl="0" w:tentative="0">
      <w:start w:val="1"/>
      <w:numFmt w:val="decimal"/>
      <w:suff w:val="space"/>
      <w:lvlText w:val="2.%1"/>
      <w:lvlJc w:val="left"/>
      <w:pPr>
        <w:tabs>
          <w:tab w:val="left" w:pos="420"/>
        </w:tabs>
        <w:ind w:left="704" w:hanging="420"/>
      </w:pPr>
      <w:rPr>
        <w:rFonts w:hint="default" w:ascii="宋体" w:hAnsi="宋体" w:eastAsia="宋体" w:cs="宋体"/>
        <w:b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03226416"/>
    <w:multiLevelType w:val="multilevel"/>
    <w:tmpl w:val="03226416"/>
    <w:lvl w:ilvl="0" w:tentative="0">
      <w:start w:val="1"/>
      <w:numFmt w:val="chineseCountingThousand"/>
      <w:lvlText w:val="%1、"/>
      <w:lvlJc w:val="left"/>
      <w:pPr>
        <w:ind w:left="420" w:hanging="420"/>
      </w:pPr>
      <w:rPr>
        <w:rFonts w:hint="eastAsia" w:ascii="宋体" w:hAnsi="宋体" w:eastAsia="宋体" w:cs="宋体"/>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038000C8"/>
    <w:multiLevelType w:val="multilevel"/>
    <w:tmpl w:val="038000C8"/>
    <w:lvl w:ilvl="0" w:tentative="0">
      <w:start w:val="1"/>
      <w:numFmt w:val="decimal"/>
      <w:lvlText w:val="%1"/>
      <w:lvlJc w:val="center"/>
      <w:pPr>
        <w:ind w:left="420" w:hanging="420"/>
      </w:pPr>
      <w:rPr>
        <w:rFonts w:hint="eastAsia"/>
        <w:b w:val="0"/>
        <w:i w:val="0"/>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058E3E14"/>
    <w:multiLevelType w:val="multilevel"/>
    <w:tmpl w:val="058E3E14"/>
    <w:lvl w:ilvl="0" w:tentative="0">
      <w:start w:val="1"/>
      <w:numFmt w:val="decimal"/>
      <w:lvlText w:val="%1."/>
      <w:lvlJc w:val="left"/>
      <w:pPr>
        <w:ind w:left="902" w:hanging="420"/>
      </w:pPr>
      <w:rPr>
        <w:rFonts w:hint="default" w:ascii="宋体" w:hAnsi="宋体" w:eastAsia="宋体"/>
        <w:b w:val="0"/>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30">
    <w:nsid w:val="0A0171EC"/>
    <w:multiLevelType w:val="multilevel"/>
    <w:tmpl w:val="0A0171EC"/>
    <w:lvl w:ilvl="0" w:tentative="0">
      <w:start w:val="1"/>
      <w:numFmt w:val="chineseCountingThousand"/>
      <w:lvlText w:val="%1、"/>
      <w:lvlJc w:val="left"/>
      <w:pPr>
        <w:ind w:left="420" w:hanging="420"/>
      </w:pPr>
      <w:rPr>
        <w:rFonts w:hint="eastAsia"/>
        <w:b/>
        <w:strike w:val="0"/>
        <w:color w:val="auto"/>
        <w:sz w:val="24"/>
        <w:szCs w:val="24"/>
      </w:rPr>
    </w:lvl>
    <w:lvl w:ilvl="1" w:tentative="0">
      <w:start w:val="1"/>
      <w:numFmt w:val="lowerLetter"/>
      <w:lvlText w:val="%2)"/>
      <w:lvlJc w:val="left"/>
      <w:pPr>
        <w:ind w:left="1124" w:hanging="420"/>
      </w:pPr>
      <w:rPr>
        <w:rFonts w:hint="eastAsia"/>
      </w:rPr>
    </w:lvl>
    <w:lvl w:ilvl="2" w:tentative="0">
      <w:start w:val="1"/>
      <w:numFmt w:val="lowerRoman"/>
      <w:lvlText w:val="%3."/>
      <w:lvlJc w:val="right"/>
      <w:pPr>
        <w:ind w:left="1544" w:hanging="420"/>
      </w:pPr>
      <w:rPr>
        <w:rFonts w:hint="eastAsia"/>
      </w:rPr>
    </w:lvl>
    <w:lvl w:ilvl="3" w:tentative="0">
      <w:start w:val="1"/>
      <w:numFmt w:val="decimal"/>
      <w:lvlText w:val="%4."/>
      <w:lvlJc w:val="left"/>
      <w:pPr>
        <w:ind w:left="1964" w:hanging="420"/>
      </w:pPr>
      <w:rPr>
        <w:rFonts w:hint="eastAsia"/>
      </w:rPr>
    </w:lvl>
    <w:lvl w:ilvl="4" w:tentative="0">
      <w:start w:val="1"/>
      <w:numFmt w:val="lowerLetter"/>
      <w:lvlText w:val="%5)"/>
      <w:lvlJc w:val="left"/>
      <w:pPr>
        <w:ind w:left="2384" w:hanging="420"/>
      </w:pPr>
      <w:rPr>
        <w:rFonts w:hint="eastAsia"/>
      </w:rPr>
    </w:lvl>
    <w:lvl w:ilvl="5" w:tentative="0">
      <w:start w:val="1"/>
      <w:numFmt w:val="lowerRoman"/>
      <w:lvlText w:val="%6."/>
      <w:lvlJc w:val="right"/>
      <w:pPr>
        <w:ind w:left="2804" w:hanging="420"/>
      </w:pPr>
      <w:rPr>
        <w:rFonts w:hint="eastAsia"/>
      </w:rPr>
    </w:lvl>
    <w:lvl w:ilvl="6" w:tentative="0">
      <w:start w:val="1"/>
      <w:numFmt w:val="decimal"/>
      <w:lvlText w:val="%7."/>
      <w:lvlJc w:val="left"/>
      <w:pPr>
        <w:ind w:left="3224" w:hanging="420"/>
      </w:pPr>
      <w:rPr>
        <w:rFonts w:hint="eastAsia"/>
      </w:rPr>
    </w:lvl>
    <w:lvl w:ilvl="7" w:tentative="0">
      <w:start w:val="1"/>
      <w:numFmt w:val="lowerLetter"/>
      <w:lvlText w:val="%8)"/>
      <w:lvlJc w:val="left"/>
      <w:pPr>
        <w:ind w:left="3644" w:hanging="420"/>
      </w:pPr>
      <w:rPr>
        <w:rFonts w:hint="eastAsia"/>
      </w:rPr>
    </w:lvl>
    <w:lvl w:ilvl="8" w:tentative="0">
      <w:start w:val="1"/>
      <w:numFmt w:val="lowerRoman"/>
      <w:lvlText w:val="%9."/>
      <w:lvlJc w:val="right"/>
      <w:pPr>
        <w:ind w:left="4064" w:hanging="420"/>
      </w:pPr>
      <w:rPr>
        <w:rFonts w:hint="eastAsia"/>
      </w:rPr>
    </w:lvl>
  </w:abstractNum>
  <w:abstractNum w:abstractNumId="31">
    <w:nsid w:val="0CE1425E"/>
    <w:multiLevelType w:val="multilevel"/>
    <w:tmpl w:val="0CE1425E"/>
    <w:lvl w:ilvl="0" w:tentative="0">
      <w:start w:val="1"/>
      <w:numFmt w:val="decimal"/>
      <w:lvlText w:val="2.%1"/>
      <w:lvlJc w:val="left"/>
      <w:pPr>
        <w:ind w:left="988" w:hanging="420"/>
      </w:pPr>
      <w:rPr>
        <w:rFonts w:hint="default" w:ascii="宋体" w:hAnsi="宋体" w:eastAsia="宋体" w:cs="宋体"/>
        <w:b/>
        <w:caps w:val="0"/>
        <w:strike w:val="0"/>
        <w:dstrike w:val="0"/>
        <w:vanish w:val="0"/>
        <w:color w:val="auto"/>
        <w:sz w:val="24"/>
        <w:szCs w:val="24"/>
        <w:vertAlign w:val="baseline"/>
        <w:lang w:val="en-US"/>
      </w:r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32">
    <w:nsid w:val="0D07917C"/>
    <w:multiLevelType w:val="multilevel"/>
    <w:tmpl w:val="0D07917C"/>
    <w:lvl w:ilvl="0" w:tentative="0">
      <w:start w:val="1"/>
      <w:numFmt w:val="decimal"/>
      <w:lvlText w:val="26.%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10B34F8D"/>
    <w:multiLevelType w:val="multilevel"/>
    <w:tmpl w:val="10B34F8D"/>
    <w:lvl w:ilvl="0" w:tentative="0">
      <w:start w:val="1"/>
      <w:numFmt w:val="decimal"/>
      <w:lvlText w:val="2.%1"/>
      <w:lvlJc w:val="left"/>
      <w:pPr>
        <w:ind w:left="372" w:hanging="420"/>
      </w:pPr>
      <w:rPr>
        <w:rFonts w:hint="eastAsia" w:ascii="宋体" w:hAnsi="宋体" w:eastAsia="宋体" w:cs="宋体"/>
        <w:b w:val="0"/>
        <w:color w:val="auto"/>
        <w:sz w:val="24"/>
        <w:szCs w:val="24"/>
      </w:rPr>
    </w:lvl>
    <w:lvl w:ilvl="1" w:tentative="0">
      <w:start w:val="1"/>
      <w:numFmt w:val="lowerLetter"/>
      <w:lvlText w:val="%2)"/>
      <w:lvlJc w:val="left"/>
      <w:pPr>
        <w:ind w:left="792" w:hanging="420"/>
      </w:pPr>
    </w:lvl>
    <w:lvl w:ilvl="2" w:tentative="0">
      <w:start w:val="1"/>
      <w:numFmt w:val="lowerRoman"/>
      <w:lvlText w:val="%3."/>
      <w:lvlJc w:val="right"/>
      <w:pPr>
        <w:ind w:left="1212" w:hanging="420"/>
      </w:pPr>
    </w:lvl>
    <w:lvl w:ilvl="3" w:tentative="0">
      <w:start w:val="1"/>
      <w:numFmt w:val="decimal"/>
      <w:lvlText w:val="%4."/>
      <w:lvlJc w:val="left"/>
      <w:pPr>
        <w:ind w:left="1632" w:hanging="420"/>
      </w:pPr>
    </w:lvl>
    <w:lvl w:ilvl="4" w:tentative="0">
      <w:start w:val="1"/>
      <w:numFmt w:val="lowerLetter"/>
      <w:lvlText w:val="%5)"/>
      <w:lvlJc w:val="left"/>
      <w:pPr>
        <w:ind w:left="2052" w:hanging="420"/>
      </w:pPr>
    </w:lvl>
    <w:lvl w:ilvl="5" w:tentative="0">
      <w:start w:val="1"/>
      <w:numFmt w:val="lowerRoman"/>
      <w:lvlText w:val="%6."/>
      <w:lvlJc w:val="right"/>
      <w:pPr>
        <w:ind w:left="2472" w:hanging="420"/>
      </w:pPr>
    </w:lvl>
    <w:lvl w:ilvl="6" w:tentative="0">
      <w:start w:val="1"/>
      <w:numFmt w:val="decimal"/>
      <w:lvlText w:val="%7."/>
      <w:lvlJc w:val="left"/>
      <w:pPr>
        <w:ind w:left="2892" w:hanging="420"/>
      </w:pPr>
    </w:lvl>
    <w:lvl w:ilvl="7" w:tentative="0">
      <w:start w:val="1"/>
      <w:numFmt w:val="lowerLetter"/>
      <w:lvlText w:val="%8)"/>
      <w:lvlJc w:val="left"/>
      <w:pPr>
        <w:ind w:left="3312" w:hanging="420"/>
      </w:pPr>
    </w:lvl>
    <w:lvl w:ilvl="8" w:tentative="0">
      <w:start w:val="1"/>
      <w:numFmt w:val="lowerRoman"/>
      <w:lvlText w:val="%9."/>
      <w:lvlJc w:val="right"/>
      <w:pPr>
        <w:ind w:left="3732" w:hanging="420"/>
      </w:pPr>
    </w:lvl>
  </w:abstractNum>
  <w:abstractNum w:abstractNumId="34">
    <w:nsid w:val="128C46AF"/>
    <w:multiLevelType w:val="multilevel"/>
    <w:tmpl w:val="128C46AF"/>
    <w:lvl w:ilvl="0" w:tentative="0">
      <w:start w:val="1"/>
      <w:numFmt w:val="decimal"/>
      <w:lvlText w:val="%1."/>
      <w:lvlJc w:val="left"/>
      <w:pPr>
        <w:ind w:left="420" w:hanging="420"/>
      </w:pPr>
      <w:rPr>
        <w:rFonts w:hint="default"/>
        <w:strike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132D68A0"/>
    <w:multiLevelType w:val="multilevel"/>
    <w:tmpl w:val="132D68A0"/>
    <w:lvl w:ilvl="0" w:tentative="0">
      <w:start w:val="1"/>
      <w:numFmt w:val="decimal"/>
      <w:lvlText w:val="%1"/>
      <w:lvlJc w:val="center"/>
      <w:pPr>
        <w:ind w:left="420" w:hanging="420"/>
      </w:pPr>
      <w:rPr>
        <w:rFonts w:hint="eastAsia"/>
        <w:b w:val="0"/>
        <w:i w:val="0"/>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1433242D"/>
    <w:multiLevelType w:val="multilevel"/>
    <w:tmpl w:val="1433242D"/>
    <w:lvl w:ilvl="0" w:tentative="0">
      <w:start w:val="1"/>
      <w:numFmt w:val="decimal"/>
      <w:lvlText w:val="%1）"/>
      <w:lvlJc w:val="left"/>
      <w:pPr>
        <w:ind w:left="906" w:hanging="420"/>
      </w:pPr>
      <w:rPr>
        <w:rFonts w:hint="eastAsia"/>
      </w:rPr>
    </w:lvl>
    <w:lvl w:ilvl="1" w:tentative="0">
      <w:start w:val="1"/>
      <w:numFmt w:val="lowerLetter"/>
      <w:lvlText w:val="%2)"/>
      <w:lvlJc w:val="left"/>
      <w:pPr>
        <w:ind w:left="1326" w:hanging="420"/>
      </w:pPr>
    </w:lvl>
    <w:lvl w:ilvl="2" w:tentative="0">
      <w:start w:val="1"/>
      <w:numFmt w:val="lowerRoman"/>
      <w:lvlText w:val="%3."/>
      <w:lvlJc w:val="right"/>
      <w:pPr>
        <w:ind w:left="1746" w:hanging="420"/>
      </w:pPr>
    </w:lvl>
    <w:lvl w:ilvl="3" w:tentative="0">
      <w:start w:val="1"/>
      <w:numFmt w:val="decimal"/>
      <w:lvlText w:val="%4."/>
      <w:lvlJc w:val="left"/>
      <w:pPr>
        <w:ind w:left="2166" w:hanging="420"/>
      </w:pPr>
    </w:lvl>
    <w:lvl w:ilvl="4" w:tentative="0">
      <w:start w:val="1"/>
      <w:numFmt w:val="lowerLetter"/>
      <w:lvlText w:val="%5)"/>
      <w:lvlJc w:val="left"/>
      <w:pPr>
        <w:ind w:left="2586" w:hanging="420"/>
      </w:pPr>
    </w:lvl>
    <w:lvl w:ilvl="5" w:tentative="0">
      <w:start w:val="1"/>
      <w:numFmt w:val="lowerRoman"/>
      <w:lvlText w:val="%6."/>
      <w:lvlJc w:val="right"/>
      <w:pPr>
        <w:ind w:left="3006" w:hanging="420"/>
      </w:pPr>
    </w:lvl>
    <w:lvl w:ilvl="6" w:tentative="0">
      <w:start w:val="1"/>
      <w:numFmt w:val="decimal"/>
      <w:lvlText w:val="%7."/>
      <w:lvlJc w:val="left"/>
      <w:pPr>
        <w:ind w:left="3426" w:hanging="420"/>
      </w:pPr>
    </w:lvl>
    <w:lvl w:ilvl="7" w:tentative="0">
      <w:start w:val="1"/>
      <w:numFmt w:val="lowerLetter"/>
      <w:lvlText w:val="%8)"/>
      <w:lvlJc w:val="left"/>
      <w:pPr>
        <w:ind w:left="3846" w:hanging="420"/>
      </w:pPr>
    </w:lvl>
    <w:lvl w:ilvl="8" w:tentative="0">
      <w:start w:val="1"/>
      <w:numFmt w:val="lowerRoman"/>
      <w:lvlText w:val="%9."/>
      <w:lvlJc w:val="right"/>
      <w:pPr>
        <w:ind w:left="4266" w:hanging="420"/>
      </w:pPr>
    </w:lvl>
  </w:abstractNum>
  <w:abstractNum w:abstractNumId="37">
    <w:nsid w:val="153A09A1"/>
    <w:multiLevelType w:val="multilevel"/>
    <w:tmpl w:val="153A09A1"/>
    <w:lvl w:ilvl="0" w:tentative="0">
      <w:start w:val="1"/>
      <w:numFmt w:val="decimal"/>
      <w:lvlText w:val="27.%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1636573F"/>
    <w:multiLevelType w:val="multilevel"/>
    <w:tmpl w:val="1636573F"/>
    <w:lvl w:ilvl="0" w:tentative="0">
      <w:start w:val="1"/>
      <w:numFmt w:val="decimal"/>
      <w:lvlText w:val="2.%1"/>
      <w:lvlJc w:val="left"/>
      <w:pPr>
        <w:ind w:left="420" w:hanging="420"/>
      </w:pPr>
      <w:rPr>
        <w:rFonts w:hint="default" w:ascii="宋体" w:hAnsi="宋体" w:eastAsia="宋体" w:cs="宋体"/>
        <w:b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16505C31"/>
    <w:multiLevelType w:val="multilevel"/>
    <w:tmpl w:val="16505C31"/>
    <w:lvl w:ilvl="0" w:tentative="0">
      <w:start w:val="1"/>
      <w:numFmt w:val="decimal"/>
      <w:lvlText w:val="18.%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16DA66E0"/>
    <w:multiLevelType w:val="multilevel"/>
    <w:tmpl w:val="16DA66E0"/>
    <w:lvl w:ilvl="0" w:tentative="0">
      <w:start w:val="1"/>
      <w:numFmt w:val="decimal"/>
      <w:lvlText w:val="%1"/>
      <w:lvlJc w:val="center"/>
      <w:pPr>
        <w:ind w:left="704" w:hanging="420"/>
      </w:pPr>
      <w:rPr>
        <w:rFonts w:hint="eastAsia"/>
        <w:b w:val="0"/>
        <w:i w:val="0"/>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1A130721"/>
    <w:multiLevelType w:val="multilevel"/>
    <w:tmpl w:val="1A13072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1CE5A036"/>
    <w:multiLevelType w:val="multilevel"/>
    <w:tmpl w:val="1CE5A036"/>
    <w:lvl w:ilvl="0" w:tentative="0">
      <w:start w:val="1"/>
      <w:numFmt w:val="decimal"/>
      <w:lvlText w:val="15.%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1F7B6D51"/>
    <w:multiLevelType w:val="multilevel"/>
    <w:tmpl w:val="1F7B6D51"/>
    <w:lvl w:ilvl="0" w:tentative="0">
      <w:start w:val="1"/>
      <w:numFmt w:val="decimal"/>
      <w:lvlText w:val="1.%1"/>
      <w:lvlJc w:val="left"/>
      <w:pPr>
        <w:ind w:left="420" w:hanging="420"/>
      </w:pPr>
      <w:rPr>
        <w:rFonts w:hint="default" w:ascii="宋体" w:hAnsi="宋体" w:eastAsia="宋体" w:cs="宋体"/>
        <w:b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21C23901"/>
    <w:multiLevelType w:val="multilevel"/>
    <w:tmpl w:val="21C23901"/>
    <w:lvl w:ilvl="0" w:tentative="0">
      <w:start w:val="1"/>
      <w:numFmt w:val="decimal"/>
      <w:lvlText w:val="6.%1"/>
      <w:lvlJc w:val="left"/>
      <w:pPr>
        <w:ind w:left="420" w:hanging="420"/>
      </w:pPr>
      <w:rPr>
        <w:rFonts w:hint="default" w:ascii="宋体" w:hAnsi="宋体" w:eastAsia="宋体" w:cs="宋体"/>
        <w:strike w:val="0"/>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2338450D"/>
    <w:multiLevelType w:val="multilevel"/>
    <w:tmpl w:val="2338450D"/>
    <w:lvl w:ilvl="0" w:tentative="0">
      <w:start w:val="1"/>
      <w:numFmt w:val="decimal"/>
      <w:lvlText w:val="5.%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23F07DF7"/>
    <w:multiLevelType w:val="multilevel"/>
    <w:tmpl w:val="23F07DF7"/>
    <w:lvl w:ilvl="0" w:tentative="0">
      <w:start w:val="1"/>
      <w:numFmt w:val="decimal"/>
      <w:lvlText w:val="%1"/>
      <w:lvlJc w:val="right"/>
      <w:pPr>
        <w:ind w:left="420" w:hanging="136"/>
      </w:pPr>
      <w:rPr>
        <w:rFonts w:hint="eastAsia"/>
        <w:b w:val="0"/>
        <w:i w:val="0"/>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253A1E5D"/>
    <w:multiLevelType w:val="multilevel"/>
    <w:tmpl w:val="253A1E5D"/>
    <w:lvl w:ilvl="0" w:tentative="0">
      <w:start w:val="1"/>
      <w:numFmt w:val="decimal"/>
      <w:lvlText w:val="9.%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8">
    <w:nsid w:val="2BDBD41B"/>
    <w:multiLevelType w:val="multilevel"/>
    <w:tmpl w:val="2BDBD41B"/>
    <w:lvl w:ilvl="0" w:tentative="0">
      <w:start w:val="1"/>
      <w:numFmt w:val="decimal"/>
      <w:lvlText w:val="19.%1 "/>
      <w:lvlJc w:val="left"/>
      <w:pPr>
        <w:ind w:left="1697" w:hanging="420"/>
      </w:pPr>
      <w:rPr>
        <w:rFonts w:hint="default" w:asciiTheme="minorEastAsia" w:hAnsiTheme="minorEastAsia" w:eastAsiaTheme="minorEastAsia"/>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9">
    <w:nsid w:val="2E825AFA"/>
    <w:multiLevelType w:val="multilevel"/>
    <w:tmpl w:val="2E825AFA"/>
    <w:lvl w:ilvl="0" w:tentative="0">
      <w:start w:val="1"/>
      <w:numFmt w:val="decimal"/>
      <w:lvlText w:val="3.%1"/>
      <w:lvlJc w:val="left"/>
      <w:pPr>
        <w:ind w:left="420" w:hanging="420"/>
      </w:pPr>
      <w:rPr>
        <w:rFonts w:hint="default" w:ascii="宋体" w:hAnsi="宋体" w:eastAsia="宋体" w:cs="宋体"/>
        <w:b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0">
    <w:nsid w:val="30140915"/>
    <w:multiLevelType w:val="multilevel"/>
    <w:tmpl w:val="30140915"/>
    <w:lvl w:ilvl="0" w:tentative="0">
      <w:start w:val="1"/>
      <w:numFmt w:val="decimal"/>
      <w:lvlText w:val="16.%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35442C9F"/>
    <w:multiLevelType w:val="multilevel"/>
    <w:tmpl w:val="35442C9F"/>
    <w:lvl w:ilvl="0" w:tentative="0">
      <w:start w:val="1"/>
      <w:numFmt w:val="decimal"/>
      <w:lvlText w:val="2.%1"/>
      <w:lvlJc w:val="left"/>
      <w:pPr>
        <w:ind w:left="988" w:hanging="420"/>
      </w:pPr>
      <w:rPr>
        <w:rFonts w:hint="default" w:ascii="宋体" w:hAnsi="宋体" w:eastAsia="宋体" w:cs="宋体"/>
        <w:b w:val="0"/>
        <w:caps w:val="0"/>
        <w:strike w:val="0"/>
        <w:dstrike w:val="0"/>
        <w:vanish w:val="0"/>
        <w:color w:val="auto"/>
        <w:sz w:val="24"/>
        <w:szCs w:val="24"/>
        <w:vertAlign w:val="baseline"/>
        <w:lang w:val="en-US"/>
      </w:r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52">
    <w:nsid w:val="36794E28"/>
    <w:multiLevelType w:val="multilevel"/>
    <w:tmpl w:val="36794E28"/>
    <w:lvl w:ilvl="0" w:tentative="0">
      <w:start w:val="1"/>
      <w:numFmt w:val="decimal"/>
      <w:suff w:val="space"/>
      <w:lvlText w:val="4.%1"/>
      <w:lvlJc w:val="left"/>
      <w:pPr>
        <w:tabs>
          <w:tab w:val="left" w:pos="420"/>
        </w:tabs>
        <w:ind w:left="420"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37434FB1"/>
    <w:multiLevelType w:val="multilevel"/>
    <w:tmpl w:val="37434FB1"/>
    <w:lvl w:ilvl="0" w:tentative="0">
      <w:start w:val="1"/>
      <w:numFmt w:val="decimal"/>
      <w:lvlText w:val="%1"/>
      <w:lvlJc w:val="center"/>
      <w:pPr>
        <w:ind w:left="846" w:hanging="420"/>
      </w:pPr>
      <w:rPr>
        <w:rFonts w:hint="eastAsia"/>
        <w:b w:val="0"/>
        <w:i w:val="0"/>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4">
    <w:nsid w:val="376FAD0F"/>
    <w:multiLevelType w:val="multilevel"/>
    <w:tmpl w:val="376FAD0F"/>
    <w:lvl w:ilvl="0" w:tentative="0">
      <w:start w:val="1"/>
      <w:numFmt w:val="decimal"/>
      <w:suff w:val="nothing"/>
      <w:lvlText w:val="%1."/>
      <w:lvlJc w:val="left"/>
      <w:pPr>
        <w:tabs>
          <w:tab w:val="left" w:pos="420"/>
        </w:tabs>
        <w:ind w:left="902" w:hanging="420"/>
      </w:pPr>
      <w:rPr>
        <w:rFonts w:hint="default" w:ascii="宋体" w:hAnsi="宋体" w:eastAsia="宋体"/>
        <w:b w:val="0"/>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55">
    <w:nsid w:val="38453A76"/>
    <w:multiLevelType w:val="multilevel"/>
    <w:tmpl w:val="38453A76"/>
    <w:lvl w:ilvl="0" w:tentative="0">
      <w:start w:val="1"/>
      <w:numFmt w:val="decimal"/>
      <w:lvlText w:val="39.%1"/>
      <w:lvlJc w:val="left"/>
      <w:pPr>
        <w:ind w:left="420"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6">
    <w:nsid w:val="38F606C2"/>
    <w:multiLevelType w:val="multilevel"/>
    <w:tmpl w:val="38F606C2"/>
    <w:lvl w:ilvl="0" w:tentative="0">
      <w:start w:val="1"/>
      <w:numFmt w:val="chineseCountingThousand"/>
      <w:lvlText w:val="%1、"/>
      <w:lvlJc w:val="left"/>
      <w:pPr>
        <w:ind w:left="420" w:hanging="420"/>
      </w:pPr>
      <w:rPr>
        <w:rFonts w:hint="eastAsia"/>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392FD320"/>
    <w:multiLevelType w:val="multilevel"/>
    <w:tmpl w:val="392FD320"/>
    <w:lvl w:ilvl="0" w:tentative="0">
      <w:start w:val="1"/>
      <w:numFmt w:val="decimal"/>
      <w:lvlText w:val="29.%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8">
    <w:nsid w:val="3E5D331F"/>
    <w:multiLevelType w:val="singleLevel"/>
    <w:tmpl w:val="3E5D331F"/>
    <w:lvl w:ilvl="0" w:tentative="0">
      <w:start w:val="1"/>
      <w:numFmt w:val="chineseCountingThousand"/>
      <w:lvlText w:val="%1、"/>
      <w:lvlJc w:val="left"/>
      <w:pPr>
        <w:ind w:left="420" w:hanging="420"/>
      </w:pPr>
      <w:rPr>
        <w:rFonts w:hint="default"/>
        <w:b w:val="0"/>
        <w:bCs/>
        <w:sz w:val="24"/>
        <w:szCs w:val="24"/>
      </w:rPr>
    </w:lvl>
  </w:abstractNum>
  <w:abstractNum w:abstractNumId="59">
    <w:nsid w:val="40AA025A"/>
    <w:multiLevelType w:val="multilevel"/>
    <w:tmpl w:val="40AA025A"/>
    <w:lvl w:ilvl="0" w:tentative="0">
      <w:start w:val="1"/>
      <w:numFmt w:val="decimal"/>
      <w:lvlText w:val="35.%1"/>
      <w:lvlJc w:val="left"/>
      <w:pPr>
        <w:ind w:left="420" w:hanging="420"/>
      </w:pPr>
      <w:rPr>
        <w:rFonts w:hint="default" w:ascii="宋体" w:hAnsi="宋体" w:eastAsia="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0">
    <w:nsid w:val="41D3B4D4"/>
    <w:multiLevelType w:val="multilevel"/>
    <w:tmpl w:val="41D3B4D4"/>
    <w:lvl w:ilvl="0" w:tentative="0">
      <w:start w:val="1"/>
      <w:numFmt w:val="decimal"/>
      <w:suff w:val="space"/>
      <w:lvlText w:val="43.%1"/>
      <w:lvlJc w:val="left"/>
      <w:pPr>
        <w:tabs>
          <w:tab w:val="left" w:pos="420"/>
        </w:tabs>
        <w:ind w:left="562" w:hanging="420"/>
      </w:pPr>
      <w:rPr>
        <w:rFonts w:hint="default" w:ascii="宋体" w:hAnsi="宋体" w:eastAsia="宋体" w:cs="宋体"/>
        <w:b w:val="0"/>
        <w:color w:val="auto"/>
        <w:sz w:val="24"/>
        <w:szCs w:val="24"/>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1">
    <w:nsid w:val="41E4176E"/>
    <w:multiLevelType w:val="multilevel"/>
    <w:tmpl w:val="41E4176E"/>
    <w:lvl w:ilvl="0" w:tentative="0">
      <w:start w:val="1"/>
      <w:numFmt w:val="decimal"/>
      <w:lvlText w:val="36.%1"/>
      <w:lvlJc w:val="left"/>
      <w:pPr>
        <w:ind w:left="420" w:hanging="420"/>
      </w:pPr>
      <w:rPr>
        <w:rFonts w:hint="default" w:ascii="宋体" w:hAnsi="宋体" w:eastAsia="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2">
    <w:nsid w:val="44CD42F1"/>
    <w:multiLevelType w:val="multilevel"/>
    <w:tmpl w:val="44CD42F1"/>
    <w:lvl w:ilvl="0" w:tentative="0">
      <w:start w:val="1"/>
      <w:numFmt w:val="decimal"/>
      <w:suff w:val="nothing"/>
      <w:lvlText w:val="%1."/>
      <w:lvlJc w:val="left"/>
      <w:pPr>
        <w:ind w:left="0" w:leftChars="0" w:firstLine="568" w:firstLineChars="0"/>
      </w:pPr>
      <w:rPr>
        <w:rFonts w:hint="default" w:ascii="宋体" w:hAnsi="宋体" w:eastAsia="宋体"/>
        <w:b w:val="0"/>
        <w:i w:val="0"/>
        <w:strike w:val="0"/>
        <w:color w:val="auto"/>
      </w:r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63">
    <w:nsid w:val="45CC1969"/>
    <w:multiLevelType w:val="multilevel"/>
    <w:tmpl w:val="45CC1969"/>
    <w:lvl w:ilvl="0" w:tentative="0">
      <w:start w:val="1"/>
      <w:numFmt w:val="decimal"/>
      <w:lvlText w:val="23.%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4">
    <w:nsid w:val="4687CD71"/>
    <w:multiLevelType w:val="multilevel"/>
    <w:tmpl w:val="4687CD71"/>
    <w:lvl w:ilvl="0" w:tentative="0">
      <w:start w:val="1"/>
      <w:numFmt w:val="decimal"/>
      <w:lvlText w:val="21.%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5">
    <w:nsid w:val="4E8D3DE0"/>
    <w:multiLevelType w:val="multilevel"/>
    <w:tmpl w:val="4E8D3DE0"/>
    <w:lvl w:ilvl="0" w:tentative="0">
      <w:start w:val="1"/>
      <w:numFmt w:val="chineseCountingThousand"/>
      <w:lvlText w:val="%1、"/>
      <w:lvlJc w:val="left"/>
      <w:pPr>
        <w:ind w:left="420" w:hanging="420"/>
      </w:pPr>
      <w:rPr>
        <w:rFonts w:hint="eastAsia"/>
        <w:b/>
        <w:strike w:val="0"/>
        <w:color w:val="auto"/>
        <w:sz w:val="24"/>
        <w:szCs w:val="24"/>
      </w:rPr>
    </w:lvl>
    <w:lvl w:ilvl="1" w:tentative="0">
      <w:start w:val="1"/>
      <w:numFmt w:val="lowerLetter"/>
      <w:lvlText w:val="%2)"/>
      <w:lvlJc w:val="left"/>
      <w:pPr>
        <w:ind w:left="1124" w:hanging="420"/>
      </w:pPr>
      <w:rPr>
        <w:rFonts w:hint="eastAsia"/>
      </w:rPr>
    </w:lvl>
    <w:lvl w:ilvl="2" w:tentative="0">
      <w:start w:val="1"/>
      <w:numFmt w:val="lowerRoman"/>
      <w:lvlText w:val="%3."/>
      <w:lvlJc w:val="right"/>
      <w:pPr>
        <w:ind w:left="1544" w:hanging="420"/>
      </w:pPr>
      <w:rPr>
        <w:rFonts w:hint="eastAsia"/>
      </w:rPr>
    </w:lvl>
    <w:lvl w:ilvl="3" w:tentative="0">
      <w:start w:val="1"/>
      <w:numFmt w:val="decimal"/>
      <w:lvlText w:val="%4."/>
      <w:lvlJc w:val="left"/>
      <w:pPr>
        <w:ind w:left="1964" w:hanging="420"/>
      </w:pPr>
      <w:rPr>
        <w:rFonts w:hint="eastAsia"/>
      </w:rPr>
    </w:lvl>
    <w:lvl w:ilvl="4" w:tentative="0">
      <w:start w:val="1"/>
      <w:numFmt w:val="lowerLetter"/>
      <w:lvlText w:val="%5)"/>
      <w:lvlJc w:val="left"/>
      <w:pPr>
        <w:ind w:left="2384" w:hanging="420"/>
      </w:pPr>
      <w:rPr>
        <w:rFonts w:hint="eastAsia"/>
      </w:rPr>
    </w:lvl>
    <w:lvl w:ilvl="5" w:tentative="0">
      <w:start w:val="1"/>
      <w:numFmt w:val="lowerRoman"/>
      <w:lvlText w:val="%6."/>
      <w:lvlJc w:val="right"/>
      <w:pPr>
        <w:ind w:left="2804" w:hanging="420"/>
      </w:pPr>
      <w:rPr>
        <w:rFonts w:hint="eastAsia"/>
      </w:rPr>
    </w:lvl>
    <w:lvl w:ilvl="6" w:tentative="0">
      <w:start w:val="1"/>
      <w:numFmt w:val="decimal"/>
      <w:lvlText w:val="%7."/>
      <w:lvlJc w:val="left"/>
      <w:pPr>
        <w:ind w:left="3224" w:hanging="420"/>
      </w:pPr>
      <w:rPr>
        <w:rFonts w:hint="eastAsia"/>
      </w:rPr>
    </w:lvl>
    <w:lvl w:ilvl="7" w:tentative="0">
      <w:start w:val="1"/>
      <w:numFmt w:val="lowerLetter"/>
      <w:lvlText w:val="%8)"/>
      <w:lvlJc w:val="left"/>
      <w:pPr>
        <w:ind w:left="3644" w:hanging="420"/>
      </w:pPr>
      <w:rPr>
        <w:rFonts w:hint="eastAsia"/>
      </w:rPr>
    </w:lvl>
    <w:lvl w:ilvl="8" w:tentative="0">
      <w:start w:val="1"/>
      <w:numFmt w:val="lowerRoman"/>
      <w:lvlText w:val="%9."/>
      <w:lvlJc w:val="right"/>
      <w:pPr>
        <w:ind w:left="4064" w:hanging="420"/>
      </w:pPr>
      <w:rPr>
        <w:rFonts w:hint="eastAsia"/>
      </w:rPr>
    </w:lvl>
  </w:abstractNum>
  <w:abstractNum w:abstractNumId="66">
    <w:nsid w:val="4EAF5455"/>
    <w:multiLevelType w:val="multilevel"/>
    <w:tmpl w:val="4EAF5455"/>
    <w:lvl w:ilvl="0" w:tentative="0">
      <w:start w:val="1"/>
      <w:numFmt w:val="chineseCountingThousand"/>
      <w:lvlText w:val="第%1章 "/>
      <w:lvlJc w:val="left"/>
      <w:pPr>
        <w:ind w:left="4957" w:hanging="420"/>
      </w:pPr>
      <w:rPr>
        <w:rFonts w:hint="eastAsia"/>
        <w:sz w:val="36"/>
        <w:szCs w:val="36"/>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67">
    <w:nsid w:val="4ECE89D1"/>
    <w:multiLevelType w:val="multilevel"/>
    <w:tmpl w:val="4ECE89D1"/>
    <w:lvl w:ilvl="0" w:tentative="0">
      <w:start w:val="1"/>
      <w:numFmt w:val="decimal"/>
      <w:suff w:val="space"/>
      <w:lvlText w:val="3.%1"/>
      <w:lvlJc w:val="left"/>
      <w:pPr>
        <w:tabs>
          <w:tab w:val="left" w:pos="420"/>
        </w:tabs>
        <w:ind w:left="420" w:hanging="420"/>
      </w:pPr>
      <w:rPr>
        <w:rFonts w:hint="default" w:ascii="宋体" w:hAnsi="宋体" w:eastAsia="宋体" w:cs="宋体"/>
        <w:b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8">
    <w:nsid w:val="505F200A"/>
    <w:multiLevelType w:val="multilevel"/>
    <w:tmpl w:val="505F200A"/>
    <w:lvl w:ilvl="0" w:tentative="0">
      <w:start w:val="1"/>
      <w:numFmt w:val="chineseCountingThousand"/>
      <w:lvlText w:val="%1、"/>
      <w:lvlJc w:val="left"/>
      <w:pPr>
        <w:ind w:left="846" w:hanging="420"/>
      </w:pPr>
      <w:rPr>
        <w:rFonts w:hint="eastAsia"/>
        <w:b/>
        <w:caps w:val="0"/>
        <w:strike w:val="0"/>
        <w:dstrike w:val="0"/>
        <w:vanish w:val="0"/>
        <w:color w:val="auto"/>
        <w:vertAlign w:val="baseline"/>
      </w:rPr>
    </w:lvl>
    <w:lvl w:ilvl="1" w:tentative="0">
      <w:start w:val="1"/>
      <w:numFmt w:val="lowerLetter"/>
      <w:lvlText w:val="%2)"/>
      <w:lvlJc w:val="left"/>
      <w:pPr>
        <w:ind w:left="692" w:hanging="420"/>
      </w:pPr>
    </w:lvl>
    <w:lvl w:ilvl="2" w:tentative="0">
      <w:start w:val="1"/>
      <w:numFmt w:val="lowerRoman"/>
      <w:lvlText w:val="%3."/>
      <w:lvlJc w:val="right"/>
      <w:pPr>
        <w:ind w:left="1112" w:hanging="420"/>
      </w:pPr>
    </w:lvl>
    <w:lvl w:ilvl="3" w:tentative="0">
      <w:start w:val="1"/>
      <w:numFmt w:val="decimal"/>
      <w:lvlText w:val="%4."/>
      <w:lvlJc w:val="left"/>
      <w:pPr>
        <w:ind w:left="1532" w:hanging="420"/>
      </w:pPr>
    </w:lvl>
    <w:lvl w:ilvl="4" w:tentative="0">
      <w:start w:val="1"/>
      <w:numFmt w:val="lowerLetter"/>
      <w:lvlText w:val="%5)"/>
      <w:lvlJc w:val="left"/>
      <w:pPr>
        <w:ind w:left="1952" w:hanging="420"/>
      </w:pPr>
    </w:lvl>
    <w:lvl w:ilvl="5" w:tentative="0">
      <w:start w:val="1"/>
      <w:numFmt w:val="lowerRoman"/>
      <w:lvlText w:val="%6."/>
      <w:lvlJc w:val="right"/>
      <w:pPr>
        <w:ind w:left="2372" w:hanging="420"/>
      </w:pPr>
    </w:lvl>
    <w:lvl w:ilvl="6" w:tentative="0">
      <w:start w:val="1"/>
      <w:numFmt w:val="decimal"/>
      <w:lvlText w:val="%7."/>
      <w:lvlJc w:val="left"/>
      <w:pPr>
        <w:ind w:left="2792" w:hanging="420"/>
      </w:pPr>
    </w:lvl>
    <w:lvl w:ilvl="7" w:tentative="0">
      <w:start w:val="1"/>
      <w:numFmt w:val="lowerLetter"/>
      <w:lvlText w:val="%8)"/>
      <w:lvlJc w:val="left"/>
      <w:pPr>
        <w:ind w:left="3212" w:hanging="420"/>
      </w:pPr>
    </w:lvl>
    <w:lvl w:ilvl="8" w:tentative="0">
      <w:start w:val="1"/>
      <w:numFmt w:val="lowerRoman"/>
      <w:lvlText w:val="%9."/>
      <w:lvlJc w:val="right"/>
      <w:pPr>
        <w:ind w:left="3632" w:hanging="420"/>
      </w:pPr>
    </w:lvl>
  </w:abstractNum>
  <w:abstractNum w:abstractNumId="69">
    <w:nsid w:val="577C0B87"/>
    <w:multiLevelType w:val="multilevel"/>
    <w:tmpl w:val="577C0B87"/>
    <w:lvl w:ilvl="0" w:tentative="0">
      <w:start w:val="1"/>
      <w:numFmt w:val="chineseCountingThousand"/>
      <w:lvlText w:val="%1、"/>
      <w:lvlJc w:val="left"/>
      <w:pPr>
        <w:ind w:left="420" w:hanging="420"/>
      </w:pPr>
      <w:rPr>
        <w:rFonts w:hint="eastAsia"/>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0">
    <w:nsid w:val="57EC4B70"/>
    <w:multiLevelType w:val="multilevel"/>
    <w:tmpl w:val="57EC4B70"/>
    <w:lvl w:ilvl="0" w:tentative="0">
      <w:start w:val="1"/>
      <w:numFmt w:val="decimal"/>
      <w:lvlText w:val="%1."/>
      <w:lvlJc w:val="left"/>
      <w:pPr>
        <w:ind w:left="420" w:hanging="420"/>
      </w:pPr>
      <w:rPr>
        <w:rFonts w:hint="default"/>
        <w:strike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1">
    <w:nsid w:val="5AC6264A"/>
    <w:multiLevelType w:val="multilevel"/>
    <w:tmpl w:val="5AC6264A"/>
    <w:lvl w:ilvl="0" w:tentative="0">
      <w:start w:val="1"/>
      <w:numFmt w:val="decimal"/>
      <w:lvlText w:val="%1."/>
      <w:lvlJc w:val="left"/>
      <w:pPr>
        <w:ind w:left="902" w:hanging="420"/>
      </w:pPr>
      <w:rPr>
        <w:rFonts w:hint="default" w:ascii="宋体" w:hAnsi="宋体" w:eastAsia="宋体"/>
        <w:b w:val="0"/>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72">
    <w:nsid w:val="5E7448BA"/>
    <w:multiLevelType w:val="multilevel"/>
    <w:tmpl w:val="5E7448BA"/>
    <w:lvl w:ilvl="0" w:tentative="0">
      <w:start w:val="1"/>
      <w:numFmt w:val="chineseCountingThousand"/>
      <w:lvlText w:val="附件%1："/>
      <w:lvlJc w:val="left"/>
      <w:pPr>
        <w:ind w:left="420" w:hanging="420"/>
      </w:pPr>
      <w:rPr>
        <w:rFonts w:hint="eastAsia"/>
        <w:sz w:val="32"/>
        <w:szCs w:val="3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3">
    <w:nsid w:val="5F0B61C6"/>
    <w:multiLevelType w:val="multilevel"/>
    <w:tmpl w:val="5F0B61C6"/>
    <w:lvl w:ilvl="0" w:tentative="0">
      <w:start w:val="1"/>
      <w:numFmt w:val="decimal"/>
      <w:lvlText w:val="1.%1"/>
      <w:lvlJc w:val="left"/>
      <w:pPr>
        <w:ind w:left="420" w:hanging="420"/>
      </w:pPr>
      <w:rPr>
        <w:rFonts w:hint="default" w:ascii="宋体" w:hAnsi="宋体" w:eastAsia="宋体" w:cs="宋体"/>
        <w:b w:val="0"/>
        <w:i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4">
    <w:nsid w:val="61D74F1B"/>
    <w:multiLevelType w:val="multilevel"/>
    <w:tmpl w:val="61D74F1B"/>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5">
    <w:nsid w:val="61F95093"/>
    <w:multiLevelType w:val="multilevel"/>
    <w:tmpl w:val="61F95093"/>
    <w:lvl w:ilvl="0" w:tentative="0">
      <w:start w:val="1"/>
      <w:numFmt w:val="decimal"/>
      <w:lvlText w:val="34.%1"/>
      <w:lvlJc w:val="left"/>
      <w:pPr>
        <w:ind w:left="420" w:hanging="420"/>
      </w:pPr>
      <w:rPr>
        <w:rFonts w:hint="default" w:ascii="宋体" w:hAnsi="宋体" w:eastAsia="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6">
    <w:nsid w:val="630C18EE"/>
    <w:multiLevelType w:val="multilevel"/>
    <w:tmpl w:val="630C18EE"/>
    <w:lvl w:ilvl="0" w:tentative="0">
      <w:start w:val="1"/>
      <w:numFmt w:val="decimal"/>
      <w:lvlText w:val="%1"/>
      <w:lvlJc w:val="center"/>
      <w:pPr>
        <w:ind w:left="420" w:hanging="420"/>
      </w:pPr>
      <w:rPr>
        <w:rFonts w:hint="eastAsia"/>
        <w:b w:val="0"/>
        <w:i w:val="0"/>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7">
    <w:nsid w:val="6CA51B1C"/>
    <w:multiLevelType w:val="multilevel"/>
    <w:tmpl w:val="6CA51B1C"/>
    <w:lvl w:ilvl="0" w:tentative="0">
      <w:start w:val="1"/>
      <w:numFmt w:val="decimal"/>
      <w:lvlText w:val="31.%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8">
    <w:nsid w:val="6DB05059"/>
    <w:multiLevelType w:val="multilevel"/>
    <w:tmpl w:val="6DB05059"/>
    <w:lvl w:ilvl="0" w:tentative="0">
      <w:start w:val="1"/>
      <w:numFmt w:val="decimal"/>
      <w:lvlText w:val="15.%1"/>
      <w:lvlJc w:val="left"/>
      <w:pPr>
        <w:ind w:left="1130" w:hanging="420"/>
      </w:pPr>
      <w:rPr>
        <w:rFonts w:hint="default" w:ascii="宋体" w:hAnsi="宋体" w:eastAsia="宋体" w:cs="宋体"/>
        <w:b/>
        <w:strike w:val="0"/>
        <w:sz w:val="24"/>
        <w:szCs w:val="24"/>
      </w:rPr>
    </w:lvl>
    <w:lvl w:ilvl="1" w:tentative="0">
      <w:start w:val="1"/>
      <w:numFmt w:val="lowerLetter"/>
      <w:lvlText w:val="%2)"/>
      <w:lvlJc w:val="left"/>
      <w:pPr>
        <w:ind w:left="1550" w:hanging="420"/>
      </w:pPr>
    </w:lvl>
    <w:lvl w:ilvl="2" w:tentative="0">
      <w:start w:val="1"/>
      <w:numFmt w:val="lowerRoman"/>
      <w:lvlText w:val="%3."/>
      <w:lvlJc w:val="right"/>
      <w:pPr>
        <w:ind w:left="1970" w:hanging="420"/>
      </w:pPr>
    </w:lvl>
    <w:lvl w:ilvl="3" w:tentative="0">
      <w:start w:val="1"/>
      <w:numFmt w:val="decimal"/>
      <w:lvlText w:val="%4."/>
      <w:lvlJc w:val="left"/>
      <w:pPr>
        <w:ind w:left="2390" w:hanging="420"/>
      </w:pPr>
    </w:lvl>
    <w:lvl w:ilvl="4" w:tentative="0">
      <w:start w:val="1"/>
      <w:numFmt w:val="lowerLetter"/>
      <w:lvlText w:val="%5)"/>
      <w:lvlJc w:val="left"/>
      <w:pPr>
        <w:ind w:left="2810" w:hanging="420"/>
      </w:pPr>
    </w:lvl>
    <w:lvl w:ilvl="5" w:tentative="0">
      <w:start w:val="1"/>
      <w:numFmt w:val="lowerRoman"/>
      <w:lvlText w:val="%6."/>
      <w:lvlJc w:val="right"/>
      <w:pPr>
        <w:ind w:left="3230" w:hanging="420"/>
      </w:pPr>
    </w:lvl>
    <w:lvl w:ilvl="6" w:tentative="0">
      <w:start w:val="1"/>
      <w:numFmt w:val="decimal"/>
      <w:lvlText w:val="%7."/>
      <w:lvlJc w:val="left"/>
      <w:pPr>
        <w:ind w:left="3650" w:hanging="420"/>
      </w:pPr>
    </w:lvl>
    <w:lvl w:ilvl="7" w:tentative="0">
      <w:start w:val="1"/>
      <w:numFmt w:val="lowerLetter"/>
      <w:lvlText w:val="%8)"/>
      <w:lvlJc w:val="left"/>
      <w:pPr>
        <w:ind w:left="4070" w:hanging="420"/>
      </w:pPr>
    </w:lvl>
    <w:lvl w:ilvl="8" w:tentative="0">
      <w:start w:val="1"/>
      <w:numFmt w:val="lowerRoman"/>
      <w:lvlText w:val="%9."/>
      <w:lvlJc w:val="right"/>
      <w:pPr>
        <w:ind w:left="4490" w:hanging="420"/>
      </w:pPr>
    </w:lvl>
  </w:abstractNum>
  <w:abstractNum w:abstractNumId="79">
    <w:nsid w:val="76137D61"/>
    <w:multiLevelType w:val="multilevel"/>
    <w:tmpl w:val="76137D61"/>
    <w:lvl w:ilvl="0" w:tentative="0">
      <w:start w:val="1"/>
      <w:numFmt w:val="decimal"/>
      <w:lvlText w:val="4.%1"/>
      <w:lvlJc w:val="left"/>
      <w:pPr>
        <w:ind w:left="372" w:hanging="420"/>
      </w:pPr>
      <w:rPr>
        <w:rFonts w:hint="default" w:ascii="宋体" w:hAnsi="宋体" w:eastAsia="宋体" w:cs="宋体"/>
        <w:b w:val="0"/>
        <w:color w:val="auto"/>
        <w:sz w:val="24"/>
        <w:szCs w:val="24"/>
      </w:rPr>
    </w:lvl>
    <w:lvl w:ilvl="1" w:tentative="0">
      <w:start w:val="1"/>
      <w:numFmt w:val="lowerLetter"/>
      <w:lvlText w:val="%2)"/>
      <w:lvlJc w:val="left"/>
      <w:pPr>
        <w:ind w:left="792" w:hanging="420"/>
      </w:pPr>
    </w:lvl>
    <w:lvl w:ilvl="2" w:tentative="0">
      <w:start w:val="1"/>
      <w:numFmt w:val="lowerRoman"/>
      <w:lvlText w:val="%3."/>
      <w:lvlJc w:val="right"/>
      <w:pPr>
        <w:ind w:left="1212" w:hanging="420"/>
      </w:pPr>
    </w:lvl>
    <w:lvl w:ilvl="3" w:tentative="0">
      <w:start w:val="1"/>
      <w:numFmt w:val="decimal"/>
      <w:lvlText w:val="%4."/>
      <w:lvlJc w:val="left"/>
      <w:pPr>
        <w:ind w:left="1632" w:hanging="420"/>
      </w:pPr>
    </w:lvl>
    <w:lvl w:ilvl="4" w:tentative="0">
      <w:start w:val="1"/>
      <w:numFmt w:val="lowerLetter"/>
      <w:lvlText w:val="%5)"/>
      <w:lvlJc w:val="left"/>
      <w:pPr>
        <w:ind w:left="2052" w:hanging="420"/>
      </w:pPr>
    </w:lvl>
    <w:lvl w:ilvl="5" w:tentative="0">
      <w:start w:val="1"/>
      <w:numFmt w:val="lowerRoman"/>
      <w:lvlText w:val="%6."/>
      <w:lvlJc w:val="right"/>
      <w:pPr>
        <w:ind w:left="2472" w:hanging="420"/>
      </w:pPr>
    </w:lvl>
    <w:lvl w:ilvl="6" w:tentative="0">
      <w:start w:val="1"/>
      <w:numFmt w:val="decimal"/>
      <w:lvlText w:val="%7."/>
      <w:lvlJc w:val="left"/>
      <w:pPr>
        <w:ind w:left="2892" w:hanging="420"/>
      </w:pPr>
    </w:lvl>
    <w:lvl w:ilvl="7" w:tentative="0">
      <w:start w:val="1"/>
      <w:numFmt w:val="lowerLetter"/>
      <w:lvlText w:val="%8)"/>
      <w:lvlJc w:val="left"/>
      <w:pPr>
        <w:ind w:left="3312" w:hanging="420"/>
      </w:pPr>
    </w:lvl>
    <w:lvl w:ilvl="8" w:tentative="0">
      <w:start w:val="1"/>
      <w:numFmt w:val="lowerRoman"/>
      <w:lvlText w:val="%9."/>
      <w:lvlJc w:val="right"/>
      <w:pPr>
        <w:ind w:left="3732" w:hanging="420"/>
      </w:pPr>
    </w:lvl>
  </w:abstractNum>
  <w:abstractNum w:abstractNumId="80">
    <w:nsid w:val="7652048E"/>
    <w:multiLevelType w:val="multilevel"/>
    <w:tmpl w:val="7652048E"/>
    <w:lvl w:ilvl="0" w:tentative="0">
      <w:start w:val="1"/>
      <w:numFmt w:val="chineseCountingThousand"/>
      <w:lvlText w:val="%1、"/>
      <w:lvlJc w:val="left"/>
      <w:pPr>
        <w:ind w:left="420" w:hanging="420"/>
      </w:pPr>
      <w:rPr>
        <w:rFonts w:hint="eastAsia"/>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1">
    <w:nsid w:val="769621F4"/>
    <w:multiLevelType w:val="multilevel"/>
    <w:tmpl w:val="769621F4"/>
    <w:lvl w:ilvl="0" w:tentative="0">
      <w:start w:val="1"/>
      <w:numFmt w:val="decimal"/>
      <w:lvlText w:val="%1."/>
      <w:lvlJc w:val="left"/>
      <w:pPr>
        <w:ind w:left="902" w:hanging="420"/>
      </w:pPr>
      <w:rPr>
        <w:rFonts w:hint="default" w:ascii="宋体" w:hAnsi="宋体" w:eastAsia="宋体"/>
        <w:b w:val="0"/>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82">
    <w:nsid w:val="77BA7793"/>
    <w:multiLevelType w:val="multilevel"/>
    <w:tmpl w:val="77BA7793"/>
    <w:lvl w:ilvl="0" w:tentative="0">
      <w:start w:val="1"/>
      <w:numFmt w:val="japaneseCounting"/>
      <w:lvlText w:val="%1、"/>
      <w:lvlJc w:val="left"/>
      <w:pPr>
        <w:ind w:left="1200" w:hanging="720"/>
      </w:pPr>
      <w:rPr>
        <w:rFonts w:hint="eastAsia"/>
        <w:b/>
        <w:bCs w:val="0"/>
        <w:i w:val="0"/>
        <w:iCs w:val="0"/>
        <w:strike w:val="0"/>
        <w:dstrike w:val="0"/>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3">
    <w:nsid w:val="780F35E0"/>
    <w:multiLevelType w:val="multilevel"/>
    <w:tmpl w:val="780F35E0"/>
    <w:lvl w:ilvl="0" w:tentative="0">
      <w:start w:val="1"/>
      <w:numFmt w:val="decimal"/>
      <w:lvlText w:val="%1."/>
      <w:lvlJc w:val="left"/>
      <w:pPr>
        <w:ind w:left="902" w:hanging="420"/>
      </w:pPr>
      <w:rPr>
        <w:rFonts w:hint="default" w:ascii="宋体" w:hAnsi="宋体" w:eastAsia="宋体"/>
        <w:b w:val="0"/>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84">
    <w:nsid w:val="7898C24F"/>
    <w:multiLevelType w:val="multilevel"/>
    <w:tmpl w:val="7898C24F"/>
    <w:lvl w:ilvl="0" w:tentative="0">
      <w:start w:val="1"/>
      <w:numFmt w:val="decimal"/>
      <w:lvlText w:val="%1"/>
      <w:lvlJc w:val="right"/>
      <w:pPr>
        <w:ind w:left="420" w:hanging="136"/>
      </w:pPr>
      <w:rPr>
        <w:rFonts w:hint="eastAsia"/>
        <w:b w:val="0"/>
        <w:i w:val="0"/>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5">
    <w:nsid w:val="79FD6DF1"/>
    <w:multiLevelType w:val="multilevel"/>
    <w:tmpl w:val="79FD6DF1"/>
    <w:lvl w:ilvl="0" w:tentative="0">
      <w:start w:val="1"/>
      <w:numFmt w:val="decimal"/>
      <w:lvlText w:val="3.%1"/>
      <w:lvlJc w:val="left"/>
      <w:pPr>
        <w:ind w:left="420" w:hanging="420"/>
      </w:pPr>
      <w:rPr>
        <w:rFonts w:hint="eastAsia" w:ascii="宋体" w:hAnsi="宋体" w:eastAsia="宋体" w:cs="宋体"/>
        <w:b w:val="0"/>
        <w:color w:val="auto"/>
        <w:sz w:val="24"/>
        <w:szCs w:val="24"/>
      </w:rPr>
    </w:lvl>
    <w:lvl w:ilvl="1" w:tentative="0">
      <w:start w:val="1"/>
      <w:numFmt w:val="lowerLetter"/>
      <w:lvlText w:val="%2)"/>
      <w:lvlJc w:val="left"/>
      <w:pPr>
        <w:ind w:left="792" w:hanging="420"/>
      </w:pPr>
    </w:lvl>
    <w:lvl w:ilvl="2" w:tentative="0">
      <w:start w:val="1"/>
      <w:numFmt w:val="lowerRoman"/>
      <w:lvlText w:val="%3."/>
      <w:lvlJc w:val="right"/>
      <w:pPr>
        <w:ind w:left="1212" w:hanging="420"/>
      </w:pPr>
    </w:lvl>
    <w:lvl w:ilvl="3" w:tentative="0">
      <w:start w:val="1"/>
      <w:numFmt w:val="decimal"/>
      <w:lvlText w:val="%4."/>
      <w:lvlJc w:val="left"/>
      <w:pPr>
        <w:ind w:left="1632" w:hanging="420"/>
      </w:pPr>
    </w:lvl>
    <w:lvl w:ilvl="4" w:tentative="0">
      <w:start w:val="1"/>
      <w:numFmt w:val="lowerLetter"/>
      <w:lvlText w:val="%5)"/>
      <w:lvlJc w:val="left"/>
      <w:pPr>
        <w:ind w:left="2052" w:hanging="420"/>
      </w:pPr>
    </w:lvl>
    <w:lvl w:ilvl="5" w:tentative="0">
      <w:start w:val="1"/>
      <w:numFmt w:val="lowerRoman"/>
      <w:lvlText w:val="%6."/>
      <w:lvlJc w:val="right"/>
      <w:pPr>
        <w:ind w:left="2472" w:hanging="420"/>
      </w:pPr>
    </w:lvl>
    <w:lvl w:ilvl="6" w:tentative="0">
      <w:start w:val="1"/>
      <w:numFmt w:val="decimal"/>
      <w:lvlText w:val="%7."/>
      <w:lvlJc w:val="left"/>
      <w:pPr>
        <w:ind w:left="2892" w:hanging="420"/>
      </w:pPr>
    </w:lvl>
    <w:lvl w:ilvl="7" w:tentative="0">
      <w:start w:val="1"/>
      <w:numFmt w:val="lowerLetter"/>
      <w:lvlText w:val="%8)"/>
      <w:lvlJc w:val="left"/>
      <w:pPr>
        <w:ind w:left="3312" w:hanging="420"/>
      </w:pPr>
    </w:lvl>
    <w:lvl w:ilvl="8" w:tentative="0">
      <w:start w:val="1"/>
      <w:numFmt w:val="lowerRoman"/>
      <w:lvlText w:val="%9."/>
      <w:lvlJc w:val="right"/>
      <w:pPr>
        <w:ind w:left="3732" w:hanging="420"/>
      </w:pPr>
    </w:lvl>
  </w:abstractNum>
  <w:abstractNum w:abstractNumId="86">
    <w:nsid w:val="7D63A5FE"/>
    <w:multiLevelType w:val="multilevel"/>
    <w:tmpl w:val="7D63A5FE"/>
    <w:lvl w:ilvl="0" w:tentative="0">
      <w:start w:val="1"/>
      <w:numFmt w:val="decimal"/>
      <w:suff w:val="space"/>
      <w:lvlText w:val="1.%1"/>
      <w:lvlJc w:val="left"/>
      <w:pPr>
        <w:tabs>
          <w:tab w:val="left" w:pos="0"/>
        </w:tabs>
        <w:ind w:left="420" w:hanging="420"/>
      </w:pPr>
      <w:rPr>
        <w:rFonts w:hint="default" w:ascii="宋体" w:hAnsi="宋体" w:eastAsia="宋体" w:cs="宋体"/>
        <w:b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6"/>
  </w:num>
  <w:num w:numId="2">
    <w:abstractNumId w:val="6"/>
  </w:num>
  <w:num w:numId="3">
    <w:abstractNumId w:val="62"/>
  </w:num>
  <w:num w:numId="4">
    <w:abstractNumId w:val="54"/>
  </w:num>
  <w:num w:numId="5">
    <w:abstractNumId w:val="3"/>
  </w:num>
  <w:num w:numId="6">
    <w:abstractNumId w:val="24"/>
  </w:num>
  <w:num w:numId="7">
    <w:abstractNumId w:val="29"/>
  </w:num>
  <w:num w:numId="8">
    <w:abstractNumId w:val="27"/>
  </w:num>
  <w:num w:numId="9">
    <w:abstractNumId w:val="41"/>
  </w:num>
  <w:num w:numId="10">
    <w:abstractNumId w:val="86"/>
  </w:num>
  <w:num w:numId="11">
    <w:abstractNumId w:val="0"/>
  </w:num>
  <w:num w:numId="12">
    <w:abstractNumId w:val="15"/>
  </w:num>
  <w:num w:numId="13">
    <w:abstractNumId w:val="4"/>
  </w:num>
  <w:num w:numId="14">
    <w:abstractNumId w:val="45"/>
  </w:num>
  <w:num w:numId="15">
    <w:abstractNumId w:val="47"/>
  </w:num>
  <w:num w:numId="16">
    <w:abstractNumId w:val="20"/>
  </w:num>
  <w:num w:numId="17">
    <w:abstractNumId w:val="2"/>
  </w:num>
  <w:num w:numId="18">
    <w:abstractNumId w:val="7"/>
  </w:num>
  <w:num w:numId="19">
    <w:abstractNumId w:val="21"/>
  </w:num>
  <w:num w:numId="20">
    <w:abstractNumId w:val="11"/>
  </w:num>
  <w:num w:numId="21">
    <w:abstractNumId w:val="42"/>
  </w:num>
  <w:num w:numId="22">
    <w:abstractNumId w:val="50"/>
  </w:num>
  <w:num w:numId="23">
    <w:abstractNumId w:val="10"/>
  </w:num>
  <w:num w:numId="24">
    <w:abstractNumId w:val="39"/>
  </w:num>
  <w:num w:numId="25">
    <w:abstractNumId w:val="48"/>
  </w:num>
  <w:num w:numId="26">
    <w:abstractNumId w:val="64"/>
  </w:num>
  <w:num w:numId="27">
    <w:abstractNumId w:val="63"/>
  </w:num>
  <w:num w:numId="28">
    <w:abstractNumId w:val="12"/>
  </w:num>
  <w:num w:numId="29">
    <w:abstractNumId w:val="5"/>
  </w:num>
  <w:num w:numId="30">
    <w:abstractNumId w:val="32"/>
  </w:num>
  <w:num w:numId="31">
    <w:abstractNumId w:val="37"/>
  </w:num>
  <w:num w:numId="32">
    <w:abstractNumId w:val="22"/>
  </w:num>
  <w:num w:numId="33">
    <w:abstractNumId w:val="57"/>
  </w:num>
  <w:num w:numId="34">
    <w:abstractNumId w:val="19"/>
  </w:num>
  <w:num w:numId="35">
    <w:abstractNumId w:val="77"/>
  </w:num>
  <w:num w:numId="36">
    <w:abstractNumId w:val="75"/>
  </w:num>
  <w:num w:numId="37">
    <w:abstractNumId w:val="59"/>
  </w:num>
  <w:num w:numId="38">
    <w:abstractNumId w:val="61"/>
  </w:num>
  <w:num w:numId="39">
    <w:abstractNumId w:val="14"/>
  </w:num>
  <w:num w:numId="40">
    <w:abstractNumId w:val="55"/>
  </w:num>
  <w:num w:numId="41">
    <w:abstractNumId w:val="18"/>
  </w:num>
  <w:num w:numId="42">
    <w:abstractNumId w:val="1"/>
  </w:num>
  <w:num w:numId="43">
    <w:abstractNumId w:val="60"/>
  </w:num>
  <w:num w:numId="44">
    <w:abstractNumId w:val="80"/>
  </w:num>
  <w:num w:numId="45">
    <w:abstractNumId w:val="13"/>
  </w:num>
  <w:num w:numId="46">
    <w:abstractNumId w:val="46"/>
  </w:num>
  <w:num w:numId="47">
    <w:abstractNumId w:val="23"/>
  </w:num>
  <w:num w:numId="48">
    <w:abstractNumId w:val="69"/>
  </w:num>
  <w:num w:numId="49">
    <w:abstractNumId w:val="74"/>
  </w:num>
  <w:num w:numId="50">
    <w:abstractNumId w:val="26"/>
  </w:num>
  <w:num w:numId="51">
    <w:abstractNumId w:val="67"/>
  </w:num>
  <w:num w:numId="52">
    <w:abstractNumId w:val="84"/>
  </w:num>
  <w:num w:numId="53">
    <w:abstractNumId w:val="56"/>
  </w:num>
  <w:num w:numId="54">
    <w:abstractNumId w:val="70"/>
  </w:num>
  <w:num w:numId="55">
    <w:abstractNumId w:val="8"/>
  </w:num>
  <w:num w:numId="56">
    <w:abstractNumId w:val="52"/>
  </w:num>
  <w:num w:numId="57">
    <w:abstractNumId w:val="25"/>
  </w:num>
  <w:num w:numId="58">
    <w:abstractNumId w:val="17"/>
  </w:num>
  <w:num w:numId="59">
    <w:abstractNumId w:val="16"/>
  </w:num>
  <w:num w:numId="60">
    <w:abstractNumId w:val="9"/>
  </w:num>
  <w:num w:numId="61">
    <w:abstractNumId w:val="34"/>
  </w:num>
  <w:num w:numId="62">
    <w:abstractNumId w:val="43"/>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2"/>
  </w:num>
  <w:num w:numId="67">
    <w:abstractNumId w:val="68"/>
  </w:num>
  <w:num w:numId="68">
    <w:abstractNumId w:val="51"/>
  </w:num>
  <w:num w:numId="69">
    <w:abstractNumId w:val="58"/>
  </w:num>
  <w:num w:numId="70">
    <w:abstractNumId w:val="30"/>
  </w:num>
  <w:num w:numId="71">
    <w:abstractNumId w:val="40"/>
  </w:num>
  <w:num w:numId="72">
    <w:abstractNumId w:val="31"/>
  </w:num>
  <w:num w:numId="73">
    <w:abstractNumId w:val="81"/>
  </w:num>
  <w:num w:numId="74">
    <w:abstractNumId w:val="71"/>
  </w:num>
  <w:num w:numId="75">
    <w:abstractNumId w:val="83"/>
  </w:num>
  <w:num w:numId="76">
    <w:abstractNumId w:val="44"/>
  </w:num>
  <w:num w:numId="77">
    <w:abstractNumId w:val="65"/>
  </w:num>
  <w:num w:numId="78">
    <w:abstractNumId w:val="73"/>
  </w:num>
  <w:num w:numId="79">
    <w:abstractNumId w:val="72"/>
  </w:num>
  <w:num w:numId="80">
    <w:abstractNumId w:val="76"/>
  </w:num>
  <w:num w:numId="81">
    <w:abstractNumId w:val="35"/>
  </w:num>
  <w:num w:numId="82">
    <w:abstractNumId w:val="38"/>
  </w:num>
  <w:num w:numId="83">
    <w:abstractNumId w:val="49"/>
  </w:num>
  <w:num w:numId="84">
    <w:abstractNumId w:val="36"/>
  </w:num>
  <w:num w:numId="85">
    <w:abstractNumId w:val="28"/>
  </w:num>
  <w:num w:numId="86">
    <w:abstractNumId w:val="53"/>
  </w:num>
  <w:num w:numId="87">
    <w:abstractNumId w:val="7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wMzAzMTg1ZTA3ZjMxYzkxZDA4MGJlOWIwZTY0MWQifQ=="/>
  </w:docVars>
  <w:rsids>
    <w:rsidRoot w:val="00201145"/>
    <w:rsid w:val="0000014A"/>
    <w:rsid w:val="0000031F"/>
    <w:rsid w:val="00000C4B"/>
    <w:rsid w:val="00000CA8"/>
    <w:rsid w:val="0000100F"/>
    <w:rsid w:val="0000159F"/>
    <w:rsid w:val="00001776"/>
    <w:rsid w:val="000018F8"/>
    <w:rsid w:val="00002448"/>
    <w:rsid w:val="00002A14"/>
    <w:rsid w:val="00003D83"/>
    <w:rsid w:val="00004B56"/>
    <w:rsid w:val="0000511B"/>
    <w:rsid w:val="000057CE"/>
    <w:rsid w:val="00005B94"/>
    <w:rsid w:val="000064C0"/>
    <w:rsid w:val="00006F26"/>
    <w:rsid w:val="0000779C"/>
    <w:rsid w:val="00007849"/>
    <w:rsid w:val="00007E8E"/>
    <w:rsid w:val="00010489"/>
    <w:rsid w:val="00010770"/>
    <w:rsid w:val="000119CA"/>
    <w:rsid w:val="000121FF"/>
    <w:rsid w:val="0001240A"/>
    <w:rsid w:val="00012664"/>
    <w:rsid w:val="00012D68"/>
    <w:rsid w:val="00012FAB"/>
    <w:rsid w:val="0001302A"/>
    <w:rsid w:val="000130FC"/>
    <w:rsid w:val="000135FB"/>
    <w:rsid w:val="00014BDE"/>
    <w:rsid w:val="00015D88"/>
    <w:rsid w:val="000165A4"/>
    <w:rsid w:val="000165DA"/>
    <w:rsid w:val="000169BE"/>
    <w:rsid w:val="00016B2E"/>
    <w:rsid w:val="00016BC6"/>
    <w:rsid w:val="000172A6"/>
    <w:rsid w:val="00017852"/>
    <w:rsid w:val="00017DFB"/>
    <w:rsid w:val="00017F05"/>
    <w:rsid w:val="00020A15"/>
    <w:rsid w:val="00020E32"/>
    <w:rsid w:val="00021211"/>
    <w:rsid w:val="00021543"/>
    <w:rsid w:val="000219EF"/>
    <w:rsid w:val="00023B96"/>
    <w:rsid w:val="00023F8C"/>
    <w:rsid w:val="00024BFB"/>
    <w:rsid w:val="00024C29"/>
    <w:rsid w:val="00026484"/>
    <w:rsid w:val="00026535"/>
    <w:rsid w:val="00026ADC"/>
    <w:rsid w:val="00027820"/>
    <w:rsid w:val="00027DCF"/>
    <w:rsid w:val="0003039E"/>
    <w:rsid w:val="0003173D"/>
    <w:rsid w:val="00032D25"/>
    <w:rsid w:val="00033225"/>
    <w:rsid w:val="00033E8E"/>
    <w:rsid w:val="000341E7"/>
    <w:rsid w:val="00034A0B"/>
    <w:rsid w:val="00035604"/>
    <w:rsid w:val="00036506"/>
    <w:rsid w:val="00036B41"/>
    <w:rsid w:val="00036B9C"/>
    <w:rsid w:val="000377E5"/>
    <w:rsid w:val="00037BD7"/>
    <w:rsid w:val="00040310"/>
    <w:rsid w:val="00040516"/>
    <w:rsid w:val="0004059F"/>
    <w:rsid w:val="00040F28"/>
    <w:rsid w:val="0004136E"/>
    <w:rsid w:val="000415A0"/>
    <w:rsid w:val="000417D6"/>
    <w:rsid w:val="00041B3F"/>
    <w:rsid w:val="00041D01"/>
    <w:rsid w:val="00042BF7"/>
    <w:rsid w:val="00043190"/>
    <w:rsid w:val="0004464B"/>
    <w:rsid w:val="00044B83"/>
    <w:rsid w:val="00044C5B"/>
    <w:rsid w:val="0004694F"/>
    <w:rsid w:val="00046EE4"/>
    <w:rsid w:val="00047AE9"/>
    <w:rsid w:val="00047B05"/>
    <w:rsid w:val="00047B96"/>
    <w:rsid w:val="000506A0"/>
    <w:rsid w:val="000507AA"/>
    <w:rsid w:val="00050807"/>
    <w:rsid w:val="00050A7E"/>
    <w:rsid w:val="000532F3"/>
    <w:rsid w:val="00053666"/>
    <w:rsid w:val="00053F41"/>
    <w:rsid w:val="00054C08"/>
    <w:rsid w:val="00054E24"/>
    <w:rsid w:val="00054FA1"/>
    <w:rsid w:val="00055DE3"/>
    <w:rsid w:val="00055F40"/>
    <w:rsid w:val="000567EB"/>
    <w:rsid w:val="000568C4"/>
    <w:rsid w:val="000568F5"/>
    <w:rsid w:val="000572B9"/>
    <w:rsid w:val="00057884"/>
    <w:rsid w:val="00060811"/>
    <w:rsid w:val="000608B3"/>
    <w:rsid w:val="000610FF"/>
    <w:rsid w:val="000619B0"/>
    <w:rsid w:val="00061E06"/>
    <w:rsid w:val="000621B0"/>
    <w:rsid w:val="0006258C"/>
    <w:rsid w:val="00063061"/>
    <w:rsid w:val="00063169"/>
    <w:rsid w:val="0006322E"/>
    <w:rsid w:val="00063686"/>
    <w:rsid w:val="000637AD"/>
    <w:rsid w:val="00063830"/>
    <w:rsid w:val="000639D8"/>
    <w:rsid w:val="00063E5E"/>
    <w:rsid w:val="000642C6"/>
    <w:rsid w:val="000659B5"/>
    <w:rsid w:val="00065E3D"/>
    <w:rsid w:val="00066B97"/>
    <w:rsid w:val="00067241"/>
    <w:rsid w:val="00067288"/>
    <w:rsid w:val="000674AF"/>
    <w:rsid w:val="00067954"/>
    <w:rsid w:val="00067E35"/>
    <w:rsid w:val="00067FF7"/>
    <w:rsid w:val="0007101D"/>
    <w:rsid w:val="00071ED3"/>
    <w:rsid w:val="0007234D"/>
    <w:rsid w:val="00072690"/>
    <w:rsid w:val="00073A13"/>
    <w:rsid w:val="0007405B"/>
    <w:rsid w:val="000749FE"/>
    <w:rsid w:val="00074A1B"/>
    <w:rsid w:val="00074DB0"/>
    <w:rsid w:val="0007562C"/>
    <w:rsid w:val="000768FE"/>
    <w:rsid w:val="00076D09"/>
    <w:rsid w:val="00076E6C"/>
    <w:rsid w:val="00076EBC"/>
    <w:rsid w:val="000774A5"/>
    <w:rsid w:val="0008028E"/>
    <w:rsid w:val="000802EB"/>
    <w:rsid w:val="00080A9D"/>
    <w:rsid w:val="00080F69"/>
    <w:rsid w:val="0008143F"/>
    <w:rsid w:val="00081938"/>
    <w:rsid w:val="00081B86"/>
    <w:rsid w:val="00081D33"/>
    <w:rsid w:val="00082A5E"/>
    <w:rsid w:val="00082ADE"/>
    <w:rsid w:val="00082CA5"/>
    <w:rsid w:val="00082D1B"/>
    <w:rsid w:val="0008304C"/>
    <w:rsid w:val="000842C3"/>
    <w:rsid w:val="0008443B"/>
    <w:rsid w:val="00084804"/>
    <w:rsid w:val="00084ADA"/>
    <w:rsid w:val="00084D29"/>
    <w:rsid w:val="00084F43"/>
    <w:rsid w:val="000853D5"/>
    <w:rsid w:val="00085A02"/>
    <w:rsid w:val="00086A7D"/>
    <w:rsid w:val="00086D1D"/>
    <w:rsid w:val="000874C7"/>
    <w:rsid w:val="00087964"/>
    <w:rsid w:val="000907A0"/>
    <w:rsid w:val="00090940"/>
    <w:rsid w:val="00090EA3"/>
    <w:rsid w:val="000910E7"/>
    <w:rsid w:val="00091AFE"/>
    <w:rsid w:val="000923DD"/>
    <w:rsid w:val="0009272A"/>
    <w:rsid w:val="000928C5"/>
    <w:rsid w:val="00092FAB"/>
    <w:rsid w:val="00092FF5"/>
    <w:rsid w:val="0009335F"/>
    <w:rsid w:val="000942CB"/>
    <w:rsid w:val="00095264"/>
    <w:rsid w:val="00095BA7"/>
    <w:rsid w:val="00095D0F"/>
    <w:rsid w:val="0009761E"/>
    <w:rsid w:val="000A008C"/>
    <w:rsid w:val="000A0F0F"/>
    <w:rsid w:val="000A1261"/>
    <w:rsid w:val="000A1CA5"/>
    <w:rsid w:val="000A1D95"/>
    <w:rsid w:val="000A1E99"/>
    <w:rsid w:val="000A2D02"/>
    <w:rsid w:val="000A2D0F"/>
    <w:rsid w:val="000A36DE"/>
    <w:rsid w:val="000A420C"/>
    <w:rsid w:val="000A4420"/>
    <w:rsid w:val="000A45B2"/>
    <w:rsid w:val="000A53E7"/>
    <w:rsid w:val="000A60C9"/>
    <w:rsid w:val="000A6794"/>
    <w:rsid w:val="000A6A4C"/>
    <w:rsid w:val="000A7ADE"/>
    <w:rsid w:val="000B0078"/>
    <w:rsid w:val="000B09B9"/>
    <w:rsid w:val="000B0E9F"/>
    <w:rsid w:val="000B22D4"/>
    <w:rsid w:val="000B2CD4"/>
    <w:rsid w:val="000B2D7D"/>
    <w:rsid w:val="000B3C31"/>
    <w:rsid w:val="000B413D"/>
    <w:rsid w:val="000B4887"/>
    <w:rsid w:val="000B4F29"/>
    <w:rsid w:val="000B5891"/>
    <w:rsid w:val="000B6B98"/>
    <w:rsid w:val="000B70E1"/>
    <w:rsid w:val="000B71E2"/>
    <w:rsid w:val="000B7C48"/>
    <w:rsid w:val="000B7D9A"/>
    <w:rsid w:val="000C013D"/>
    <w:rsid w:val="000C0D47"/>
    <w:rsid w:val="000C0EB0"/>
    <w:rsid w:val="000C1203"/>
    <w:rsid w:val="000C1474"/>
    <w:rsid w:val="000C208C"/>
    <w:rsid w:val="000C26A3"/>
    <w:rsid w:val="000C2793"/>
    <w:rsid w:val="000C2DB6"/>
    <w:rsid w:val="000C3104"/>
    <w:rsid w:val="000C3B22"/>
    <w:rsid w:val="000C3F32"/>
    <w:rsid w:val="000C59F3"/>
    <w:rsid w:val="000C5CAE"/>
    <w:rsid w:val="000C630D"/>
    <w:rsid w:val="000C664D"/>
    <w:rsid w:val="000C7061"/>
    <w:rsid w:val="000C7655"/>
    <w:rsid w:val="000D0095"/>
    <w:rsid w:val="000D03BB"/>
    <w:rsid w:val="000D0693"/>
    <w:rsid w:val="000D0812"/>
    <w:rsid w:val="000D092F"/>
    <w:rsid w:val="000D0A56"/>
    <w:rsid w:val="000D10A0"/>
    <w:rsid w:val="000D1CC6"/>
    <w:rsid w:val="000D1F6B"/>
    <w:rsid w:val="000D2D23"/>
    <w:rsid w:val="000D2D90"/>
    <w:rsid w:val="000D3C26"/>
    <w:rsid w:val="000D3FDE"/>
    <w:rsid w:val="000D499D"/>
    <w:rsid w:val="000D4CC5"/>
    <w:rsid w:val="000D5A40"/>
    <w:rsid w:val="000D5BCA"/>
    <w:rsid w:val="000D5FAD"/>
    <w:rsid w:val="000D67E8"/>
    <w:rsid w:val="000D69FC"/>
    <w:rsid w:val="000D7F38"/>
    <w:rsid w:val="000E0A54"/>
    <w:rsid w:val="000E127F"/>
    <w:rsid w:val="000E14DD"/>
    <w:rsid w:val="000E1866"/>
    <w:rsid w:val="000E1889"/>
    <w:rsid w:val="000E28C4"/>
    <w:rsid w:val="000E2BC0"/>
    <w:rsid w:val="000E37A9"/>
    <w:rsid w:val="000E3C87"/>
    <w:rsid w:val="000E43B3"/>
    <w:rsid w:val="000E4A98"/>
    <w:rsid w:val="000E5E8C"/>
    <w:rsid w:val="000E6438"/>
    <w:rsid w:val="000E6B06"/>
    <w:rsid w:val="000E6B16"/>
    <w:rsid w:val="000E6BF1"/>
    <w:rsid w:val="000E6DC1"/>
    <w:rsid w:val="000E72AD"/>
    <w:rsid w:val="000F01CD"/>
    <w:rsid w:val="000F05F3"/>
    <w:rsid w:val="000F065A"/>
    <w:rsid w:val="000F0CD1"/>
    <w:rsid w:val="000F0E9F"/>
    <w:rsid w:val="000F2E1F"/>
    <w:rsid w:val="000F32F1"/>
    <w:rsid w:val="000F3789"/>
    <w:rsid w:val="000F4EBA"/>
    <w:rsid w:val="000F546F"/>
    <w:rsid w:val="000F5CEC"/>
    <w:rsid w:val="000F694D"/>
    <w:rsid w:val="000F6AA4"/>
    <w:rsid w:val="000F7035"/>
    <w:rsid w:val="000F7D1E"/>
    <w:rsid w:val="00100853"/>
    <w:rsid w:val="00100F58"/>
    <w:rsid w:val="00101443"/>
    <w:rsid w:val="0010291A"/>
    <w:rsid w:val="00102EC6"/>
    <w:rsid w:val="00103C36"/>
    <w:rsid w:val="0010432F"/>
    <w:rsid w:val="00104A9C"/>
    <w:rsid w:val="00105022"/>
    <w:rsid w:val="00105B03"/>
    <w:rsid w:val="00105E76"/>
    <w:rsid w:val="001064BF"/>
    <w:rsid w:val="001066A5"/>
    <w:rsid w:val="00106C65"/>
    <w:rsid w:val="00107122"/>
    <w:rsid w:val="00107BCB"/>
    <w:rsid w:val="001104FD"/>
    <w:rsid w:val="00110B8F"/>
    <w:rsid w:val="00110D48"/>
    <w:rsid w:val="00111250"/>
    <w:rsid w:val="001116FC"/>
    <w:rsid w:val="00112E62"/>
    <w:rsid w:val="0011328D"/>
    <w:rsid w:val="0011329C"/>
    <w:rsid w:val="00113B2F"/>
    <w:rsid w:val="00113BA5"/>
    <w:rsid w:val="00113C66"/>
    <w:rsid w:val="001142DD"/>
    <w:rsid w:val="00115274"/>
    <w:rsid w:val="001153B1"/>
    <w:rsid w:val="0011592C"/>
    <w:rsid w:val="00115B31"/>
    <w:rsid w:val="00117D17"/>
    <w:rsid w:val="00117F77"/>
    <w:rsid w:val="001201F7"/>
    <w:rsid w:val="0012112B"/>
    <w:rsid w:val="00121507"/>
    <w:rsid w:val="001222C0"/>
    <w:rsid w:val="0012274D"/>
    <w:rsid w:val="00122E03"/>
    <w:rsid w:val="00123679"/>
    <w:rsid w:val="00123704"/>
    <w:rsid w:val="00123A00"/>
    <w:rsid w:val="001245E0"/>
    <w:rsid w:val="00124AE3"/>
    <w:rsid w:val="001266F9"/>
    <w:rsid w:val="00126951"/>
    <w:rsid w:val="0012695A"/>
    <w:rsid w:val="0012744E"/>
    <w:rsid w:val="001275A1"/>
    <w:rsid w:val="00127A06"/>
    <w:rsid w:val="00127A41"/>
    <w:rsid w:val="001300FE"/>
    <w:rsid w:val="00130B15"/>
    <w:rsid w:val="00130BF6"/>
    <w:rsid w:val="00130D83"/>
    <w:rsid w:val="001315B6"/>
    <w:rsid w:val="00132967"/>
    <w:rsid w:val="001332D7"/>
    <w:rsid w:val="0013347D"/>
    <w:rsid w:val="001335CC"/>
    <w:rsid w:val="001358CA"/>
    <w:rsid w:val="00135C72"/>
    <w:rsid w:val="00136158"/>
    <w:rsid w:val="00136730"/>
    <w:rsid w:val="00137209"/>
    <w:rsid w:val="001376D7"/>
    <w:rsid w:val="0014044C"/>
    <w:rsid w:val="00140A9F"/>
    <w:rsid w:val="00140E04"/>
    <w:rsid w:val="00140E38"/>
    <w:rsid w:val="001415F4"/>
    <w:rsid w:val="00141639"/>
    <w:rsid w:val="00141789"/>
    <w:rsid w:val="00141ABF"/>
    <w:rsid w:val="00142967"/>
    <w:rsid w:val="00143646"/>
    <w:rsid w:val="00143B19"/>
    <w:rsid w:val="00144225"/>
    <w:rsid w:val="001449A9"/>
    <w:rsid w:val="0014511D"/>
    <w:rsid w:val="00145AA8"/>
    <w:rsid w:val="00145F05"/>
    <w:rsid w:val="0014649A"/>
    <w:rsid w:val="00147001"/>
    <w:rsid w:val="001479DB"/>
    <w:rsid w:val="001505CC"/>
    <w:rsid w:val="001508AB"/>
    <w:rsid w:val="00150975"/>
    <w:rsid w:val="0015146E"/>
    <w:rsid w:val="001514EB"/>
    <w:rsid w:val="00151CE8"/>
    <w:rsid w:val="00151E43"/>
    <w:rsid w:val="0015212D"/>
    <w:rsid w:val="001522AC"/>
    <w:rsid w:val="00152AE0"/>
    <w:rsid w:val="00153070"/>
    <w:rsid w:val="00153BA8"/>
    <w:rsid w:val="00153E85"/>
    <w:rsid w:val="00153FD4"/>
    <w:rsid w:val="00154B20"/>
    <w:rsid w:val="0015505C"/>
    <w:rsid w:val="00155374"/>
    <w:rsid w:val="001555EB"/>
    <w:rsid w:val="00155A3F"/>
    <w:rsid w:val="001563C3"/>
    <w:rsid w:val="001564B9"/>
    <w:rsid w:val="00156900"/>
    <w:rsid w:val="00156CBF"/>
    <w:rsid w:val="00156E05"/>
    <w:rsid w:val="0015741A"/>
    <w:rsid w:val="0015787D"/>
    <w:rsid w:val="00157A38"/>
    <w:rsid w:val="0016263E"/>
    <w:rsid w:val="001632CA"/>
    <w:rsid w:val="001632EF"/>
    <w:rsid w:val="00163320"/>
    <w:rsid w:val="001639E7"/>
    <w:rsid w:val="00163B5B"/>
    <w:rsid w:val="001642E5"/>
    <w:rsid w:val="00164433"/>
    <w:rsid w:val="00164967"/>
    <w:rsid w:val="0016498C"/>
    <w:rsid w:val="0016546D"/>
    <w:rsid w:val="00165A24"/>
    <w:rsid w:val="00166A93"/>
    <w:rsid w:val="00167194"/>
    <w:rsid w:val="00170B48"/>
    <w:rsid w:val="00170EC5"/>
    <w:rsid w:val="00171014"/>
    <w:rsid w:val="001710F3"/>
    <w:rsid w:val="0017228A"/>
    <w:rsid w:val="00172353"/>
    <w:rsid w:val="001724A5"/>
    <w:rsid w:val="0017271F"/>
    <w:rsid w:val="00173E35"/>
    <w:rsid w:val="00174A5D"/>
    <w:rsid w:val="00174C9B"/>
    <w:rsid w:val="0017692D"/>
    <w:rsid w:val="00176C11"/>
    <w:rsid w:val="0017731E"/>
    <w:rsid w:val="0017733E"/>
    <w:rsid w:val="001773FD"/>
    <w:rsid w:val="00177DF3"/>
    <w:rsid w:val="001801EB"/>
    <w:rsid w:val="00180F81"/>
    <w:rsid w:val="00181BAA"/>
    <w:rsid w:val="00181C24"/>
    <w:rsid w:val="00181D11"/>
    <w:rsid w:val="00182702"/>
    <w:rsid w:val="00182B31"/>
    <w:rsid w:val="00182C8A"/>
    <w:rsid w:val="00182DAD"/>
    <w:rsid w:val="0018344D"/>
    <w:rsid w:val="00183B2B"/>
    <w:rsid w:val="00184393"/>
    <w:rsid w:val="00184691"/>
    <w:rsid w:val="00185045"/>
    <w:rsid w:val="001868DB"/>
    <w:rsid w:val="00186C5B"/>
    <w:rsid w:val="0018777D"/>
    <w:rsid w:val="00187D86"/>
    <w:rsid w:val="00190080"/>
    <w:rsid w:val="00190B7A"/>
    <w:rsid w:val="00191BDB"/>
    <w:rsid w:val="001928E4"/>
    <w:rsid w:val="00192B00"/>
    <w:rsid w:val="001932CE"/>
    <w:rsid w:val="00193382"/>
    <w:rsid w:val="00193658"/>
    <w:rsid w:val="001940B4"/>
    <w:rsid w:val="0019458C"/>
    <w:rsid w:val="00194BC0"/>
    <w:rsid w:val="00195B91"/>
    <w:rsid w:val="00195DF4"/>
    <w:rsid w:val="001962FC"/>
    <w:rsid w:val="00196AD6"/>
    <w:rsid w:val="0019734D"/>
    <w:rsid w:val="0019747A"/>
    <w:rsid w:val="00197A32"/>
    <w:rsid w:val="00197F14"/>
    <w:rsid w:val="001A04A2"/>
    <w:rsid w:val="001A079D"/>
    <w:rsid w:val="001A129C"/>
    <w:rsid w:val="001A1893"/>
    <w:rsid w:val="001A1D7B"/>
    <w:rsid w:val="001A2C79"/>
    <w:rsid w:val="001A2F88"/>
    <w:rsid w:val="001A3271"/>
    <w:rsid w:val="001A3636"/>
    <w:rsid w:val="001A3EA2"/>
    <w:rsid w:val="001A44A5"/>
    <w:rsid w:val="001A55A9"/>
    <w:rsid w:val="001A57F7"/>
    <w:rsid w:val="001A5896"/>
    <w:rsid w:val="001A65FB"/>
    <w:rsid w:val="001A6662"/>
    <w:rsid w:val="001A6838"/>
    <w:rsid w:val="001A6A21"/>
    <w:rsid w:val="001A7D56"/>
    <w:rsid w:val="001B087A"/>
    <w:rsid w:val="001B0D16"/>
    <w:rsid w:val="001B146B"/>
    <w:rsid w:val="001B166D"/>
    <w:rsid w:val="001B1A86"/>
    <w:rsid w:val="001B29A5"/>
    <w:rsid w:val="001B35D9"/>
    <w:rsid w:val="001B38AB"/>
    <w:rsid w:val="001B3AF3"/>
    <w:rsid w:val="001B3E02"/>
    <w:rsid w:val="001B4186"/>
    <w:rsid w:val="001B4225"/>
    <w:rsid w:val="001B44F8"/>
    <w:rsid w:val="001B4690"/>
    <w:rsid w:val="001B48B9"/>
    <w:rsid w:val="001B4C11"/>
    <w:rsid w:val="001B53F0"/>
    <w:rsid w:val="001B5F05"/>
    <w:rsid w:val="001B6787"/>
    <w:rsid w:val="001B6B08"/>
    <w:rsid w:val="001B6FA1"/>
    <w:rsid w:val="001B7B1C"/>
    <w:rsid w:val="001B7C89"/>
    <w:rsid w:val="001B7D92"/>
    <w:rsid w:val="001C0E86"/>
    <w:rsid w:val="001C0E93"/>
    <w:rsid w:val="001C156C"/>
    <w:rsid w:val="001C18C8"/>
    <w:rsid w:val="001C1A39"/>
    <w:rsid w:val="001C1BFE"/>
    <w:rsid w:val="001C1F1D"/>
    <w:rsid w:val="001C3D61"/>
    <w:rsid w:val="001C51FA"/>
    <w:rsid w:val="001C5419"/>
    <w:rsid w:val="001C5A53"/>
    <w:rsid w:val="001C6DE1"/>
    <w:rsid w:val="001C6E9E"/>
    <w:rsid w:val="001C752C"/>
    <w:rsid w:val="001D0411"/>
    <w:rsid w:val="001D0D5D"/>
    <w:rsid w:val="001D0F3F"/>
    <w:rsid w:val="001D19D2"/>
    <w:rsid w:val="001D29D5"/>
    <w:rsid w:val="001D387A"/>
    <w:rsid w:val="001D38C6"/>
    <w:rsid w:val="001D4201"/>
    <w:rsid w:val="001D44FB"/>
    <w:rsid w:val="001D653C"/>
    <w:rsid w:val="001D699C"/>
    <w:rsid w:val="001D6D7F"/>
    <w:rsid w:val="001D6EA0"/>
    <w:rsid w:val="001D6FB3"/>
    <w:rsid w:val="001D78E5"/>
    <w:rsid w:val="001E08AE"/>
    <w:rsid w:val="001E0DC5"/>
    <w:rsid w:val="001E10D3"/>
    <w:rsid w:val="001E1908"/>
    <w:rsid w:val="001E19D4"/>
    <w:rsid w:val="001E30B8"/>
    <w:rsid w:val="001E31D8"/>
    <w:rsid w:val="001E3DC0"/>
    <w:rsid w:val="001E3E70"/>
    <w:rsid w:val="001E41E5"/>
    <w:rsid w:val="001E5DA5"/>
    <w:rsid w:val="001E5DDD"/>
    <w:rsid w:val="001E63D3"/>
    <w:rsid w:val="001E6632"/>
    <w:rsid w:val="001E7A9B"/>
    <w:rsid w:val="001F07A1"/>
    <w:rsid w:val="001F0A3C"/>
    <w:rsid w:val="001F1255"/>
    <w:rsid w:val="001F1D90"/>
    <w:rsid w:val="001F3190"/>
    <w:rsid w:val="001F33D1"/>
    <w:rsid w:val="001F3E39"/>
    <w:rsid w:val="001F451E"/>
    <w:rsid w:val="001F4744"/>
    <w:rsid w:val="001F4819"/>
    <w:rsid w:val="001F4855"/>
    <w:rsid w:val="001F4D20"/>
    <w:rsid w:val="001F4E23"/>
    <w:rsid w:val="001F4EA1"/>
    <w:rsid w:val="001F4ED6"/>
    <w:rsid w:val="001F52ED"/>
    <w:rsid w:val="001F558C"/>
    <w:rsid w:val="001F592D"/>
    <w:rsid w:val="001F5C83"/>
    <w:rsid w:val="001F5EF1"/>
    <w:rsid w:val="001F6294"/>
    <w:rsid w:val="001F687D"/>
    <w:rsid w:val="001F6C2B"/>
    <w:rsid w:val="001F7217"/>
    <w:rsid w:val="001F72E3"/>
    <w:rsid w:val="001F79A9"/>
    <w:rsid w:val="002003F3"/>
    <w:rsid w:val="00201145"/>
    <w:rsid w:val="002012D1"/>
    <w:rsid w:val="002020A7"/>
    <w:rsid w:val="00202B2B"/>
    <w:rsid w:val="002030A5"/>
    <w:rsid w:val="00203DAF"/>
    <w:rsid w:val="00204707"/>
    <w:rsid w:val="00206183"/>
    <w:rsid w:val="002067B0"/>
    <w:rsid w:val="00206A26"/>
    <w:rsid w:val="00206EE9"/>
    <w:rsid w:val="00207368"/>
    <w:rsid w:val="00207AA7"/>
    <w:rsid w:val="00207B4A"/>
    <w:rsid w:val="00207CED"/>
    <w:rsid w:val="00207E72"/>
    <w:rsid w:val="00207F7D"/>
    <w:rsid w:val="00210C7A"/>
    <w:rsid w:val="00210D41"/>
    <w:rsid w:val="0021104B"/>
    <w:rsid w:val="002115ED"/>
    <w:rsid w:val="00211A4B"/>
    <w:rsid w:val="00211B51"/>
    <w:rsid w:val="00211DD9"/>
    <w:rsid w:val="00213370"/>
    <w:rsid w:val="00213AA1"/>
    <w:rsid w:val="00214060"/>
    <w:rsid w:val="00214148"/>
    <w:rsid w:val="00215F52"/>
    <w:rsid w:val="00216687"/>
    <w:rsid w:val="00216EEE"/>
    <w:rsid w:val="002171AA"/>
    <w:rsid w:val="002177FC"/>
    <w:rsid w:val="00217861"/>
    <w:rsid w:val="002178E0"/>
    <w:rsid w:val="00217A3F"/>
    <w:rsid w:val="00217AE6"/>
    <w:rsid w:val="0022095B"/>
    <w:rsid w:val="00220A0D"/>
    <w:rsid w:val="00220E2D"/>
    <w:rsid w:val="00221B9C"/>
    <w:rsid w:val="00222198"/>
    <w:rsid w:val="002223A7"/>
    <w:rsid w:val="002223DA"/>
    <w:rsid w:val="00222CC6"/>
    <w:rsid w:val="0022338D"/>
    <w:rsid w:val="002233AE"/>
    <w:rsid w:val="00223430"/>
    <w:rsid w:val="00223DFE"/>
    <w:rsid w:val="00223FC1"/>
    <w:rsid w:val="00224032"/>
    <w:rsid w:val="0022420F"/>
    <w:rsid w:val="00224584"/>
    <w:rsid w:val="00224AF9"/>
    <w:rsid w:val="00224EF2"/>
    <w:rsid w:val="00225315"/>
    <w:rsid w:val="00225AFA"/>
    <w:rsid w:val="00225D54"/>
    <w:rsid w:val="002263B4"/>
    <w:rsid w:val="00226ADB"/>
    <w:rsid w:val="00226B31"/>
    <w:rsid w:val="002275A8"/>
    <w:rsid w:val="00230068"/>
    <w:rsid w:val="002302D5"/>
    <w:rsid w:val="0023078B"/>
    <w:rsid w:val="002308AF"/>
    <w:rsid w:val="00230D12"/>
    <w:rsid w:val="00231009"/>
    <w:rsid w:val="002310BA"/>
    <w:rsid w:val="002314B8"/>
    <w:rsid w:val="0023165A"/>
    <w:rsid w:val="0023177F"/>
    <w:rsid w:val="002319F1"/>
    <w:rsid w:val="00231DBF"/>
    <w:rsid w:val="00231EFE"/>
    <w:rsid w:val="002322FD"/>
    <w:rsid w:val="00233D82"/>
    <w:rsid w:val="00233D83"/>
    <w:rsid w:val="002345FC"/>
    <w:rsid w:val="00234774"/>
    <w:rsid w:val="00234990"/>
    <w:rsid w:val="00235143"/>
    <w:rsid w:val="00235461"/>
    <w:rsid w:val="00235800"/>
    <w:rsid w:val="00235947"/>
    <w:rsid w:val="0023708C"/>
    <w:rsid w:val="00237100"/>
    <w:rsid w:val="002402AD"/>
    <w:rsid w:val="002410E3"/>
    <w:rsid w:val="00241850"/>
    <w:rsid w:val="00242C71"/>
    <w:rsid w:val="00243642"/>
    <w:rsid w:val="00243781"/>
    <w:rsid w:val="002447C0"/>
    <w:rsid w:val="002448A4"/>
    <w:rsid w:val="002449CE"/>
    <w:rsid w:val="00245181"/>
    <w:rsid w:val="00246651"/>
    <w:rsid w:val="00246661"/>
    <w:rsid w:val="002479E3"/>
    <w:rsid w:val="00251A06"/>
    <w:rsid w:val="00251B74"/>
    <w:rsid w:val="00251BE0"/>
    <w:rsid w:val="00251C2C"/>
    <w:rsid w:val="00251C50"/>
    <w:rsid w:val="002521C1"/>
    <w:rsid w:val="002522B1"/>
    <w:rsid w:val="00252D1E"/>
    <w:rsid w:val="0025336E"/>
    <w:rsid w:val="00253489"/>
    <w:rsid w:val="002538E6"/>
    <w:rsid w:val="00253C2C"/>
    <w:rsid w:val="00253C7A"/>
    <w:rsid w:val="00254717"/>
    <w:rsid w:val="0025487B"/>
    <w:rsid w:val="00254AF7"/>
    <w:rsid w:val="00254D9F"/>
    <w:rsid w:val="002552E8"/>
    <w:rsid w:val="002559F3"/>
    <w:rsid w:val="002564C8"/>
    <w:rsid w:val="0025672C"/>
    <w:rsid w:val="00256A1D"/>
    <w:rsid w:val="00256E08"/>
    <w:rsid w:val="00256F26"/>
    <w:rsid w:val="002574CC"/>
    <w:rsid w:val="0025757F"/>
    <w:rsid w:val="002578BE"/>
    <w:rsid w:val="002609F6"/>
    <w:rsid w:val="0026100D"/>
    <w:rsid w:val="002610BB"/>
    <w:rsid w:val="0026157A"/>
    <w:rsid w:val="0026169E"/>
    <w:rsid w:val="00261EF4"/>
    <w:rsid w:val="002629BB"/>
    <w:rsid w:val="00262AF0"/>
    <w:rsid w:val="00262B07"/>
    <w:rsid w:val="00263215"/>
    <w:rsid w:val="00263268"/>
    <w:rsid w:val="002640CA"/>
    <w:rsid w:val="0026418D"/>
    <w:rsid w:val="002643B9"/>
    <w:rsid w:val="00264B0A"/>
    <w:rsid w:val="00264E90"/>
    <w:rsid w:val="00264FE3"/>
    <w:rsid w:val="00265DB4"/>
    <w:rsid w:val="00266CF5"/>
    <w:rsid w:val="002670DE"/>
    <w:rsid w:val="002672D0"/>
    <w:rsid w:val="002703BF"/>
    <w:rsid w:val="00270CEC"/>
    <w:rsid w:val="00271BC5"/>
    <w:rsid w:val="00272867"/>
    <w:rsid w:val="00272C7F"/>
    <w:rsid w:val="0027396D"/>
    <w:rsid w:val="00275151"/>
    <w:rsid w:val="00275AA8"/>
    <w:rsid w:val="00275D0E"/>
    <w:rsid w:val="0027646B"/>
    <w:rsid w:val="00276F77"/>
    <w:rsid w:val="0027733B"/>
    <w:rsid w:val="002776B8"/>
    <w:rsid w:val="00277E66"/>
    <w:rsid w:val="0028001F"/>
    <w:rsid w:val="002804C0"/>
    <w:rsid w:val="002805BB"/>
    <w:rsid w:val="00280611"/>
    <w:rsid w:val="00280DB8"/>
    <w:rsid w:val="00280E95"/>
    <w:rsid w:val="0028111A"/>
    <w:rsid w:val="00281636"/>
    <w:rsid w:val="00283855"/>
    <w:rsid w:val="002839A8"/>
    <w:rsid w:val="00283C6E"/>
    <w:rsid w:val="00284505"/>
    <w:rsid w:val="00285B58"/>
    <w:rsid w:val="00285ED9"/>
    <w:rsid w:val="00286D97"/>
    <w:rsid w:val="00286FF1"/>
    <w:rsid w:val="00287356"/>
    <w:rsid w:val="002873F3"/>
    <w:rsid w:val="00287830"/>
    <w:rsid w:val="00291AA5"/>
    <w:rsid w:val="002923AE"/>
    <w:rsid w:val="0029293E"/>
    <w:rsid w:val="00292997"/>
    <w:rsid w:val="002930FE"/>
    <w:rsid w:val="002938F6"/>
    <w:rsid w:val="00293BE5"/>
    <w:rsid w:val="00293D1C"/>
    <w:rsid w:val="00293E87"/>
    <w:rsid w:val="00293F25"/>
    <w:rsid w:val="00294031"/>
    <w:rsid w:val="00294365"/>
    <w:rsid w:val="00294649"/>
    <w:rsid w:val="00295655"/>
    <w:rsid w:val="00296B62"/>
    <w:rsid w:val="00297768"/>
    <w:rsid w:val="002A066D"/>
    <w:rsid w:val="002A0C63"/>
    <w:rsid w:val="002A0F34"/>
    <w:rsid w:val="002A142D"/>
    <w:rsid w:val="002A2D92"/>
    <w:rsid w:val="002A39EE"/>
    <w:rsid w:val="002A4867"/>
    <w:rsid w:val="002A4E46"/>
    <w:rsid w:val="002A77B1"/>
    <w:rsid w:val="002A7ACE"/>
    <w:rsid w:val="002A7B3E"/>
    <w:rsid w:val="002A7B4B"/>
    <w:rsid w:val="002B071A"/>
    <w:rsid w:val="002B0801"/>
    <w:rsid w:val="002B087F"/>
    <w:rsid w:val="002B1349"/>
    <w:rsid w:val="002B2136"/>
    <w:rsid w:val="002B24F5"/>
    <w:rsid w:val="002B2857"/>
    <w:rsid w:val="002B2954"/>
    <w:rsid w:val="002B2C65"/>
    <w:rsid w:val="002B30D7"/>
    <w:rsid w:val="002B331E"/>
    <w:rsid w:val="002B3728"/>
    <w:rsid w:val="002B4075"/>
    <w:rsid w:val="002B4A80"/>
    <w:rsid w:val="002B4D91"/>
    <w:rsid w:val="002B5060"/>
    <w:rsid w:val="002B559A"/>
    <w:rsid w:val="002B55D7"/>
    <w:rsid w:val="002B5870"/>
    <w:rsid w:val="002B5B80"/>
    <w:rsid w:val="002B61A8"/>
    <w:rsid w:val="002B6370"/>
    <w:rsid w:val="002B6CD6"/>
    <w:rsid w:val="002B6FCC"/>
    <w:rsid w:val="002B7DBA"/>
    <w:rsid w:val="002C00DB"/>
    <w:rsid w:val="002C0F84"/>
    <w:rsid w:val="002C1782"/>
    <w:rsid w:val="002C18F1"/>
    <w:rsid w:val="002C1F48"/>
    <w:rsid w:val="002C1FC8"/>
    <w:rsid w:val="002C25AB"/>
    <w:rsid w:val="002C2C14"/>
    <w:rsid w:val="002C3153"/>
    <w:rsid w:val="002C3968"/>
    <w:rsid w:val="002C3AA2"/>
    <w:rsid w:val="002C428D"/>
    <w:rsid w:val="002C4AD2"/>
    <w:rsid w:val="002C4E19"/>
    <w:rsid w:val="002C5ADC"/>
    <w:rsid w:val="002C6808"/>
    <w:rsid w:val="002C6C07"/>
    <w:rsid w:val="002D00A8"/>
    <w:rsid w:val="002D091B"/>
    <w:rsid w:val="002D0CA9"/>
    <w:rsid w:val="002D0CC1"/>
    <w:rsid w:val="002D0DDD"/>
    <w:rsid w:val="002D1D18"/>
    <w:rsid w:val="002D21A3"/>
    <w:rsid w:val="002D2D14"/>
    <w:rsid w:val="002D3490"/>
    <w:rsid w:val="002D3F53"/>
    <w:rsid w:val="002D43BE"/>
    <w:rsid w:val="002D4414"/>
    <w:rsid w:val="002D4B3A"/>
    <w:rsid w:val="002D5465"/>
    <w:rsid w:val="002D6159"/>
    <w:rsid w:val="002D6218"/>
    <w:rsid w:val="002D770C"/>
    <w:rsid w:val="002D7A9F"/>
    <w:rsid w:val="002E086E"/>
    <w:rsid w:val="002E0C9E"/>
    <w:rsid w:val="002E1663"/>
    <w:rsid w:val="002E1CA6"/>
    <w:rsid w:val="002E20CE"/>
    <w:rsid w:val="002E2148"/>
    <w:rsid w:val="002E433A"/>
    <w:rsid w:val="002E46D8"/>
    <w:rsid w:val="002E4A4E"/>
    <w:rsid w:val="002E524C"/>
    <w:rsid w:val="002E5904"/>
    <w:rsid w:val="002E6053"/>
    <w:rsid w:val="002E6A23"/>
    <w:rsid w:val="002E6B69"/>
    <w:rsid w:val="002E71E6"/>
    <w:rsid w:val="002E72DF"/>
    <w:rsid w:val="002E7461"/>
    <w:rsid w:val="002E775D"/>
    <w:rsid w:val="002E788D"/>
    <w:rsid w:val="002E7A27"/>
    <w:rsid w:val="002F0746"/>
    <w:rsid w:val="002F0C92"/>
    <w:rsid w:val="002F0F65"/>
    <w:rsid w:val="002F15A8"/>
    <w:rsid w:val="002F18B6"/>
    <w:rsid w:val="002F22C6"/>
    <w:rsid w:val="002F30A6"/>
    <w:rsid w:val="002F345E"/>
    <w:rsid w:val="002F3723"/>
    <w:rsid w:val="002F4610"/>
    <w:rsid w:val="002F5439"/>
    <w:rsid w:val="002F5CCF"/>
    <w:rsid w:val="002F61D2"/>
    <w:rsid w:val="002F62A6"/>
    <w:rsid w:val="002F62CF"/>
    <w:rsid w:val="002F62D6"/>
    <w:rsid w:val="002F704F"/>
    <w:rsid w:val="002F73C5"/>
    <w:rsid w:val="002F794C"/>
    <w:rsid w:val="002F7C9D"/>
    <w:rsid w:val="003005DF"/>
    <w:rsid w:val="0030109F"/>
    <w:rsid w:val="003015F5"/>
    <w:rsid w:val="00301638"/>
    <w:rsid w:val="00302205"/>
    <w:rsid w:val="00302DA9"/>
    <w:rsid w:val="00303008"/>
    <w:rsid w:val="0030423D"/>
    <w:rsid w:val="00304753"/>
    <w:rsid w:val="003053FF"/>
    <w:rsid w:val="00305850"/>
    <w:rsid w:val="003058E7"/>
    <w:rsid w:val="00305F5A"/>
    <w:rsid w:val="00306610"/>
    <w:rsid w:val="003069EC"/>
    <w:rsid w:val="00306E4F"/>
    <w:rsid w:val="00306FA6"/>
    <w:rsid w:val="0030793F"/>
    <w:rsid w:val="00311860"/>
    <w:rsid w:val="0031194A"/>
    <w:rsid w:val="00311F63"/>
    <w:rsid w:val="0031279D"/>
    <w:rsid w:val="003129C2"/>
    <w:rsid w:val="00313719"/>
    <w:rsid w:val="00313A28"/>
    <w:rsid w:val="003142C2"/>
    <w:rsid w:val="00314562"/>
    <w:rsid w:val="00314841"/>
    <w:rsid w:val="00315152"/>
    <w:rsid w:val="0031524F"/>
    <w:rsid w:val="00315681"/>
    <w:rsid w:val="00315771"/>
    <w:rsid w:val="00315AA3"/>
    <w:rsid w:val="00315ED5"/>
    <w:rsid w:val="0031670B"/>
    <w:rsid w:val="00320301"/>
    <w:rsid w:val="003203C7"/>
    <w:rsid w:val="00320A87"/>
    <w:rsid w:val="00320AB6"/>
    <w:rsid w:val="00320AD4"/>
    <w:rsid w:val="00320E89"/>
    <w:rsid w:val="0032149C"/>
    <w:rsid w:val="003216A6"/>
    <w:rsid w:val="00321E61"/>
    <w:rsid w:val="003225CE"/>
    <w:rsid w:val="003238F5"/>
    <w:rsid w:val="00323D1B"/>
    <w:rsid w:val="00324970"/>
    <w:rsid w:val="00324D83"/>
    <w:rsid w:val="00324D9E"/>
    <w:rsid w:val="003250F4"/>
    <w:rsid w:val="00325B4C"/>
    <w:rsid w:val="003262FC"/>
    <w:rsid w:val="00326C84"/>
    <w:rsid w:val="0032727F"/>
    <w:rsid w:val="00327CA8"/>
    <w:rsid w:val="00327F3B"/>
    <w:rsid w:val="0033000F"/>
    <w:rsid w:val="003301C2"/>
    <w:rsid w:val="0033083C"/>
    <w:rsid w:val="003308C7"/>
    <w:rsid w:val="00330D91"/>
    <w:rsid w:val="003315BB"/>
    <w:rsid w:val="00331EB9"/>
    <w:rsid w:val="00332109"/>
    <w:rsid w:val="00332A2C"/>
    <w:rsid w:val="00333A1D"/>
    <w:rsid w:val="00333D85"/>
    <w:rsid w:val="003345B2"/>
    <w:rsid w:val="0033476B"/>
    <w:rsid w:val="00334EAA"/>
    <w:rsid w:val="00334EB8"/>
    <w:rsid w:val="003354F3"/>
    <w:rsid w:val="00335594"/>
    <w:rsid w:val="00335C1B"/>
    <w:rsid w:val="00336529"/>
    <w:rsid w:val="00336F1B"/>
    <w:rsid w:val="00336FE9"/>
    <w:rsid w:val="003372A0"/>
    <w:rsid w:val="00337C0C"/>
    <w:rsid w:val="00337CF3"/>
    <w:rsid w:val="00337F42"/>
    <w:rsid w:val="00340204"/>
    <w:rsid w:val="003403BE"/>
    <w:rsid w:val="003405FE"/>
    <w:rsid w:val="003417F4"/>
    <w:rsid w:val="00341C79"/>
    <w:rsid w:val="0034201C"/>
    <w:rsid w:val="00342418"/>
    <w:rsid w:val="00344D44"/>
    <w:rsid w:val="003453CD"/>
    <w:rsid w:val="0034621F"/>
    <w:rsid w:val="003462FB"/>
    <w:rsid w:val="00346FFF"/>
    <w:rsid w:val="00350051"/>
    <w:rsid w:val="0035011A"/>
    <w:rsid w:val="00350EA0"/>
    <w:rsid w:val="00351E37"/>
    <w:rsid w:val="00352921"/>
    <w:rsid w:val="00352DC3"/>
    <w:rsid w:val="00352F41"/>
    <w:rsid w:val="0035324B"/>
    <w:rsid w:val="0035359A"/>
    <w:rsid w:val="003537DC"/>
    <w:rsid w:val="003537EA"/>
    <w:rsid w:val="0035408C"/>
    <w:rsid w:val="00354B55"/>
    <w:rsid w:val="00354D10"/>
    <w:rsid w:val="00354EED"/>
    <w:rsid w:val="00355B6E"/>
    <w:rsid w:val="003568B4"/>
    <w:rsid w:val="003569FE"/>
    <w:rsid w:val="00356BD0"/>
    <w:rsid w:val="003579BD"/>
    <w:rsid w:val="00357B63"/>
    <w:rsid w:val="00357F25"/>
    <w:rsid w:val="0036074D"/>
    <w:rsid w:val="003609EF"/>
    <w:rsid w:val="00360BF5"/>
    <w:rsid w:val="00361202"/>
    <w:rsid w:val="00361713"/>
    <w:rsid w:val="0036248C"/>
    <w:rsid w:val="00362874"/>
    <w:rsid w:val="00362975"/>
    <w:rsid w:val="00362F84"/>
    <w:rsid w:val="00363634"/>
    <w:rsid w:val="00363B43"/>
    <w:rsid w:val="00363E81"/>
    <w:rsid w:val="00363EA5"/>
    <w:rsid w:val="00363FEC"/>
    <w:rsid w:val="0036469C"/>
    <w:rsid w:val="003654A2"/>
    <w:rsid w:val="00365AD0"/>
    <w:rsid w:val="00366D48"/>
    <w:rsid w:val="0036745B"/>
    <w:rsid w:val="003675F5"/>
    <w:rsid w:val="00367B98"/>
    <w:rsid w:val="0037039E"/>
    <w:rsid w:val="00370794"/>
    <w:rsid w:val="00370A0A"/>
    <w:rsid w:val="00370A73"/>
    <w:rsid w:val="00370BF1"/>
    <w:rsid w:val="00370BF6"/>
    <w:rsid w:val="003710CC"/>
    <w:rsid w:val="003717CD"/>
    <w:rsid w:val="00371951"/>
    <w:rsid w:val="00371958"/>
    <w:rsid w:val="00371CF2"/>
    <w:rsid w:val="00372459"/>
    <w:rsid w:val="00372788"/>
    <w:rsid w:val="00373467"/>
    <w:rsid w:val="00373839"/>
    <w:rsid w:val="00374016"/>
    <w:rsid w:val="0037495A"/>
    <w:rsid w:val="0037509E"/>
    <w:rsid w:val="003753C0"/>
    <w:rsid w:val="003758CC"/>
    <w:rsid w:val="00375B78"/>
    <w:rsid w:val="00376ED6"/>
    <w:rsid w:val="00377159"/>
    <w:rsid w:val="003777B4"/>
    <w:rsid w:val="00377857"/>
    <w:rsid w:val="003800D3"/>
    <w:rsid w:val="00380545"/>
    <w:rsid w:val="003808BA"/>
    <w:rsid w:val="003813E3"/>
    <w:rsid w:val="003819A7"/>
    <w:rsid w:val="00383126"/>
    <w:rsid w:val="00383314"/>
    <w:rsid w:val="003834FF"/>
    <w:rsid w:val="0038376F"/>
    <w:rsid w:val="003840E2"/>
    <w:rsid w:val="00384A0A"/>
    <w:rsid w:val="00384F3C"/>
    <w:rsid w:val="0038529F"/>
    <w:rsid w:val="00385590"/>
    <w:rsid w:val="0038575B"/>
    <w:rsid w:val="00385833"/>
    <w:rsid w:val="00385F76"/>
    <w:rsid w:val="00386501"/>
    <w:rsid w:val="00386A2A"/>
    <w:rsid w:val="00386B72"/>
    <w:rsid w:val="00386CFF"/>
    <w:rsid w:val="00387634"/>
    <w:rsid w:val="00390012"/>
    <w:rsid w:val="0039098D"/>
    <w:rsid w:val="00390AD2"/>
    <w:rsid w:val="00391BF2"/>
    <w:rsid w:val="00391D4A"/>
    <w:rsid w:val="00392837"/>
    <w:rsid w:val="00392919"/>
    <w:rsid w:val="00393039"/>
    <w:rsid w:val="0039388E"/>
    <w:rsid w:val="00393FB7"/>
    <w:rsid w:val="00394483"/>
    <w:rsid w:val="003944F9"/>
    <w:rsid w:val="00395F06"/>
    <w:rsid w:val="00395F21"/>
    <w:rsid w:val="0039684B"/>
    <w:rsid w:val="00396B38"/>
    <w:rsid w:val="0039726F"/>
    <w:rsid w:val="00397481"/>
    <w:rsid w:val="003976BB"/>
    <w:rsid w:val="00397FCE"/>
    <w:rsid w:val="003A008B"/>
    <w:rsid w:val="003A0B66"/>
    <w:rsid w:val="003A1EF8"/>
    <w:rsid w:val="003A1FEA"/>
    <w:rsid w:val="003A2125"/>
    <w:rsid w:val="003A39CA"/>
    <w:rsid w:val="003A3B04"/>
    <w:rsid w:val="003A3FE8"/>
    <w:rsid w:val="003A4E32"/>
    <w:rsid w:val="003A528F"/>
    <w:rsid w:val="003A5870"/>
    <w:rsid w:val="003A6F00"/>
    <w:rsid w:val="003A7ADD"/>
    <w:rsid w:val="003A7B58"/>
    <w:rsid w:val="003A7E12"/>
    <w:rsid w:val="003B007F"/>
    <w:rsid w:val="003B13C6"/>
    <w:rsid w:val="003B1CDB"/>
    <w:rsid w:val="003B2018"/>
    <w:rsid w:val="003B2422"/>
    <w:rsid w:val="003B317E"/>
    <w:rsid w:val="003B3A78"/>
    <w:rsid w:val="003B467E"/>
    <w:rsid w:val="003B4E0E"/>
    <w:rsid w:val="003B59C7"/>
    <w:rsid w:val="003B65F6"/>
    <w:rsid w:val="003C03DD"/>
    <w:rsid w:val="003C0900"/>
    <w:rsid w:val="003C1127"/>
    <w:rsid w:val="003C1544"/>
    <w:rsid w:val="003C1634"/>
    <w:rsid w:val="003C1B24"/>
    <w:rsid w:val="003C2778"/>
    <w:rsid w:val="003C2A1F"/>
    <w:rsid w:val="003C2AA7"/>
    <w:rsid w:val="003C2E1F"/>
    <w:rsid w:val="003C31A3"/>
    <w:rsid w:val="003C33CF"/>
    <w:rsid w:val="003C3884"/>
    <w:rsid w:val="003C3B21"/>
    <w:rsid w:val="003C3EAC"/>
    <w:rsid w:val="003C4FB7"/>
    <w:rsid w:val="003C5949"/>
    <w:rsid w:val="003C5B85"/>
    <w:rsid w:val="003C64D4"/>
    <w:rsid w:val="003C6D48"/>
    <w:rsid w:val="003C7869"/>
    <w:rsid w:val="003C799F"/>
    <w:rsid w:val="003C79C1"/>
    <w:rsid w:val="003C7CEB"/>
    <w:rsid w:val="003D0899"/>
    <w:rsid w:val="003D0F4B"/>
    <w:rsid w:val="003D143F"/>
    <w:rsid w:val="003D1814"/>
    <w:rsid w:val="003D1D6F"/>
    <w:rsid w:val="003D26D8"/>
    <w:rsid w:val="003D325E"/>
    <w:rsid w:val="003D46EE"/>
    <w:rsid w:val="003D4927"/>
    <w:rsid w:val="003D4E4B"/>
    <w:rsid w:val="003D4E98"/>
    <w:rsid w:val="003D50F1"/>
    <w:rsid w:val="003D66E8"/>
    <w:rsid w:val="003D6BCE"/>
    <w:rsid w:val="003D6EED"/>
    <w:rsid w:val="003D7437"/>
    <w:rsid w:val="003D7646"/>
    <w:rsid w:val="003D7783"/>
    <w:rsid w:val="003D7B5F"/>
    <w:rsid w:val="003D7F7C"/>
    <w:rsid w:val="003E0512"/>
    <w:rsid w:val="003E119D"/>
    <w:rsid w:val="003E147F"/>
    <w:rsid w:val="003E14C5"/>
    <w:rsid w:val="003E1D92"/>
    <w:rsid w:val="003E26CF"/>
    <w:rsid w:val="003E2CBC"/>
    <w:rsid w:val="003E3B77"/>
    <w:rsid w:val="003E3FFE"/>
    <w:rsid w:val="003E495F"/>
    <w:rsid w:val="003E5909"/>
    <w:rsid w:val="003E5A14"/>
    <w:rsid w:val="003E5F58"/>
    <w:rsid w:val="003E6E47"/>
    <w:rsid w:val="003E7F6E"/>
    <w:rsid w:val="003F01BC"/>
    <w:rsid w:val="003F081B"/>
    <w:rsid w:val="003F0ECC"/>
    <w:rsid w:val="003F1417"/>
    <w:rsid w:val="003F173B"/>
    <w:rsid w:val="003F2632"/>
    <w:rsid w:val="003F275C"/>
    <w:rsid w:val="003F27EC"/>
    <w:rsid w:val="003F2F58"/>
    <w:rsid w:val="003F34BF"/>
    <w:rsid w:val="003F37C9"/>
    <w:rsid w:val="003F3889"/>
    <w:rsid w:val="003F3F58"/>
    <w:rsid w:val="003F44C2"/>
    <w:rsid w:val="003F45AD"/>
    <w:rsid w:val="003F51C2"/>
    <w:rsid w:val="003F6038"/>
    <w:rsid w:val="003F6178"/>
    <w:rsid w:val="003F7342"/>
    <w:rsid w:val="003F744A"/>
    <w:rsid w:val="00400010"/>
    <w:rsid w:val="0040031C"/>
    <w:rsid w:val="00400A68"/>
    <w:rsid w:val="00401918"/>
    <w:rsid w:val="00401A78"/>
    <w:rsid w:val="00402843"/>
    <w:rsid w:val="00402B8E"/>
    <w:rsid w:val="0040366B"/>
    <w:rsid w:val="00403BEE"/>
    <w:rsid w:val="00403C01"/>
    <w:rsid w:val="00406BE6"/>
    <w:rsid w:val="00407343"/>
    <w:rsid w:val="004077F8"/>
    <w:rsid w:val="00407D92"/>
    <w:rsid w:val="00410534"/>
    <w:rsid w:val="00410FA9"/>
    <w:rsid w:val="00411143"/>
    <w:rsid w:val="00411BBD"/>
    <w:rsid w:val="00411EE7"/>
    <w:rsid w:val="0041294F"/>
    <w:rsid w:val="004129C5"/>
    <w:rsid w:val="00413124"/>
    <w:rsid w:val="004131FE"/>
    <w:rsid w:val="00413345"/>
    <w:rsid w:val="00413F2F"/>
    <w:rsid w:val="0041417D"/>
    <w:rsid w:val="00414FCA"/>
    <w:rsid w:val="004154C4"/>
    <w:rsid w:val="004157F8"/>
    <w:rsid w:val="00415857"/>
    <w:rsid w:val="00416174"/>
    <w:rsid w:val="00416AFF"/>
    <w:rsid w:val="00416CB3"/>
    <w:rsid w:val="00416DA9"/>
    <w:rsid w:val="00417981"/>
    <w:rsid w:val="00420368"/>
    <w:rsid w:val="00420873"/>
    <w:rsid w:val="0042098E"/>
    <w:rsid w:val="004209E3"/>
    <w:rsid w:val="00421173"/>
    <w:rsid w:val="00421BC7"/>
    <w:rsid w:val="004228E1"/>
    <w:rsid w:val="00422BFF"/>
    <w:rsid w:val="00422CC4"/>
    <w:rsid w:val="0042373A"/>
    <w:rsid w:val="0042389F"/>
    <w:rsid w:val="0042408B"/>
    <w:rsid w:val="004240F0"/>
    <w:rsid w:val="004249D6"/>
    <w:rsid w:val="00425104"/>
    <w:rsid w:val="00426938"/>
    <w:rsid w:val="00427D5B"/>
    <w:rsid w:val="004309E0"/>
    <w:rsid w:val="004319FA"/>
    <w:rsid w:val="00431A0C"/>
    <w:rsid w:val="00432081"/>
    <w:rsid w:val="004335CF"/>
    <w:rsid w:val="00434254"/>
    <w:rsid w:val="004342A1"/>
    <w:rsid w:val="004350C1"/>
    <w:rsid w:val="004350FF"/>
    <w:rsid w:val="0043552F"/>
    <w:rsid w:val="004357D1"/>
    <w:rsid w:val="00436A35"/>
    <w:rsid w:val="00436BD6"/>
    <w:rsid w:val="00436DAF"/>
    <w:rsid w:val="00441202"/>
    <w:rsid w:val="004412C7"/>
    <w:rsid w:val="00442E38"/>
    <w:rsid w:val="004430F5"/>
    <w:rsid w:val="004433F7"/>
    <w:rsid w:val="004440D4"/>
    <w:rsid w:val="004444E2"/>
    <w:rsid w:val="004449AD"/>
    <w:rsid w:val="004450E9"/>
    <w:rsid w:val="004452F2"/>
    <w:rsid w:val="00445504"/>
    <w:rsid w:val="00445561"/>
    <w:rsid w:val="00445692"/>
    <w:rsid w:val="0044592B"/>
    <w:rsid w:val="00445B7A"/>
    <w:rsid w:val="00445E98"/>
    <w:rsid w:val="004464B0"/>
    <w:rsid w:val="00446873"/>
    <w:rsid w:val="00447068"/>
    <w:rsid w:val="00447558"/>
    <w:rsid w:val="0045007A"/>
    <w:rsid w:val="004500AC"/>
    <w:rsid w:val="00451564"/>
    <w:rsid w:val="0045180C"/>
    <w:rsid w:val="00451C1D"/>
    <w:rsid w:val="00452127"/>
    <w:rsid w:val="0045278C"/>
    <w:rsid w:val="004532D2"/>
    <w:rsid w:val="004534C7"/>
    <w:rsid w:val="0045382C"/>
    <w:rsid w:val="00453C39"/>
    <w:rsid w:val="00454402"/>
    <w:rsid w:val="00454B00"/>
    <w:rsid w:val="00454D6A"/>
    <w:rsid w:val="00454DFB"/>
    <w:rsid w:val="004561D8"/>
    <w:rsid w:val="00456612"/>
    <w:rsid w:val="0045791B"/>
    <w:rsid w:val="00457A3B"/>
    <w:rsid w:val="00457CA9"/>
    <w:rsid w:val="00457E66"/>
    <w:rsid w:val="00457EEC"/>
    <w:rsid w:val="00460889"/>
    <w:rsid w:val="004622A0"/>
    <w:rsid w:val="004625F7"/>
    <w:rsid w:val="00462C73"/>
    <w:rsid w:val="00462CAA"/>
    <w:rsid w:val="0046381F"/>
    <w:rsid w:val="004647B0"/>
    <w:rsid w:val="00465552"/>
    <w:rsid w:val="00465796"/>
    <w:rsid w:val="00466A56"/>
    <w:rsid w:val="0047001D"/>
    <w:rsid w:val="00470B3E"/>
    <w:rsid w:val="00470F87"/>
    <w:rsid w:val="00470FAA"/>
    <w:rsid w:val="00471A68"/>
    <w:rsid w:val="00472257"/>
    <w:rsid w:val="004725B8"/>
    <w:rsid w:val="004725BD"/>
    <w:rsid w:val="004725BF"/>
    <w:rsid w:val="00472BEF"/>
    <w:rsid w:val="00472C94"/>
    <w:rsid w:val="00473998"/>
    <w:rsid w:val="00473DDC"/>
    <w:rsid w:val="00474B97"/>
    <w:rsid w:val="00475494"/>
    <w:rsid w:val="00475727"/>
    <w:rsid w:val="00476244"/>
    <w:rsid w:val="00476958"/>
    <w:rsid w:val="0047750E"/>
    <w:rsid w:val="00477552"/>
    <w:rsid w:val="004776BE"/>
    <w:rsid w:val="00477B32"/>
    <w:rsid w:val="00480095"/>
    <w:rsid w:val="0048021C"/>
    <w:rsid w:val="00480931"/>
    <w:rsid w:val="00480C94"/>
    <w:rsid w:val="00480DE9"/>
    <w:rsid w:val="00480FB8"/>
    <w:rsid w:val="004828B9"/>
    <w:rsid w:val="00482A11"/>
    <w:rsid w:val="004839D3"/>
    <w:rsid w:val="00483BA0"/>
    <w:rsid w:val="00483E05"/>
    <w:rsid w:val="00484840"/>
    <w:rsid w:val="00484A4D"/>
    <w:rsid w:val="00484D89"/>
    <w:rsid w:val="00485CB8"/>
    <w:rsid w:val="004865F8"/>
    <w:rsid w:val="00486788"/>
    <w:rsid w:val="004868B1"/>
    <w:rsid w:val="00486CDC"/>
    <w:rsid w:val="004874F1"/>
    <w:rsid w:val="00487B60"/>
    <w:rsid w:val="00490540"/>
    <w:rsid w:val="004909DD"/>
    <w:rsid w:val="00490B6A"/>
    <w:rsid w:val="00490B9A"/>
    <w:rsid w:val="0049109E"/>
    <w:rsid w:val="00491199"/>
    <w:rsid w:val="004918DA"/>
    <w:rsid w:val="00491C22"/>
    <w:rsid w:val="00491CED"/>
    <w:rsid w:val="00492225"/>
    <w:rsid w:val="00492E73"/>
    <w:rsid w:val="00493BD6"/>
    <w:rsid w:val="0049441F"/>
    <w:rsid w:val="0049463F"/>
    <w:rsid w:val="00494E11"/>
    <w:rsid w:val="00495523"/>
    <w:rsid w:val="0049593B"/>
    <w:rsid w:val="00495EBB"/>
    <w:rsid w:val="00496599"/>
    <w:rsid w:val="004968F6"/>
    <w:rsid w:val="00496973"/>
    <w:rsid w:val="00497B3D"/>
    <w:rsid w:val="004A0881"/>
    <w:rsid w:val="004A161C"/>
    <w:rsid w:val="004A186A"/>
    <w:rsid w:val="004A1FAC"/>
    <w:rsid w:val="004A209E"/>
    <w:rsid w:val="004A22C0"/>
    <w:rsid w:val="004A23FC"/>
    <w:rsid w:val="004A2495"/>
    <w:rsid w:val="004A2AF3"/>
    <w:rsid w:val="004A3C94"/>
    <w:rsid w:val="004A44D5"/>
    <w:rsid w:val="004A44EE"/>
    <w:rsid w:val="004A4526"/>
    <w:rsid w:val="004A458A"/>
    <w:rsid w:val="004A519F"/>
    <w:rsid w:val="004A5AE3"/>
    <w:rsid w:val="004A6067"/>
    <w:rsid w:val="004A6448"/>
    <w:rsid w:val="004A67E2"/>
    <w:rsid w:val="004A6ABD"/>
    <w:rsid w:val="004A7557"/>
    <w:rsid w:val="004B0185"/>
    <w:rsid w:val="004B0543"/>
    <w:rsid w:val="004B12BE"/>
    <w:rsid w:val="004B1522"/>
    <w:rsid w:val="004B16D3"/>
    <w:rsid w:val="004B19BB"/>
    <w:rsid w:val="004B2194"/>
    <w:rsid w:val="004B21B8"/>
    <w:rsid w:val="004B3213"/>
    <w:rsid w:val="004B3474"/>
    <w:rsid w:val="004B365A"/>
    <w:rsid w:val="004B45BC"/>
    <w:rsid w:val="004B4B3E"/>
    <w:rsid w:val="004B50B8"/>
    <w:rsid w:val="004B5129"/>
    <w:rsid w:val="004B524D"/>
    <w:rsid w:val="004B5573"/>
    <w:rsid w:val="004B5636"/>
    <w:rsid w:val="004B63F1"/>
    <w:rsid w:val="004B6492"/>
    <w:rsid w:val="004B64B5"/>
    <w:rsid w:val="004B66C7"/>
    <w:rsid w:val="004B6A39"/>
    <w:rsid w:val="004B6ED5"/>
    <w:rsid w:val="004B740A"/>
    <w:rsid w:val="004B7742"/>
    <w:rsid w:val="004C02E7"/>
    <w:rsid w:val="004C0348"/>
    <w:rsid w:val="004C0D7D"/>
    <w:rsid w:val="004C0EB0"/>
    <w:rsid w:val="004C10E5"/>
    <w:rsid w:val="004C1502"/>
    <w:rsid w:val="004C1772"/>
    <w:rsid w:val="004C18B6"/>
    <w:rsid w:val="004C2639"/>
    <w:rsid w:val="004C2BA5"/>
    <w:rsid w:val="004C2BEF"/>
    <w:rsid w:val="004C3058"/>
    <w:rsid w:val="004C3754"/>
    <w:rsid w:val="004C54A5"/>
    <w:rsid w:val="004C5971"/>
    <w:rsid w:val="004C5BA4"/>
    <w:rsid w:val="004C5BB8"/>
    <w:rsid w:val="004C5FC0"/>
    <w:rsid w:val="004C6392"/>
    <w:rsid w:val="004C64A7"/>
    <w:rsid w:val="004C663C"/>
    <w:rsid w:val="004C7885"/>
    <w:rsid w:val="004C7D93"/>
    <w:rsid w:val="004C7E3F"/>
    <w:rsid w:val="004C7ED2"/>
    <w:rsid w:val="004D07AC"/>
    <w:rsid w:val="004D0AA3"/>
    <w:rsid w:val="004D12CF"/>
    <w:rsid w:val="004D1846"/>
    <w:rsid w:val="004D2ACE"/>
    <w:rsid w:val="004D3128"/>
    <w:rsid w:val="004D3261"/>
    <w:rsid w:val="004D3981"/>
    <w:rsid w:val="004D4609"/>
    <w:rsid w:val="004D4A62"/>
    <w:rsid w:val="004D5157"/>
    <w:rsid w:val="004D5301"/>
    <w:rsid w:val="004D5B47"/>
    <w:rsid w:val="004D64E0"/>
    <w:rsid w:val="004D6DAB"/>
    <w:rsid w:val="004D7CFB"/>
    <w:rsid w:val="004D7D32"/>
    <w:rsid w:val="004E1240"/>
    <w:rsid w:val="004E1405"/>
    <w:rsid w:val="004E1461"/>
    <w:rsid w:val="004E1D88"/>
    <w:rsid w:val="004E2381"/>
    <w:rsid w:val="004E2D50"/>
    <w:rsid w:val="004E3E74"/>
    <w:rsid w:val="004E403B"/>
    <w:rsid w:val="004E52CA"/>
    <w:rsid w:val="004E54AE"/>
    <w:rsid w:val="004E5AEC"/>
    <w:rsid w:val="004E5EE3"/>
    <w:rsid w:val="004E617D"/>
    <w:rsid w:val="004E70E8"/>
    <w:rsid w:val="004E7139"/>
    <w:rsid w:val="004E7D8C"/>
    <w:rsid w:val="004F07A9"/>
    <w:rsid w:val="004F096D"/>
    <w:rsid w:val="004F0DB3"/>
    <w:rsid w:val="004F129E"/>
    <w:rsid w:val="004F180A"/>
    <w:rsid w:val="004F1FDB"/>
    <w:rsid w:val="004F203F"/>
    <w:rsid w:val="004F20F2"/>
    <w:rsid w:val="004F2285"/>
    <w:rsid w:val="004F245E"/>
    <w:rsid w:val="004F26C1"/>
    <w:rsid w:val="004F2B47"/>
    <w:rsid w:val="004F31BE"/>
    <w:rsid w:val="004F38F5"/>
    <w:rsid w:val="004F5798"/>
    <w:rsid w:val="004F6011"/>
    <w:rsid w:val="004F64DF"/>
    <w:rsid w:val="004F6FDA"/>
    <w:rsid w:val="004F7BC1"/>
    <w:rsid w:val="00500662"/>
    <w:rsid w:val="005011FD"/>
    <w:rsid w:val="0050126E"/>
    <w:rsid w:val="005014FB"/>
    <w:rsid w:val="005016AA"/>
    <w:rsid w:val="00501ED2"/>
    <w:rsid w:val="00502BC7"/>
    <w:rsid w:val="00502C48"/>
    <w:rsid w:val="00503478"/>
    <w:rsid w:val="0050385B"/>
    <w:rsid w:val="005039F4"/>
    <w:rsid w:val="00503B09"/>
    <w:rsid w:val="00503C2B"/>
    <w:rsid w:val="00503C3A"/>
    <w:rsid w:val="00503D24"/>
    <w:rsid w:val="00503FB4"/>
    <w:rsid w:val="00504A98"/>
    <w:rsid w:val="00505AB1"/>
    <w:rsid w:val="00505E7E"/>
    <w:rsid w:val="005065E8"/>
    <w:rsid w:val="0050664F"/>
    <w:rsid w:val="00506E68"/>
    <w:rsid w:val="00507879"/>
    <w:rsid w:val="0051061B"/>
    <w:rsid w:val="00510737"/>
    <w:rsid w:val="00510D6C"/>
    <w:rsid w:val="00510FBB"/>
    <w:rsid w:val="00511FDA"/>
    <w:rsid w:val="00512186"/>
    <w:rsid w:val="00512202"/>
    <w:rsid w:val="00512DCB"/>
    <w:rsid w:val="00512EDC"/>
    <w:rsid w:val="00512FA6"/>
    <w:rsid w:val="00513058"/>
    <w:rsid w:val="00513A78"/>
    <w:rsid w:val="00513C8A"/>
    <w:rsid w:val="00513EC4"/>
    <w:rsid w:val="00514038"/>
    <w:rsid w:val="0051459C"/>
    <w:rsid w:val="00515A33"/>
    <w:rsid w:val="00516CE0"/>
    <w:rsid w:val="00516E7E"/>
    <w:rsid w:val="00517FBC"/>
    <w:rsid w:val="005203AF"/>
    <w:rsid w:val="005203EE"/>
    <w:rsid w:val="00520B51"/>
    <w:rsid w:val="005213E8"/>
    <w:rsid w:val="00521F4D"/>
    <w:rsid w:val="00522577"/>
    <w:rsid w:val="0052304A"/>
    <w:rsid w:val="0052373E"/>
    <w:rsid w:val="00523885"/>
    <w:rsid w:val="00523EF1"/>
    <w:rsid w:val="005246C7"/>
    <w:rsid w:val="00524A07"/>
    <w:rsid w:val="00524FF9"/>
    <w:rsid w:val="005251C6"/>
    <w:rsid w:val="00525963"/>
    <w:rsid w:val="00525AE1"/>
    <w:rsid w:val="0052770B"/>
    <w:rsid w:val="0052775A"/>
    <w:rsid w:val="00527BD4"/>
    <w:rsid w:val="00527E93"/>
    <w:rsid w:val="00530A36"/>
    <w:rsid w:val="0053107C"/>
    <w:rsid w:val="005311A2"/>
    <w:rsid w:val="0053135D"/>
    <w:rsid w:val="00531DD3"/>
    <w:rsid w:val="00531F0F"/>
    <w:rsid w:val="00532BD4"/>
    <w:rsid w:val="00532C52"/>
    <w:rsid w:val="00533E29"/>
    <w:rsid w:val="005344D0"/>
    <w:rsid w:val="005347B0"/>
    <w:rsid w:val="00534EAD"/>
    <w:rsid w:val="0053605B"/>
    <w:rsid w:val="0053641F"/>
    <w:rsid w:val="00536B9D"/>
    <w:rsid w:val="00536D92"/>
    <w:rsid w:val="005411E1"/>
    <w:rsid w:val="005415FE"/>
    <w:rsid w:val="00541C16"/>
    <w:rsid w:val="00541CD5"/>
    <w:rsid w:val="00541F9D"/>
    <w:rsid w:val="0054209D"/>
    <w:rsid w:val="00542BF2"/>
    <w:rsid w:val="005437A8"/>
    <w:rsid w:val="005439DC"/>
    <w:rsid w:val="00543F2C"/>
    <w:rsid w:val="00544146"/>
    <w:rsid w:val="005456E8"/>
    <w:rsid w:val="005458B7"/>
    <w:rsid w:val="00545FF4"/>
    <w:rsid w:val="00546435"/>
    <w:rsid w:val="005467F6"/>
    <w:rsid w:val="00547867"/>
    <w:rsid w:val="00547FA4"/>
    <w:rsid w:val="0055087D"/>
    <w:rsid w:val="0055127F"/>
    <w:rsid w:val="0055177D"/>
    <w:rsid w:val="00551A7D"/>
    <w:rsid w:val="0055243D"/>
    <w:rsid w:val="00552C88"/>
    <w:rsid w:val="00553589"/>
    <w:rsid w:val="00553CF2"/>
    <w:rsid w:val="00553D4C"/>
    <w:rsid w:val="00554A2B"/>
    <w:rsid w:val="00554CB7"/>
    <w:rsid w:val="00554F9A"/>
    <w:rsid w:val="005554AD"/>
    <w:rsid w:val="00555AD7"/>
    <w:rsid w:val="00555AD9"/>
    <w:rsid w:val="00555BBD"/>
    <w:rsid w:val="00556054"/>
    <w:rsid w:val="00556762"/>
    <w:rsid w:val="005567EE"/>
    <w:rsid w:val="00556A7B"/>
    <w:rsid w:val="00557026"/>
    <w:rsid w:val="005574D5"/>
    <w:rsid w:val="00557EF5"/>
    <w:rsid w:val="00557F0C"/>
    <w:rsid w:val="00560091"/>
    <w:rsid w:val="00560DA8"/>
    <w:rsid w:val="005614B4"/>
    <w:rsid w:val="00561519"/>
    <w:rsid w:val="00561EEA"/>
    <w:rsid w:val="00562110"/>
    <w:rsid w:val="00562545"/>
    <w:rsid w:val="00562679"/>
    <w:rsid w:val="005627C0"/>
    <w:rsid w:val="00562845"/>
    <w:rsid w:val="00562859"/>
    <w:rsid w:val="00562A76"/>
    <w:rsid w:val="00563126"/>
    <w:rsid w:val="0056314F"/>
    <w:rsid w:val="0056340A"/>
    <w:rsid w:val="005638E7"/>
    <w:rsid w:val="00563C4C"/>
    <w:rsid w:val="00563F86"/>
    <w:rsid w:val="00564162"/>
    <w:rsid w:val="005641DE"/>
    <w:rsid w:val="005644DB"/>
    <w:rsid w:val="00564DC1"/>
    <w:rsid w:val="00565B6B"/>
    <w:rsid w:val="00565D57"/>
    <w:rsid w:val="00566970"/>
    <w:rsid w:val="0056699F"/>
    <w:rsid w:val="00566E3A"/>
    <w:rsid w:val="00566FB5"/>
    <w:rsid w:val="0056722D"/>
    <w:rsid w:val="005678CE"/>
    <w:rsid w:val="00567AEC"/>
    <w:rsid w:val="00570546"/>
    <w:rsid w:val="00571FFC"/>
    <w:rsid w:val="005720A3"/>
    <w:rsid w:val="00572B78"/>
    <w:rsid w:val="00572BF4"/>
    <w:rsid w:val="00573045"/>
    <w:rsid w:val="00573627"/>
    <w:rsid w:val="0057411D"/>
    <w:rsid w:val="00574179"/>
    <w:rsid w:val="00574928"/>
    <w:rsid w:val="00574B16"/>
    <w:rsid w:val="005752C5"/>
    <w:rsid w:val="00575E9B"/>
    <w:rsid w:val="00577BB9"/>
    <w:rsid w:val="0058017E"/>
    <w:rsid w:val="005804FF"/>
    <w:rsid w:val="00580A30"/>
    <w:rsid w:val="00580C02"/>
    <w:rsid w:val="00580E86"/>
    <w:rsid w:val="0058133B"/>
    <w:rsid w:val="0058147A"/>
    <w:rsid w:val="00581934"/>
    <w:rsid w:val="0058247D"/>
    <w:rsid w:val="00583187"/>
    <w:rsid w:val="00583A1D"/>
    <w:rsid w:val="00583A91"/>
    <w:rsid w:val="00584635"/>
    <w:rsid w:val="00584E59"/>
    <w:rsid w:val="00585132"/>
    <w:rsid w:val="00585148"/>
    <w:rsid w:val="00585D50"/>
    <w:rsid w:val="0058621E"/>
    <w:rsid w:val="00586272"/>
    <w:rsid w:val="0058666A"/>
    <w:rsid w:val="00586FBC"/>
    <w:rsid w:val="00587434"/>
    <w:rsid w:val="00587842"/>
    <w:rsid w:val="005900C4"/>
    <w:rsid w:val="0059048B"/>
    <w:rsid w:val="005909C8"/>
    <w:rsid w:val="0059121C"/>
    <w:rsid w:val="0059237A"/>
    <w:rsid w:val="005929B7"/>
    <w:rsid w:val="005935B5"/>
    <w:rsid w:val="00593D62"/>
    <w:rsid w:val="00594E3E"/>
    <w:rsid w:val="00594EC2"/>
    <w:rsid w:val="005952A2"/>
    <w:rsid w:val="0059534F"/>
    <w:rsid w:val="00595901"/>
    <w:rsid w:val="005959A8"/>
    <w:rsid w:val="005960C3"/>
    <w:rsid w:val="0059646D"/>
    <w:rsid w:val="005969F3"/>
    <w:rsid w:val="00597043"/>
    <w:rsid w:val="005A0008"/>
    <w:rsid w:val="005A1422"/>
    <w:rsid w:val="005A171C"/>
    <w:rsid w:val="005A19EC"/>
    <w:rsid w:val="005A25E6"/>
    <w:rsid w:val="005A2854"/>
    <w:rsid w:val="005A2DD4"/>
    <w:rsid w:val="005A30CF"/>
    <w:rsid w:val="005A3125"/>
    <w:rsid w:val="005A37FE"/>
    <w:rsid w:val="005A38B8"/>
    <w:rsid w:val="005A3E9B"/>
    <w:rsid w:val="005A3ED7"/>
    <w:rsid w:val="005A43AD"/>
    <w:rsid w:val="005A5088"/>
    <w:rsid w:val="005A6299"/>
    <w:rsid w:val="005A6398"/>
    <w:rsid w:val="005A66DF"/>
    <w:rsid w:val="005A6FA1"/>
    <w:rsid w:val="005A72F4"/>
    <w:rsid w:val="005B004B"/>
    <w:rsid w:val="005B012D"/>
    <w:rsid w:val="005B0894"/>
    <w:rsid w:val="005B0B77"/>
    <w:rsid w:val="005B10E0"/>
    <w:rsid w:val="005B1E53"/>
    <w:rsid w:val="005B2337"/>
    <w:rsid w:val="005B2518"/>
    <w:rsid w:val="005B25DC"/>
    <w:rsid w:val="005B31CA"/>
    <w:rsid w:val="005B3446"/>
    <w:rsid w:val="005B347C"/>
    <w:rsid w:val="005B354F"/>
    <w:rsid w:val="005B3AB7"/>
    <w:rsid w:val="005B3C7E"/>
    <w:rsid w:val="005B4496"/>
    <w:rsid w:val="005B4B2B"/>
    <w:rsid w:val="005B56D2"/>
    <w:rsid w:val="005B5F2B"/>
    <w:rsid w:val="005B7030"/>
    <w:rsid w:val="005B7569"/>
    <w:rsid w:val="005B7FA2"/>
    <w:rsid w:val="005C0EAB"/>
    <w:rsid w:val="005C180D"/>
    <w:rsid w:val="005C1B4A"/>
    <w:rsid w:val="005C236C"/>
    <w:rsid w:val="005C2623"/>
    <w:rsid w:val="005C26B9"/>
    <w:rsid w:val="005C49D4"/>
    <w:rsid w:val="005C5290"/>
    <w:rsid w:val="005C5DC6"/>
    <w:rsid w:val="005D013F"/>
    <w:rsid w:val="005D0414"/>
    <w:rsid w:val="005D043A"/>
    <w:rsid w:val="005D0C85"/>
    <w:rsid w:val="005D0F23"/>
    <w:rsid w:val="005D19D6"/>
    <w:rsid w:val="005D1A77"/>
    <w:rsid w:val="005D1DAE"/>
    <w:rsid w:val="005D3081"/>
    <w:rsid w:val="005D3E8F"/>
    <w:rsid w:val="005D447B"/>
    <w:rsid w:val="005D5749"/>
    <w:rsid w:val="005D584F"/>
    <w:rsid w:val="005D5B0F"/>
    <w:rsid w:val="005D6C48"/>
    <w:rsid w:val="005D7028"/>
    <w:rsid w:val="005D7A1E"/>
    <w:rsid w:val="005E1471"/>
    <w:rsid w:val="005E1A96"/>
    <w:rsid w:val="005E1EF7"/>
    <w:rsid w:val="005E2849"/>
    <w:rsid w:val="005E2D48"/>
    <w:rsid w:val="005E332A"/>
    <w:rsid w:val="005E3693"/>
    <w:rsid w:val="005E3C5F"/>
    <w:rsid w:val="005E4D4C"/>
    <w:rsid w:val="005E5033"/>
    <w:rsid w:val="005E5704"/>
    <w:rsid w:val="005E580D"/>
    <w:rsid w:val="005E600F"/>
    <w:rsid w:val="005E6576"/>
    <w:rsid w:val="005E6B09"/>
    <w:rsid w:val="005E78AE"/>
    <w:rsid w:val="005E7E86"/>
    <w:rsid w:val="005F0377"/>
    <w:rsid w:val="005F1C3C"/>
    <w:rsid w:val="005F28E0"/>
    <w:rsid w:val="005F3A7E"/>
    <w:rsid w:val="005F4233"/>
    <w:rsid w:val="005F45E5"/>
    <w:rsid w:val="005F4B8D"/>
    <w:rsid w:val="005F5386"/>
    <w:rsid w:val="005F5EAA"/>
    <w:rsid w:val="005F6270"/>
    <w:rsid w:val="005F7D03"/>
    <w:rsid w:val="00600233"/>
    <w:rsid w:val="00600BFF"/>
    <w:rsid w:val="00601B9A"/>
    <w:rsid w:val="006020B8"/>
    <w:rsid w:val="0060364C"/>
    <w:rsid w:val="00603902"/>
    <w:rsid w:val="00603A27"/>
    <w:rsid w:val="0060436C"/>
    <w:rsid w:val="00604E23"/>
    <w:rsid w:val="00605194"/>
    <w:rsid w:val="0060526D"/>
    <w:rsid w:val="0060541C"/>
    <w:rsid w:val="0060548F"/>
    <w:rsid w:val="006054FD"/>
    <w:rsid w:val="00606583"/>
    <w:rsid w:val="00606889"/>
    <w:rsid w:val="00607250"/>
    <w:rsid w:val="006073D0"/>
    <w:rsid w:val="0060778E"/>
    <w:rsid w:val="006077EC"/>
    <w:rsid w:val="00610990"/>
    <w:rsid w:val="00610DC3"/>
    <w:rsid w:val="0061126E"/>
    <w:rsid w:val="00611764"/>
    <w:rsid w:val="00611EF2"/>
    <w:rsid w:val="006125FC"/>
    <w:rsid w:val="00612B18"/>
    <w:rsid w:val="00612BBD"/>
    <w:rsid w:val="00613457"/>
    <w:rsid w:val="006138D4"/>
    <w:rsid w:val="00613A34"/>
    <w:rsid w:val="00613A60"/>
    <w:rsid w:val="00613B54"/>
    <w:rsid w:val="00613C43"/>
    <w:rsid w:val="00613DA9"/>
    <w:rsid w:val="00614A84"/>
    <w:rsid w:val="0061506E"/>
    <w:rsid w:val="0061552F"/>
    <w:rsid w:val="006155E2"/>
    <w:rsid w:val="006156D7"/>
    <w:rsid w:val="006158BE"/>
    <w:rsid w:val="00615D2E"/>
    <w:rsid w:val="00615DF0"/>
    <w:rsid w:val="00616755"/>
    <w:rsid w:val="00617695"/>
    <w:rsid w:val="006200EC"/>
    <w:rsid w:val="006205AB"/>
    <w:rsid w:val="00620782"/>
    <w:rsid w:val="00620D34"/>
    <w:rsid w:val="00620E68"/>
    <w:rsid w:val="00621D24"/>
    <w:rsid w:val="0062202D"/>
    <w:rsid w:val="006221B4"/>
    <w:rsid w:val="006224E2"/>
    <w:rsid w:val="0062252E"/>
    <w:rsid w:val="006225ED"/>
    <w:rsid w:val="006227B3"/>
    <w:rsid w:val="006229B0"/>
    <w:rsid w:val="00623431"/>
    <w:rsid w:val="0062351C"/>
    <w:rsid w:val="00623625"/>
    <w:rsid w:val="00623AB8"/>
    <w:rsid w:val="00624846"/>
    <w:rsid w:val="00624CE9"/>
    <w:rsid w:val="00624E4D"/>
    <w:rsid w:val="00625252"/>
    <w:rsid w:val="00626122"/>
    <w:rsid w:val="00627AA4"/>
    <w:rsid w:val="006301E8"/>
    <w:rsid w:val="006306B2"/>
    <w:rsid w:val="00630EC0"/>
    <w:rsid w:val="0063109A"/>
    <w:rsid w:val="0063340D"/>
    <w:rsid w:val="006335D7"/>
    <w:rsid w:val="00633F21"/>
    <w:rsid w:val="00633F98"/>
    <w:rsid w:val="006340D5"/>
    <w:rsid w:val="0063523F"/>
    <w:rsid w:val="006354E8"/>
    <w:rsid w:val="006359C5"/>
    <w:rsid w:val="00635AC8"/>
    <w:rsid w:val="00636024"/>
    <w:rsid w:val="006365D6"/>
    <w:rsid w:val="00636922"/>
    <w:rsid w:val="0063704C"/>
    <w:rsid w:val="006370DD"/>
    <w:rsid w:val="00637106"/>
    <w:rsid w:val="00637843"/>
    <w:rsid w:val="00637A51"/>
    <w:rsid w:val="00640066"/>
    <w:rsid w:val="006405DF"/>
    <w:rsid w:val="00640688"/>
    <w:rsid w:val="00640F79"/>
    <w:rsid w:val="0064119A"/>
    <w:rsid w:val="006411DA"/>
    <w:rsid w:val="0064163D"/>
    <w:rsid w:val="00641B69"/>
    <w:rsid w:val="00641CF2"/>
    <w:rsid w:val="00641DA9"/>
    <w:rsid w:val="00642305"/>
    <w:rsid w:val="006436A1"/>
    <w:rsid w:val="006444AB"/>
    <w:rsid w:val="006444B0"/>
    <w:rsid w:val="00644620"/>
    <w:rsid w:val="006452BF"/>
    <w:rsid w:val="0064674C"/>
    <w:rsid w:val="00646BBD"/>
    <w:rsid w:val="006475ED"/>
    <w:rsid w:val="00647ECC"/>
    <w:rsid w:val="00647F45"/>
    <w:rsid w:val="006504CB"/>
    <w:rsid w:val="00650C1E"/>
    <w:rsid w:val="00651247"/>
    <w:rsid w:val="0065129E"/>
    <w:rsid w:val="0065195A"/>
    <w:rsid w:val="00652499"/>
    <w:rsid w:val="006534B9"/>
    <w:rsid w:val="00653FE8"/>
    <w:rsid w:val="0065452A"/>
    <w:rsid w:val="00656E26"/>
    <w:rsid w:val="00657C6F"/>
    <w:rsid w:val="00660919"/>
    <w:rsid w:val="00660C28"/>
    <w:rsid w:val="00660DF5"/>
    <w:rsid w:val="00661683"/>
    <w:rsid w:val="00661C84"/>
    <w:rsid w:val="00662E1D"/>
    <w:rsid w:val="006630E9"/>
    <w:rsid w:val="00663358"/>
    <w:rsid w:val="006639B3"/>
    <w:rsid w:val="00663BBD"/>
    <w:rsid w:val="006645C4"/>
    <w:rsid w:val="00664897"/>
    <w:rsid w:val="00664AF9"/>
    <w:rsid w:val="0066559E"/>
    <w:rsid w:val="00665DED"/>
    <w:rsid w:val="00666340"/>
    <w:rsid w:val="00667E9F"/>
    <w:rsid w:val="00670284"/>
    <w:rsid w:val="0067048F"/>
    <w:rsid w:val="00670580"/>
    <w:rsid w:val="0067073E"/>
    <w:rsid w:val="00670EDF"/>
    <w:rsid w:val="00670FB6"/>
    <w:rsid w:val="0067107E"/>
    <w:rsid w:val="006712E4"/>
    <w:rsid w:val="0067140A"/>
    <w:rsid w:val="0067196B"/>
    <w:rsid w:val="0067197B"/>
    <w:rsid w:val="00671D1F"/>
    <w:rsid w:val="00671D38"/>
    <w:rsid w:val="006722EE"/>
    <w:rsid w:val="006724C9"/>
    <w:rsid w:val="00672FD8"/>
    <w:rsid w:val="0067318A"/>
    <w:rsid w:val="0067393D"/>
    <w:rsid w:val="0067397A"/>
    <w:rsid w:val="00673B23"/>
    <w:rsid w:val="006741EF"/>
    <w:rsid w:val="006748E5"/>
    <w:rsid w:val="00674AD5"/>
    <w:rsid w:val="00675A45"/>
    <w:rsid w:val="00675CBE"/>
    <w:rsid w:val="00676558"/>
    <w:rsid w:val="00677A72"/>
    <w:rsid w:val="00677FA9"/>
    <w:rsid w:val="00680C8A"/>
    <w:rsid w:val="00680CFD"/>
    <w:rsid w:val="00682D24"/>
    <w:rsid w:val="00682E60"/>
    <w:rsid w:val="00682F17"/>
    <w:rsid w:val="00682F7A"/>
    <w:rsid w:val="00683B32"/>
    <w:rsid w:val="00683E83"/>
    <w:rsid w:val="006840B2"/>
    <w:rsid w:val="00685234"/>
    <w:rsid w:val="006853D3"/>
    <w:rsid w:val="00685F9D"/>
    <w:rsid w:val="0068631A"/>
    <w:rsid w:val="006863FD"/>
    <w:rsid w:val="006873AB"/>
    <w:rsid w:val="006877EE"/>
    <w:rsid w:val="00690005"/>
    <w:rsid w:val="00690154"/>
    <w:rsid w:val="0069054D"/>
    <w:rsid w:val="006905A8"/>
    <w:rsid w:val="00690C13"/>
    <w:rsid w:val="006919DD"/>
    <w:rsid w:val="00692ABE"/>
    <w:rsid w:val="00693208"/>
    <w:rsid w:val="006934F4"/>
    <w:rsid w:val="00693716"/>
    <w:rsid w:val="006942BD"/>
    <w:rsid w:val="006952E1"/>
    <w:rsid w:val="0069554E"/>
    <w:rsid w:val="0069596F"/>
    <w:rsid w:val="00695A8B"/>
    <w:rsid w:val="00695D43"/>
    <w:rsid w:val="00695E57"/>
    <w:rsid w:val="006960D1"/>
    <w:rsid w:val="00696AA4"/>
    <w:rsid w:val="00697086"/>
    <w:rsid w:val="00697A5A"/>
    <w:rsid w:val="006A021D"/>
    <w:rsid w:val="006A03C1"/>
    <w:rsid w:val="006A06DA"/>
    <w:rsid w:val="006A0C30"/>
    <w:rsid w:val="006A0CEF"/>
    <w:rsid w:val="006A0F6C"/>
    <w:rsid w:val="006A12E7"/>
    <w:rsid w:val="006A1B69"/>
    <w:rsid w:val="006A21B3"/>
    <w:rsid w:val="006A2531"/>
    <w:rsid w:val="006A2E22"/>
    <w:rsid w:val="006A3528"/>
    <w:rsid w:val="006A3BB9"/>
    <w:rsid w:val="006A467B"/>
    <w:rsid w:val="006A70F8"/>
    <w:rsid w:val="006B050A"/>
    <w:rsid w:val="006B097E"/>
    <w:rsid w:val="006B0D99"/>
    <w:rsid w:val="006B1028"/>
    <w:rsid w:val="006B1221"/>
    <w:rsid w:val="006B143C"/>
    <w:rsid w:val="006B15EA"/>
    <w:rsid w:val="006B1C75"/>
    <w:rsid w:val="006B1F14"/>
    <w:rsid w:val="006B224C"/>
    <w:rsid w:val="006B22A9"/>
    <w:rsid w:val="006B23DC"/>
    <w:rsid w:val="006B27F4"/>
    <w:rsid w:val="006B31F8"/>
    <w:rsid w:val="006B37D3"/>
    <w:rsid w:val="006B3DA7"/>
    <w:rsid w:val="006B3FC4"/>
    <w:rsid w:val="006B441F"/>
    <w:rsid w:val="006B4AC1"/>
    <w:rsid w:val="006B5817"/>
    <w:rsid w:val="006B5D16"/>
    <w:rsid w:val="006B5FC9"/>
    <w:rsid w:val="006B608C"/>
    <w:rsid w:val="006B7CA2"/>
    <w:rsid w:val="006C04D1"/>
    <w:rsid w:val="006C05E0"/>
    <w:rsid w:val="006C0602"/>
    <w:rsid w:val="006C1174"/>
    <w:rsid w:val="006C189E"/>
    <w:rsid w:val="006C1E4E"/>
    <w:rsid w:val="006C223F"/>
    <w:rsid w:val="006C23D2"/>
    <w:rsid w:val="006C2541"/>
    <w:rsid w:val="006C26D7"/>
    <w:rsid w:val="006C2B10"/>
    <w:rsid w:val="006C30C6"/>
    <w:rsid w:val="006C32C1"/>
    <w:rsid w:val="006C3998"/>
    <w:rsid w:val="006C3999"/>
    <w:rsid w:val="006C4596"/>
    <w:rsid w:val="006C472F"/>
    <w:rsid w:val="006C5289"/>
    <w:rsid w:val="006C5451"/>
    <w:rsid w:val="006C5DA3"/>
    <w:rsid w:val="006C636B"/>
    <w:rsid w:val="006C6513"/>
    <w:rsid w:val="006C690D"/>
    <w:rsid w:val="006C6B17"/>
    <w:rsid w:val="006C6BAB"/>
    <w:rsid w:val="006C7865"/>
    <w:rsid w:val="006C78A4"/>
    <w:rsid w:val="006D03A1"/>
    <w:rsid w:val="006D091F"/>
    <w:rsid w:val="006D0EB1"/>
    <w:rsid w:val="006D150B"/>
    <w:rsid w:val="006D1ADC"/>
    <w:rsid w:val="006D1AF8"/>
    <w:rsid w:val="006D25A5"/>
    <w:rsid w:val="006D2CEA"/>
    <w:rsid w:val="006D3749"/>
    <w:rsid w:val="006D38D4"/>
    <w:rsid w:val="006D3F35"/>
    <w:rsid w:val="006D5109"/>
    <w:rsid w:val="006D52A6"/>
    <w:rsid w:val="006D5C0B"/>
    <w:rsid w:val="006D7ACD"/>
    <w:rsid w:val="006E0684"/>
    <w:rsid w:val="006E0EBE"/>
    <w:rsid w:val="006E1C06"/>
    <w:rsid w:val="006E1CDA"/>
    <w:rsid w:val="006E1CE4"/>
    <w:rsid w:val="006E255D"/>
    <w:rsid w:val="006E2C33"/>
    <w:rsid w:val="006E31C3"/>
    <w:rsid w:val="006E3380"/>
    <w:rsid w:val="006E39DF"/>
    <w:rsid w:val="006E3A29"/>
    <w:rsid w:val="006E3F04"/>
    <w:rsid w:val="006E4B15"/>
    <w:rsid w:val="006E4FFA"/>
    <w:rsid w:val="006E517C"/>
    <w:rsid w:val="006E5F73"/>
    <w:rsid w:val="006E61E0"/>
    <w:rsid w:val="006E650A"/>
    <w:rsid w:val="006E6767"/>
    <w:rsid w:val="006F03D9"/>
    <w:rsid w:val="006F042B"/>
    <w:rsid w:val="006F1B80"/>
    <w:rsid w:val="006F1ED2"/>
    <w:rsid w:val="006F2060"/>
    <w:rsid w:val="006F2133"/>
    <w:rsid w:val="006F2F34"/>
    <w:rsid w:val="006F32AF"/>
    <w:rsid w:val="006F33DF"/>
    <w:rsid w:val="006F343E"/>
    <w:rsid w:val="006F41A2"/>
    <w:rsid w:val="006F452D"/>
    <w:rsid w:val="006F496E"/>
    <w:rsid w:val="006F4B20"/>
    <w:rsid w:val="006F4C66"/>
    <w:rsid w:val="006F5023"/>
    <w:rsid w:val="006F5242"/>
    <w:rsid w:val="006F5630"/>
    <w:rsid w:val="006F5E3C"/>
    <w:rsid w:val="006F6D31"/>
    <w:rsid w:val="006F76B6"/>
    <w:rsid w:val="006F7D42"/>
    <w:rsid w:val="00700209"/>
    <w:rsid w:val="00700ED6"/>
    <w:rsid w:val="00701081"/>
    <w:rsid w:val="007010BE"/>
    <w:rsid w:val="007013D1"/>
    <w:rsid w:val="0070206C"/>
    <w:rsid w:val="00702099"/>
    <w:rsid w:val="0070319B"/>
    <w:rsid w:val="007032BB"/>
    <w:rsid w:val="007034CD"/>
    <w:rsid w:val="0070365A"/>
    <w:rsid w:val="007037F4"/>
    <w:rsid w:val="0070446D"/>
    <w:rsid w:val="007047B2"/>
    <w:rsid w:val="0070498B"/>
    <w:rsid w:val="007054CE"/>
    <w:rsid w:val="00705857"/>
    <w:rsid w:val="007062C9"/>
    <w:rsid w:val="007065D1"/>
    <w:rsid w:val="007066C7"/>
    <w:rsid w:val="00706B1E"/>
    <w:rsid w:val="00706B79"/>
    <w:rsid w:val="00706BD0"/>
    <w:rsid w:val="00706C26"/>
    <w:rsid w:val="0070733E"/>
    <w:rsid w:val="0070739A"/>
    <w:rsid w:val="007073BC"/>
    <w:rsid w:val="00707C95"/>
    <w:rsid w:val="00707F6A"/>
    <w:rsid w:val="007107E6"/>
    <w:rsid w:val="0071118F"/>
    <w:rsid w:val="007111D0"/>
    <w:rsid w:val="00711949"/>
    <w:rsid w:val="00711B0F"/>
    <w:rsid w:val="00711BDB"/>
    <w:rsid w:val="00712107"/>
    <w:rsid w:val="00712654"/>
    <w:rsid w:val="007129FD"/>
    <w:rsid w:val="00712E0C"/>
    <w:rsid w:val="0071333F"/>
    <w:rsid w:val="007134B2"/>
    <w:rsid w:val="007147F4"/>
    <w:rsid w:val="00714AF1"/>
    <w:rsid w:val="00715AFB"/>
    <w:rsid w:val="00716062"/>
    <w:rsid w:val="0071670A"/>
    <w:rsid w:val="00716F84"/>
    <w:rsid w:val="007205B6"/>
    <w:rsid w:val="00721070"/>
    <w:rsid w:val="007214C8"/>
    <w:rsid w:val="007216D8"/>
    <w:rsid w:val="00722459"/>
    <w:rsid w:val="0072251A"/>
    <w:rsid w:val="0072263E"/>
    <w:rsid w:val="00722AEC"/>
    <w:rsid w:val="00723BAA"/>
    <w:rsid w:val="00723D60"/>
    <w:rsid w:val="00724A01"/>
    <w:rsid w:val="00724B7F"/>
    <w:rsid w:val="00725211"/>
    <w:rsid w:val="00725362"/>
    <w:rsid w:val="0072543F"/>
    <w:rsid w:val="007254B1"/>
    <w:rsid w:val="00725A55"/>
    <w:rsid w:val="00725E0F"/>
    <w:rsid w:val="00725FFD"/>
    <w:rsid w:val="00726C52"/>
    <w:rsid w:val="007278D7"/>
    <w:rsid w:val="00727E05"/>
    <w:rsid w:val="00727FC3"/>
    <w:rsid w:val="00730859"/>
    <w:rsid w:val="007310C3"/>
    <w:rsid w:val="0073176C"/>
    <w:rsid w:val="00731944"/>
    <w:rsid w:val="007322C1"/>
    <w:rsid w:val="0073336F"/>
    <w:rsid w:val="007335D6"/>
    <w:rsid w:val="00733C86"/>
    <w:rsid w:val="00733E7F"/>
    <w:rsid w:val="0073423E"/>
    <w:rsid w:val="007348F7"/>
    <w:rsid w:val="00735493"/>
    <w:rsid w:val="00735FF9"/>
    <w:rsid w:val="00736B3C"/>
    <w:rsid w:val="007374DB"/>
    <w:rsid w:val="00737A06"/>
    <w:rsid w:val="00737E08"/>
    <w:rsid w:val="00737EA6"/>
    <w:rsid w:val="00740170"/>
    <w:rsid w:val="00740387"/>
    <w:rsid w:val="00740973"/>
    <w:rsid w:val="00740BAB"/>
    <w:rsid w:val="00740C96"/>
    <w:rsid w:val="00741148"/>
    <w:rsid w:val="0074173F"/>
    <w:rsid w:val="00741BE4"/>
    <w:rsid w:val="00742A2D"/>
    <w:rsid w:val="00742CED"/>
    <w:rsid w:val="00742EA1"/>
    <w:rsid w:val="0074339E"/>
    <w:rsid w:val="00743495"/>
    <w:rsid w:val="007443DB"/>
    <w:rsid w:val="00744662"/>
    <w:rsid w:val="0074519B"/>
    <w:rsid w:val="007455EF"/>
    <w:rsid w:val="0074616D"/>
    <w:rsid w:val="007465C2"/>
    <w:rsid w:val="00746A61"/>
    <w:rsid w:val="00746CFA"/>
    <w:rsid w:val="00747379"/>
    <w:rsid w:val="007474B9"/>
    <w:rsid w:val="00747525"/>
    <w:rsid w:val="007476D7"/>
    <w:rsid w:val="0075027C"/>
    <w:rsid w:val="007505E0"/>
    <w:rsid w:val="0075079A"/>
    <w:rsid w:val="00750F62"/>
    <w:rsid w:val="007512C2"/>
    <w:rsid w:val="00751878"/>
    <w:rsid w:val="00751D69"/>
    <w:rsid w:val="00753504"/>
    <w:rsid w:val="0075393B"/>
    <w:rsid w:val="00753C44"/>
    <w:rsid w:val="0075429C"/>
    <w:rsid w:val="00754748"/>
    <w:rsid w:val="00755294"/>
    <w:rsid w:val="00756C0E"/>
    <w:rsid w:val="00756C24"/>
    <w:rsid w:val="007571D0"/>
    <w:rsid w:val="00757524"/>
    <w:rsid w:val="00757CF6"/>
    <w:rsid w:val="00760B23"/>
    <w:rsid w:val="0076123D"/>
    <w:rsid w:val="0076162C"/>
    <w:rsid w:val="007616E7"/>
    <w:rsid w:val="007622BB"/>
    <w:rsid w:val="00762477"/>
    <w:rsid w:val="00762494"/>
    <w:rsid w:val="00762C5A"/>
    <w:rsid w:val="00763542"/>
    <w:rsid w:val="00763CB8"/>
    <w:rsid w:val="00764D97"/>
    <w:rsid w:val="007651E5"/>
    <w:rsid w:val="00765EF1"/>
    <w:rsid w:val="0076618F"/>
    <w:rsid w:val="007666A2"/>
    <w:rsid w:val="007672D1"/>
    <w:rsid w:val="00770211"/>
    <w:rsid w:val="007703A3"/>
    <w:rsid w:val="00770784"/>
    <w:rsid w:val="00770CB7"/>
    <w:rsid w:val="007715D3"/>
    <w:rsid w:val="0077168F"/>
    <w:rsid w:val="0077226C"/>
    <w:rsid w:val="007726CF"/>
    <w:rsid w:val="00772ECF"/>
    <w:rsid w:val="0077307A"/>
    <w:rsid w:val="0077340A"/>
    <w:rsid w:val="0077418D"/>
    <w:rsid w:val="007746A5"/>
    <w:rsid w:val="007749CD"/>
    <w:rsid w:val="00775A2D"/>
    <w:rsid w:val="00775D74"/>
    <w:rsid w:val="00776126"/>
    <w:rsid w:val="00776A18"/>
    <w:rsid w:val="00776B57"/>
    <w:rsid w:val="00776C0B"/>
    <w:rsid w:val="00776EBB"/>
    <w:rsid w:val="0077770A"/>
    <w:rsid w:val="0077793A"/>
    <w:rsid w:val="00781BB7"/>
    <w:rsid w:val="00781D32"/>
    <w:rsid w:val="007823A8"/>
    <w:rsid w:val="0078250A"/>
    <w:rsid w:val="00782563"/>
    <w:rsid w:val="00782664"/>
    <w:rsid w:val="00782AD3"/>
    <w:rsid w:val="00782CD5"/>
    <w:rsid w:val="007838DB"/>
    <w:rsid w:val="007839BF"/>
    <w:rsid w:val="00783B77"/>
    <w:rsid w:val="00783D64"/>
    <w:rsid w:val="00783D6E"/>
    <w:rsid w:val="00784CF2"/>
    <w:rsid w:val="00785096"/>
    <w:rsid w:val="00785147"/>
    <w:rsid w:val="0078595B"/>
    <w:rsid w:val="00785ED4"/>
    <w:rsid w:val="00786018"/>
    <w:rsid w:val="00786CE4"/>
    <w:rsid w:val="0078735D"/>
    <w:rsid w:val="007908E1"/>
    <w:rsid w:val="00790B1A"/>
    <w:rsid w:val="00790FFD"/>
    <w:rsid w:val="00791ACA"/>
    <w:rsid w:val="00792462"/>
    <w:rsid w:val="00792546"/>
    <w:rsid w:val="007926D3"/>
    <w:rsid w:val="00792CCA"/>
    <w:rsid w:val="0079386F"/>
    <w:rsid w:val="007939FA"/>
    <w:rsid w:val="007944CD"/>
    <w:rsid w:val="00794AEB"/>
    <w:rsid w:val="00794B2C"/>
    <w:rsid w:val="00794EBF"/>
    <w:rsid w:val="00794EE3"/>
    <w:rsid w:val="00795704"/>
    <w:rsid w:val="007959C4"/>
    <w:rsid w:val="00795FF9"/>
    <w:rsid w:val="007966DE"/>
    <w:rsid w:val="007968B3"/>
    <w:rsid w:val="00796AD0"/>
    <w:rsid w:val="00796AF6"/>
    <w:rsid w:val="00796F7B"/>
    <w:rsid w:val="00797074"/>
    <w:rsid w:val="00797210"/>
    <w:rsid w:val="00797817"/>
    <w:rsid w:val="007A0643"/>
    <w:rsid w:val="007A080B"/>
    <w:rsid w:val="007A0B64"/>
    <w:rsid w:val="007A0F20"/>
    <w:rsid w:val="007A1327"/>
    <w:rsid w:val="007A1605"/>
    <w:rsid w:val="007A29CA"/>
    <w:rsid w:val="007A2AAD"/>
    <w:rsid w:val="007A2BA0"/>
    <w:rsid w:val="007A2D9C"/>
    <w:rsid w:val="007A2FE9"/>
    <w:rsid w:val="007A33E8"/>
    <w:rsid w:val="007A342F"/>
    <w:rsid w:val="007A3724"/>
    <w:rsid w:val="007A3C5A"/>
    <w:rsid w:val="007A4A63"/>
    <w:rsid w:val="007A4A7F"/>
    <w:rsid w:val="007A64D0"/>
    <w:rsid w:val="007A6B84"/>
    <w:rsid w:val="007B09B4"/>
    <w:rsid w:val="007B0EE3"/>
    <w:rsid w:val="007B1C96"/>
    <w:rsid w:val="007B229E"/>
    <w:rsid w:val="007B23B5"/>
    <w:rsid w:val="007B2E7F"/>
    <w:rsid w:val="007B37E7"/>
    <w:rsid w:val="007B4D32"/>
    <w:rsid w:val="007B4D76"/>
    <w:rsid w:val="007B5AF6"/>
    <w:rsid w:val="007B5B71"/>
    <w:rsid w:val="007B622C"/>
    <w:rsid w:val="007B624D"/>
    <w:rsid w:val="007B7A20"/>
    <w:rsid w:val="007C004D"/>
    <w:rsid w:val="007C0339"/>
    <w:rsid w:val="007C1186"/>
    <w:rsid w:val="007C1CDE"/>
    <w:rsid w:val="007C1E4C"/>
    <w:rsid w:val="007C1F11"/>
    <w:rsid w:val="007C2583"/>
    <w:rsid w:val="007C2B25"/>
    <w:rsid w:val="007C2BD3"/>
    <w:rsid w:val="007C33B4"/>
    <w:rsid w:val="007C35F1"/>
    <w:rsid w:val="007C3B2E"/>
    <w:rsid w:val="007C3D7F"/>
    <w:rsid w:val="007C41EC"/>
    <w:rsid w:val="007C44B9"/>
    <w:rsid w:val="007C4E4C"/>
    <w:rsid w:val="007C51AC"/>
    <w:rsid w:val="007C576B"/>
    <w:rsid w:val="007C618F"/>
    <w:rsid w:val="007C635C"/>
    <w:rsid w:val="007C66D2"/>
    <w:rsid w:val="007C6D56"/>
    <w:rsid w:val="007C74D5"/>
    <w:rsid w:val="007C7651"/>
    <w:rsid w:val="007C7754"/>
    <w:rsid w:val="007C7F59"/>
    <w:rsid w:val="007D047E"/>
    <w:rsid w:val="007D08BB"/>
    <w:rsid w:val="007D1828"/>
    <w:rsid w:val="007D1DED"/>
    <w:rsid w:val="007D1FF6"/>
    <w:rsid w:val="007D2351"/>
    <w:rsid w:val="007D4390"/>
    <w:rsid w:val="007D51AC"/>
    <w:rsid w:val="007D5569"/>
    <w:rsid w:val="007D59DF"/>
    <w:rsid w:val="007D63A0"/>
    <w:rsid w:val="007D6B28"/>
    <w:rsid w:val="007D711C"/>
    <w:rsid w:val="007D74AB"/>
    <w:rsid w:val="007D7575"/>
    <w:rsid w:val="007E09DF"/>
    <w:rsid w:val="007E1265"/>
    <w:rsid w:val="007E1DD8"/>
    <w:rsid w:val="007E297E"/>
    <w:rsid w:val="007E3005"/>
    <w:rsid w:val="007E340F"/>
    <w:rsid w:val="007E4A8C"/>
    <w:rsid w:val="007E4D4C"/>
    <w:rsid w:val="007E5946"/>
    <w:rsid w:val="007E61F5"/>
    <w:rsid w:val="007E6444"/>
    <w:rsid w:val="007E6637"/>
    <w:rsid w:val="007E6DF4"/>
    <w:rsid w:val="007E711D"/>
    <w:rsid w:val="007E718F"/>
    <w:rsid w:val="007E7302"/>
    <w:rsid w:val="007E799C"/>
    <w:rsid w:val="007F0269"/>
    <w:rsid w:val="007F054C"/>
    <w:rsid w:val="007F0873"/>
    <w:rsid w:val="007F0FBF"/>
    <w:rsid w:val="007F1ABC"/>
    <w:rsid w:val="007F2274"/>
    <w:rsid w:val="007F236E"/>
    <w:rsid w:val="007F2B75"/>
    <w:rsid w:val="007F2BD4"/>
    <w:rsid w:val="007F3232"/>
    <w:rsid w:val="007F3A96"/>
    <w:rsid w:val="007F3B14"/>
    <w:rsid w:val="007F3DA5"/>
    <w:rsid w:val="007F457F"/>
    <w:rsid w:val="007F465E"/>
    <w:rsid w:val="007F4D8C"/>
    <w:rsid w:val="007F503C"/>
    <w:rsid w:val="007F5424"/>
    <w:rsid w:val="007F5889"/>
    <w:rsid w:val="007F62B9"/>
    <w:rsid w:val="007F67C7"/>
    <w:rsid w:val="007F7BC4"/>
    <w:rsid w:val="007F7E7E"/>
    <w:rsid w:val="008007D5"/>
    <w:rsid w:val="00801FD2"/>
    <w:rsid w:val="0080228C"/>
    <w:rsid w:val="00802BC4"/>
    <w:rsid w:val="00802CDD"/>
    <w:rsid w:val="00803FF0"/>
    <w:rsid w:val="00804D8D"/>
    <w:rsid w:val="008051AD"/>
    <w:rsid w:val="00806C2B"/>
    <w:rsid w:val="00807EA9"/>
    <w:rsid w:val="008102BB"/>
    <w:rsid w:val="00810353"/>
    <w:rsid w:val="008103A0"/>
    <w:rsid w:val="00810589"/>
    <w:rsid w:val="00810A68"/>
    <w:rsid w:val="0081141E"/>
    <w:rsid w:val="00811E82"/>
    <w:rsid w:val="00812274"/>
    <w:rsid w:val="008128CC"/>
    <w:rsid w:val="00812A6B"/>
    <w:rsid w:val="00812C38"/>
    <w:rsid w:val="0081312E"/>
    <w:rsid w:val="008135BF"/>
    <w:rsid w:val="008137B4"/>
    <w:rsid w:val="008138CF"/>
    <w:rsid w:val="008146F0"/>
    <w:rsid w:val="0081486B"/>
    <w:rsid w:val="00815115"/>
    <w:rsid w:val="0081788D"/>
    <w:rsid w:val="008178EF"/>
    <w:rsid w:val="00817C7D"/>
    <w:rsid w:val="00817DB4"/>
    <w:rsid w:val="008229CC"/>
    <w:rsid w:val="008235C1"/>
    <w:rsid w:val="00823F30"/>
    <w:rsid w:val="008243F6"/>
    <w:rsid w:val="0082511E"/>
    <w:rsid w:val="00825D45"/>
    <w:rsid w:val="00825D58"/>
    <w:rsid w:val="008262C4"/>
    <w:rsid w:val="008267D5"/>
    <w:rsid w:val="00826BC7"/>
    <w:rsid w:val="008270FC"/>
    <w:rsid w:val="00830A5B"/>
    <w:rsid w:val="00830AC6"/>
    <w:rsid w:val="008315CB"/>
    <w:rsid w:val="00832517"/>
    <w:rsid w:val="0083263E"/>
    <w:rsid w:val="008333D3"/>
    <w:rsid w:val="00833479"/>
    <w:rsid w:val="00834EB4"/>
    <w:rsid w:val="00836950"/>
    <w:rsid w:val="0083728C"/>
    <w:rsid w:val="00837BF0"/>
    <w:rsid w:val="008400BA"/>
    <w:rsid w:val="008406D5"/>
    <w:rsid w:val="00841227"/>
    <w:rsid w:val="0084151B"/>
    <w:rsid w:val="00841C00"/>
    <w:rsid w:val="00842166"/>
    <w:rsid w:val="008424E1"/>
    <w:rsid w:val="00842581"/>
    <w:rsid w:val="0084258B"/>
    <w:rsid w:val="00842F1C"/>
    <w:rsid w:val="00843657"/>
    <w:rsid w:val="008437E7"/>
    <w:rsid w:val="00843A25"/>
    <w:rsid w:val="008443C1"/>
    <w:rsid w:val="00844535"/>
    <w:rsid w:val="008448C1"/>
    <w:rsid w:val="00845087"/>
    <w:rsid w:val="008454C3"/>
    <w:rsid w:val="00845534"/>
    <w:rsid w:val="008458FF"/>
    <w:rsid w:val="008462E1"/>
    <w:rsid w:val="00846460"/>
    <w:rsid w:val="0084759C"/>
    <w:rsid w:val="0085031C"/>
    <w:rsid w:val="008509A9"/>
    <w:rsid w:val="0085180F"/>
    <w:rsid w:val="00851D16"/>
    <w:rsid w:val="00852532"/>
    <w:rsid w:val="00852D3F"/>
    <w:rsid w:val="00853332"/>
    <w:rsid w:val="00853557"/>
    <w:rsid w:val="00853CF4"/>
    <w:rsid w:val="00853F95"/>
    <w:rsid w:val="00854018"/>
    <w:rsid w:val="0085455D"/>
    <w:rsid w:val="00854B1A"/>
    <w:rsid w:val="0085582D"/>
    <w:rsid w:val="008558F9"/>
    <w:rsid w:val="0085663D"/>
    <w:rsid w:val="0085696C"/>
    <w:rsid w:val="00856A92"/>
    <w:rsid w:val="00856C1E"/>
    <w:rsid w:val="008576E5"/>
    <w:rsid w:val="008579E6"/>
    <w:rsid w:val="00860016"/>
    <w:rsid w:val="00860957"/>
    <w:rsid w:val="00860E10"/>
    <w:rsid w:val="00860F24"/>
    <w:rsid w:val="0086146D"/>
    <w:rsid w:val="008615A0"/>
    <w:rsid w:val="00861834"/>
    <w:rsid w:val="00861C76"/>
    <w:rsid w:val="00861DE1"/>
    <w:rsid w:val="008625D4"/>
    <w:rsid w:val="00862CBA"/>
    <w:rsid w:val="008635E9"/>
    <w:rsid w:val="00863F60"/>
    <w:rsid w:val="008640E8"/>
    <w:rsid w:val="0086436A"/>
    <w:rsid w:val="00864531"/>
    <w:rsid w:val="0086598A"/>
    <w:rsid w:val="0086684A"/>
    <w:rsid w:val="008679F7"/>
    <w:rsid w:val="00867D23"/>
    <w:rsid w:val="00867D6B"/>
    <w:rsid w:val="00867D6E"/>
    <w:rsid w:val="008702BA"/>
    <w:rsid w:val="00870331"/>
    <w:rsid w:val="008708A0"/>
    <w:rsid w:val="00870A57"/>
    <w:rsid w:val="00871CE7"/>
    <w:rsid w:val="0087261B"/>
    <w:rsid w:val="0087285E"/>
    <w:rsid w:val="00872AF7"/>
    <w:rsid w:val="00872D74"/>
    <w:rsid w:val="00873A8D"/>
    <w:rsid w:val="00873B50"/>
    <w:rsid w:val="00873D78"/>
    <w:rsid w:val="008748A9"/>
    <w:rsid w:val="00874E0A"/>
    <w:rsid w:val="00875919"/>
    <w:rsid w:val="00875958"/>
    <w:rsid w:val="008759B7"/>
    <w:rsid w:val="0087611D"/>
    <w:rsid w:val="00876983"/>
    <w:rsid w:val="00876EE6"/>
    <w:rsid w:val="008771F9"/>
    <w:rsid w:val="00877A20"/>
    <w:rsid w:val="0088074E"/>
    <w:rsid w:val="00881211"/>
    <w:rsid w:val="00881252"/>
    <w:rsid w:val="0088168B"/>
    <w:rsid w:val="00881B8C"/>
    <w:rsid w:val="008820F5"/>
    <w:rsid w:val="008821E5"/>
    <w:rsid w:val="00882F5B"/>
    <w:rsid w:val="00883121"/>
    <w:rsid w:val="0088387E"/>
    <w:rsid w:val="00883D80"/>
    <w:rsid w:val="00883EA9"/>
    <w:rsid w:val="008844AE"/>
    <w:rsid w:val="00885048"/>
    <w:rsid w:val="00885088"/>
    <w:rsid w:val="00885AFD"/>
    <w:rsid w:val="00886166"/>
    <w:rsid w:val="0088647C"/>
    <w:rsid w:val="00886F9E"/>
    <w:rsid w:val="008870C0"/>
    <w:rsid w:val="008873C0"/>
    <w:rsid w:val="0088795B"/>
    <w:rsid w:val="00887FAE"/>
    <w:rsid w:val="0089007A"/>
    <w:rsid w:val="0089025F"/>
    <w:rsid w:val="00890BA5"/>
    <w:rsid w:val="00891B9C"/>
    <w:rsid w:val="00891E67"/>
    <w:rsid w:val="00891F5F"/>
    <w:rsid w:val="008927E9"/>
    <w:rsid w:val="008927EB"/>
    <w:rsid w:val="00893365"/>
    <w:rsid w:val="008934AF"/>
    <w:rsid w:val="0089354B"/>
    <w:rsid w:val="00893C70"/>
    <w:rsid w:val="00893D02"/>
    <w:rsid w:val="00893EDB"/>
    <w:rsid w:val="00894013"/>
    <w:rsid w:val="00894A41"/>
    <w:rsid w:val="00895693"/>
    <w:rsid w:val="0089593A"/>
    <w:rsid w:val="00895D22"/>
    <w:rsid w:val="00895D90"/>
    <w:rsid w:val="00896003"/>
    <w:rsid w:val="00896071"/>
    <w:rsid w:val="008962AF"/>
    <w:rsid w:val="00896734"/>
    <w:rsid w:val="00897D69"/>
    <w:rsid w:val="008A08AE"/>
    <w:rsid w:val="008A1742"/>
    <w:rsid w:val="008A1AA2"/>
    <w:rsid w:val="008A25E2"/>
    <w:rsid w:val="008A29A8"/>
    <w:rsid w:val="008A2F52"/>
    <w:rsid w:val="008A31FE"/>
    <w:rsid w:val="008A3B6A"/>
    <w:rsid w:val="008A49D8"/>
    <w:rsid w:val="008A4A74"/>
    <w:rsid w:val="008A562A"/>
    <w:rsid w:val="008A598E"/>
    <w:rsid w:val="008A5C07"/>
    <w:rsid w:val="008A67D7"/>
    <w:rsid w:val="008A7343"/>
    <w:rsid w:val="008A7570"/>
    <w:rsid w:val="008A7ED6"/>
    <w:rsid w:val="008B05C3"/>
    <w:rsid w:val="008B0724"/>
    <w:rsid w:val="008B0D4A"/>
    <w:rsid w:val="008B1D2D"/>
    <w:rsid w:val="008B1E39"/>
    <w:rsid w:val="008B2130"/>
    <w:rsid w:val="008B25F5"/>
    <w:rsid w:val="008B29C9"/>
    <w:rsid w:val="008B3856"/>
    <w:rsid w:val="008B39B0"/>
    <w:rsid w:val="008B3A15"/>
    <w:rsid w:val="008B4E95"/>
    <w:rsid w:val="008B57B5"/>
    <w:rsid w:val="008B5E2E"/>
    <w:rsid w:val="008B611E"/>
    <w:rsid w:val="008B633D"/>
    <w:rsid w:val="008B6385"/>
    <w:rsid w:val="008B69C4"/>
    <w:rsid w:val="008B6EFB"/>
    <w:rsid w:val="008B6F93"/>
    <w:rsid w:val="008B75EC"/>
    <w:rsid w:val="008B7B17"/>
    <w:rsid w:val="008C097C"/>
    <w:rsid w:val="008C0BB2"/>
    <w:rsid w:val="008C0F98"/>
    <w:rsid w:val="008C1A07"/>
    <w:rsid w:val="008C2C98"/>
    <w:rsid w:val="008C2DDB"/>
    <w:rsid w:val="008C3503"/>
    <w:rsid w:val="008C3A42"/>
    <w:rsid w:val="008C44E7"/>
    <w:rsid w:val="008C4573"/>
    <w:rsid w:val="008C4B16"/>
    <w:rsid w:val="008C5291"/>
    <w:rsid w:val="008C55B3"/>
    <w:rsid w:val="008C5628"/>
    <w:rsid w:val="008C566C"/>
    <w:rsid w:val="008C639D"/>
    <w:rsid w:val="008C65CA"/>
    <w:rsid w:val="008C6860"/>
    <w:rsid w:val="008C6AE5"/>
    <w:rsid w:val="008C7FC3"/>
    <w:rsid w:val="008D0059"/>
    <w:rsid w:val="008D03C5"/>
    <w:rsid w:val="008D0744"/>
    <w:rsid w:val="008D07FB"/>
    <w:rsid w:val="008D0E6D"/>
    <w:rsid w:val="008D1823"/>
    <w:rsid w:val="008D1AFB"/>
    <w:rsid w:val="008D1D47"/>
    <w:rsid w:val="008D31CE"/>
    <w:rsid w:val="008D3444"/>
    <w:rsid w:val="008D35EE"/>
    <w:rsid w:val="008D3F88"/>
    <w:rsid w:val="008D475C"/>
    <w:rsid w:val="008D476C"/>
    <w:rsid w:val="008D480C"/>
    <w:rsid w:val="008D48F7"/>
    <w:rsid w:val="008D49E8"/>
    <w:rsid w:val="008D51D5"/>
    <w:rsid w:val="008D5312"/>
    <w:rsid w:val="008D5EB0"/>
    <w:rsid w:val="008D674B"/>
    <w:rsid w:val="008D6F74"/>
    <w:rsid w:val="008D6FE7"/>
    <w:rsid w:val="008D7339"/>
    <w:rsid w:val="008D744D"/>
    <w:rsid w:val="008D77D3"/>
    <w:rsid w:val="008D7BC6"/>
    <w:rsid w:val="008E0B41"/>
    <w:rsid w:val="008E0C61"/>
    <w:rsid w:val="008E1E51"/>
    <w:rsid w:val="008E28C2"/>
    <w:rsid w:val="008E29F8"/>
    <w:rsid w:val="008E401F"/>
    <w:rsid w:val="008E45E9"/>
    <w:rsid w:val="008E597A"/>
    <w:rsid w:val="008E5A1C"/>
    <w:rsid w:val="008E60F0"/>
    <w:rsid w:val="008E66A4"/>
    <w:rsid w:val="008E6B4A"/>
    <w:rsid w:val="008E6C8A"/>
    <w:rsid w:val="008E6DFF"/>
    <w:rsid w:val="008E73EE"/>
    <w:rsid w:val="008E7C47"/>
    <w:rsid w:val="008E7E70"/>
    <w:rsid w:val="008F141C"/>
    <w:rsid w:val="008F18BD"/>
    <w:rsid w:val="008F1AFC"/>
    <w:rsid w:val="008F2517"/>
    <w:rsid w:val="008F2D97"/>
    <w:rsid w:val="008F3026"/>
    <w:rsid w:val="008F334D"/>
    <w:rsid w:val="008F3594"/>
    <w:rsid w:val="008F4289"/>
    <w:rsid w:val="008F53C4"/>
    <w:rsid w:val="008F5D06"/>
    <w:rsid w:val="008F6148"/>
    <w:rsid w:val="008F653F"/>
    <w:rsid w:val="008F697E"/>
    <w:rsid w:val="008F72A0"/>
    <w:rsid w:val="008F75F2"/>
    <w:rsid w:val="00900244"/>
    <w:rsid w:val="00900DFA"/>
    <w:rsid w:val="00901291"/>
    <w:rsid w:val="009015B7"/>
    <w:rsid w:val="00902998"/>
    <w:rsid w:val="00902AE7"/>
    <w:rsid w:val="00902F59"/>
    <w:rsid w:val="009032C5"/>
    <w:rsid w:val="00903703"/>
    <w:rsid w:val="00903DF1"/>
    <w:rsid w:val="00904D89"/>
    <w:rsid w:val="0090503E"/>
    <w:rsid w:val="009050C3"/>
    <w:rsid w:val="009051BC"/>
    <w:rsid w:val="00905EB1"/>
    <w:rsid w:val="0090696D"/>
    <w:rsid w:val="00906993"/>
    <w:rsid w:val="00907C1D"/>
    <w:rsid w:val="00910367"/>
    <w:rsid w:val="009106A8"/>
    <w:rsid w:val="00910F27"/>
    <w:rsid w:val="0091164B"/>
    <w:rsid w:val="0091166F"/>
    <w:rsid w:val="00911A53"/>
    <w:rsid w:val="009123E6"/>
    <w:rsid w:val="0091511D"/>
    <w:rsid w:val="009153F0"/>
    <w:rsid w:val="00915B7B"/>
    <w:rsid w:val="00916209"/>
    <w:rsid w:val="00916B4E"/>
    <w:rsid w:val="00917E06"/>
    <w:rsid w:val="00920200"/>
    <w:rsid w:val="00920478"/>
    <w:rsid w:val="009208AA"/>
    <w:rsid w:val="00921252"/>
    <w:rsid w:val="00921257"/>
    <w:rsid w:val="00921729"/>
    <w:rsid w:val="00921EA4"/>
    <w:rsid w:val="00922087"/>
    <w:rsid w:val="009224B1"/>
    <w:rsid w:val="0092261F"/>
    <w:rsid w:val="0092270C"/>
    <w:rsid w:val="00922A26"/>
    <w:rsid w:val="00922E2A"/>
    <w:rsid w:val="0092364F"/>
    <w:rsid w:val="00923895"/>
    <w:rsid w:val="00924AF8"/>
    <w:rsid w:val="009251FA"/>
    <w:rsid w:val="00925D52"/>
    <w:rsid w:val="00926060"/>
    <w:rsid w:val="009262C4"/>
    <w:rsid w:val="00926E71"/>
    <w:rsid w:val="00926F1B"/>
    <w:rsid w:val="00927B2E"/>
    <w:rsid w:val="00927B82"/>
    <w:rsid w:val="00930B77"/>
    <w:rsid w:val="00930CFD"/>
    <w:rsid w:val="00931D74"/>
    <w:rsid w:val="00932475"/>
    <w:rsid w:val="00932A29"/>
    <w:rsid w:val="00933341"/>
    <w:rsid w:val="00933548"/>
    <w:rsid w:val="009336AC"/>
    <w:rsid w:val="00933D75"/>
    <w:rsid w:val="00934233"/>
    <w:rsid w:val="009349F2"/>
    <w:rsid w:val="009354B5"/>
    <w:rsid w:val="0093753E"/>
    <w:rsid w:val="00937CBC"/>
    <w:rsid w:val="0094044A"/>
    <w:rsid w:val="0094076E"/>
    <w:rsid w:val="00940BCC"/>
    <w:rsid w:val="009411E9"/>
    <w:rsid w:val="00941FA5"/>
    <w:rsid w:val="00941FE8"/>
    <w:rsid w:val="00942266"/>
    <w:rsid w:val="009423D4"/>
    <w:rsid w:val="00942511"/>
    <w:rsid w:val="00942768"/>
    <w:rsid w:val="00942849"/>
    <w:rsid w:val="00942C2E"/>
    <w:rsid w:val="009432E2"/>
    <w:rsid w:val="00943343"/>
    <w:rsid w:val="009433AB"/>
    <w:rsid w:val="009438D0"/>
    <w:rsid w:val="009446E2"/>
    <w:rsid w:val="00944EF2"/>
    <w:rsid w:val="009459F3"/>
    <w:rsid w:val="0094659F"/>
    <w:rsid w:val="00946E24"/>
    <w:rsid w:val="00947649"/>
    <w:rsid w:val="0094790A"/>
    <w:rsid w:val="00950204"/>
    <w:rsid w:val="009502FF"/>
    <w:rsid w:val="0095126A"/>
    <w:rsid w:val="00952A7C"/>
    <w:rsid w:val="00952CBD"/>
    <w:rsid w:val="009543E0"/>
    <w:rsid w:val="00955E13"/>
    <w:rsid w:val="009561AD"/>
    <w:rsid w:val="00956525"/>
    <w:rsid w:val="00956B0C"/>
    <w:rsid w:val="00956B40"/>
    <w:rsid w:val="00957117"/>
    <w:rsid w:val="0095730D"/>
    <w:rsid w:val="00957632"/>
    <w:rsid w:val="0095784A"/>
    <w:rsid w:val="009600B4"/>
    <w:rsid w:val="00960A70"/>
    <w:rsid w:val="0096175E"/>
    <w:rsid w:val="00961B01"/>
    <w:rsid w:val="00961F13"/>
    <w:rsid w:val="009629AB"/>
    <w:rsid w:val="00962DC7"/>
    <w:rsid w:val="009633CD"/>
    <w:rsid w:val="00963CD7"/>
    <w:rsid w:val="00963F49"/>
    <w:rsid w:val="009642EF"/>
    <w:rsid w:val="009643B9"/>
    <w:rsid w:val="00964FD3"/>
    <w:rsid w:val="0096535F"/>
    <w:rsid w:val="0096536B"/>
    <w:rsid w:val="00965BFA"/>
    <w:rsid w:val="00966470"/>
    <w:rsid w:val="009666BF"/>
    <w:rsid w:val="00966779"/>
    <w:rsid w:val="00966859"/>
    <w:rsid w:val="00966D62"/>
    <w:rsid w:val="0096707D"/>
    <w:rsid w:val="009670D6"/>
    <w:rsid w:val="0096716D"/>
    <w:rsid w:val="00967AC5"/>
    <w:rsid w:val="00970AF1"/>
    <w:rsid w:val="00970B05"/>
    <w:rsid w:val="00970B18"/>
    <w:rsid w:val="00970C79"/>
    <w:rsid w:val="009712F6"/>
    <w:rsid w:val="009722B3"/>
    <w:rsid w:val="00972821"/>
    <w:rsid w:val="00973C5B"/>
    <w:rsid w:val="00973DD6"/>
    <w:rsid w:val="009742AC"/>
    <w:rsid w:val="00974874"/>
    <w:rsid w:val="00975ABF"/>
    <w:rsid w:val="00976175"/>
    <w:rsid w:val="0097641F"/>
    <w:rsid w:val="009767C7"/>
    <w:rsid w:val="009769AB"/>
    <w:rsid w:val="0097759A"/>
    <w:rsid w:val="00977A78"/>
    <w:rsid w:val="00977C83"/>
    <w:rsid w:val="00977CAB"/>
    <w:rsid w:val="00980299"/>
    <w:rsid w:val="009802D8"/>
    <w:rsid w:val="009807EF"/>
    <w:rsid w:val="009807F0"/>
    <w:rsid w:val="00980ECB"/>
    <w:rsid w:val="00981080"/>
    <w:rsid w:val="0098187E"/>
    <w:rsid w:val="00982989"/>
    <w:rsid w:val="00982B8E"/>
    <w:rsid w:val="00982F00"/>
    <w:rsid w:val="00984A02"/>
    <w:rsid w:val="00984A7B"/>
    <w:rsid w:val="00984CB8"/>
    <w:rsid w:val="0098501E"/>
    <w:rsid w:val="00985360"/>
    <w:rsid w:val="00986043"/>
    <w:rsid w:val="009860EC"/>
    <w:rsid w:val="00986CBC"/>
    <w:rsid w:val="00986FF7"/>
    <w:rsid w:val="009874AE"/>
    <w:rsid w:val="00987B26"/>
    <w:rsid w:val="00990770"/>
    <w:rsid w:val="00991B90"/>
    <w:rsid w:val="0099222D"/>
    <w:rsid w:val="0099253D"/>
    <w:rsid w:val="0099270B"/>
    <w:rsid w:val="00992A42"/>
    <w:rsid w:val="0099379F"/>
    <w:rsid w:val="00994427"/>
    <w:rsid w:val="0099482A"/>
    <w:rsid w:val="00995315"/>
    <w:rsid w:val="0099533D"/>
    <w:rsid w:val="009953FC"/>
    <w:rsid w:val="00995460"/>
    <w:rsid w:val="00995589"/>
    <w:rsid w:val="009957FD"/>
    <w:rsid w:val="00996B1E"/>
    <w:rsid w:val="00997E2E"/>
    <w:rsid w:val="00997F74"/>
    <w:rsid w:val="009A059E"/>
    <w:rsid w:val="009A0863"/>
    <w:rsid w:val="009A0987"/>
    <w:rsid w:val="009A143D"/>
    <w:rsid w:val="009A1B9D"/>
    <w:rsid w:val="009A2E61"/>
    <w:rsid w:val="009A3464"/>
    <w:rsid w:val="009A3520"/>
    <w:rsid w:val="009A35C8"/>
    <w:rsid w:val="009A3699"/>
    <w:rsid w:val="009A3E19"/>
    <w:rsid w:val="009A415D"/>
    <w:rsid w:val="009A5756"/>
    <w:rsid w:val="009A5B53"/>
    <w:rsid w:val="009A63D1"/>
    <w:rsid w:val="009A66AC"/>
    <w:rsid w:val="009A784A"/>
    <w:rsid w:val="009B0AAD"/>
    <w:rsid w:val="009B0F4D"/>
    <w:rsid w:val="009B13E4"/>
    <w:rsid w:val="009B1522"/>
    <w:rsid w:val="009B15CE"/>
    <w:rsid w:val="009B174A"/>
    <w:rsid w:val="009B1F6F"/>
    <w:rsid w:val="009B2475"/>
    <w:rsid w:val="009B3029"/>
    <w:rsid w:val="009B333A"/>
    <w:rsid w:val="009B3770"/>
    <w:rsid w:val="009B44C3"/>
    <w:rsid w:val="009B49BE"/>
    <w:rsid w:val="009B4A5F"/>
    <w:rsid w:val="009B571D"/>
    <w:rsid w:val="009B5773"/>
    <w:rsid w:val="009B5B76"/>
    <w:rsid w:val="009B68B2"/>
    <w:rsid w:val="009B69F1"/>
    <w:rsid w:val="009B6B30"/>
    <w:rsid w:val="009B6F02"/>
    <w:rsid w:val="009B7004"/>
    <w:rsid w:val="009B70AC"/>
    <w:rsid w:val="009B7699"/>
    <w:rsid w:val="009B7EF9"/>
    <w:rsid w:val="009C0440"/>
    <w:rsid w:val="009C06D8"/>
    <w:rsid w:val="009C0AE9"/>
    <w:rsid w:val="009C0B56"/>
    <w:rsid w:val="009C12E9"/>
    <w:rsid w:val="009C189E"/>
    <w:rsid w:val="009C1B1F"/>
    <w:rsid w:val="009C2981"/>
    <w:rsid w:val="009C2CB4"/>
    <w:rsid w:val="009C2CD2"/>
    <w:rsid w:val="009C3201"/>
    <w:rsid w:val="009C3339"/>
    <w:rsid w:val="009C370F"/>
    <w:rsid w:val="009C41ED"/>
    <w:rsid w:val="009C49C6"/>
    <w:rsid w:val="009C4A97"/>
    <w:rsid w:val="009C4DA5"/>
    <w:rsid w:val="009C5187"/>
    <w:rsid w:val="009C55B2"/>
    <w:rsid w:val="009C5D1C"/>
    <w:rsid w:val="009C5E0C"/>
    <w:rsid w:val="009C6044"/>
    <w:rsid w:val="009C617D"/>
    <w:rsid w:val="009C6254"/>
    <w:rsid w:val="009C6353"/>
    <w:rsid w:val="009C69F1"/>
    <w:rsid w:val="009C7EEB"/>
    <w:rsid w:val="009D0B88"/>
    <w:rsid w:val="009D0DA8"/>
    <w:rsid w:val="009D102C"/>
    <w:rsid w:val="009D105C"/>
    <w:rsid w:val="009D1CF3"/>
    <w:rsid w:val="009D3A71"/>
    <w:rsid w:val="009D6511"/>
    <w:rsid w:val="009D6557"/>
    <w:rsid w:val="009D70CE"/>
    <w:rsid w:val="009D761F"/>
    <w:rsid w:val="009E037F"/>
    <w:rsid w:val="009E0901"/>
    <w:rsid w:val="009E0F96"/>
    <w:rsid w:val="009E18DC"/>
    <w:rsid w:val="009E1F71"/>
    <w:rsid w:val="009E3B9F"/>
    <w:rsid w:val="009E3CC6"/>
    <w:rsid w:val="009E4A7F"/>
    <w:rsid w:val="009E5F83"/>
    <w:rsid w:val="009E7AB1"/>
    <w:rsid w:val="009F0BE1"/>
    <w:rsid w:val="009F1482"/>
    <w:rsid w:val="009F16F6"/>
    <w:rsid w:val="009F170D"/>
    <w:rsid w:val="009F1775"/>
    <w:rsid w:val="009F2409"/>
    <w:rsid w:val="009F2502"/>
    <w:rsid w:val="009F2805"/>
    <w:rsid w:val="009F2883"/>
    <w:rsid w:val="009F2923"/>
    <w:rsid w:val="009F31A8"/>
    <w:rsid w:val="009F36A3"/>
    <w:rsid w:val="009F37E2"/>
    <w:rsid w:val="009F46E7"/>
    <w:rsid w:val="009F5623"/>
    <w:rsid w:val="009F5660"/>
    <w:rsid w:val="009F586C"/>
    <w:rsid w:val="009F5EF9"/>
    <w:rsid w:val="009F633B"/>
    <w:rsid w:val="009F65C9"/>
    <w:rsid w:val="009F6673"/>
    <w:rsid w:val="009F6D8A"/>
    <w:rsid w:val="009F6DC0"/>
    <w:rsid w:val="009F7980"/>
    <w:rsid w:val="00A00190"/>
    <w:rsid w:val="00A00E61"/>
    <w:rsid w:val="00A01589"/>
    <w:rsid w:val="00A01651"/>
    <w:rsid w:val="00A01BF4"/>
    <w:rsid w:val="00A0207C"/>
    <w:rsid w:val="00A02438"/>
    <w:rsid w:val="00A02873"/>
    <w:rsid w:val="00A02FFD"/>
    <w:rsid w:val="00A032E0"/>
    <w:rsid w:val="00A035ED"/>
    <w:rsid w:val="00A037B8"/>
    <w:rsid w:val="00A03827"/>
    <w:rsid w:val="00A047D6"/>
    <w:rsid w:val="00A04AC6"/>
    <w:rsid w:val="00A055B2"/>
    <w:rsid w:val="00A0654C"/>
    <w:rsid w:val="00A06929"/>
    <w:rsid w:val="00A06E38"/>
    <w:rsid w:val="00A0739A"/>
    <w:rsid w:val="00A07A5F"/>
    <w:rsid w:val="00A07A64"/>
    <w:rsid w:val="00A10A85"/>
    <w:rsid w:val="00A115B0"/>
    <w:rsid w:val="00A118B7"/>
    <w:rsid w:val="00A12295"/>
    <w:rsid w:val="00A12F73"/>
    <w:rsid w:val="00A13030"/>
    <w:rsid w:val="00A130D3"/>
    <w:rsid w:val="00A13355"/>
    <w:rsid w:val="00A13474"/>
    <w:rsid w:val="00A138CB"/>
    <w:rsid w:val="00A14098"/>
    <w:rsid w:val="00A140ED"/>
    <w:rsid w:val="00A1439E"/>
    <w:rsid w:val="00A14688"/>
    <w:rsid w:val="00A14FBB"/>
    <w:rsid w:val="00A15860"/>
    <w:rsid w:val="00A16081"/>
    <w:rsid w:val="00A16312"/>
    <w:rsid w:val="00A166C7"/>
    <w:rsid w:val="00A16A5C"/>
    <w:rsid w:val="00A171C5"/>
    <w:rsid w:val="00A17F54"/>
    <w:rsid w:val="00A20A82"/>
    <w:rsid w:val="00A20B3E"/>
    <w:rsid w:val="00A215F0"/>
    <w:rsid w:val="00A21657"/>
    <w:rsid w:val="00A2182C"/>
    <w:rsid w:val="00A21FD5"/>
    <w:rsid w:val="00A22B12"/>
    <w:rsid w:val="00A2313E"/>
    <w:rsid w:val="00A2327F"/>
    <w:rsid w:val="00A23418"/>
    <w:rsid w:val="00A23960"/>
    <w:rsid w:val="00A23E26"/>
    <w:rsid w:val="00A25A0D"/>
    <w:rsid w:val="00A25DA9"/>
    <w:rsid w:val="00A26616"/>
    <w:rsid w:val="00A26877"/>
    <w:rsid w:val="00A27139"/>
    <w:rsid w:val="00A274DD"/>
    <w:rsid w:val="00A277AD"/>
    <w:rsid w:val="00A27DDC"/>
    <w:rsid w:val="00A3095C"/>
    <w:rsid w:val="00A30E4D"/>
    <w:rsid w:val="00A312E6"/>
    <w:rsid w:val="00A31567"/>
    <w:rsid w:val="00A31945"/>
    <w:rsid w:val="00A319E0"/>
    <w:rsid w:val="00A3259C"/>
    <w:rsid w:val="00A32EC9"/>
    <w:rsid w:val="00A33522"/>
    <w:rsid w:val="00A3469E"/>
    <w:rsid w:val="00A34870"/>
    <w:rsid w:val="00A3494E"/>
    <w:rsid w:val="00A34A2E"/>
    <w:rsid w:val="00A3500A"/>
    <w:rsid w:val="00A35021"/>
    <w:rsid w:val="00A356DC"/>
    <w:rsid w:val="00A357C3"/>
    <w:rsid w:val="00A36DF1"/>
    <w:rsid w:val="00A3718B"/>
    <w:rsid w:val="00A37757"/>
    <w:rsid w:val="00A37F17"/>
    <w:rsid w:val="00A40CBD"/>
    <w:rsid w:val="00A4136B"/>
    <w:rsid w:val="00A4139E"/>
    <w:rsid w:val="00A413DC"/>
    <w:rsid w:val="00A416DF"/>
    <w:rsid w:val="00A41DE3"/>
    <w:rsid w:val="00A4200D"/>
    <w:rsid w:val="00A42094"/>
    <w:rsid w:val="00A42887"/>
    <w:rsid w:val="00A42C01"/>
    <w:rsid w:val="00A42E35"/>
    <w:rsid w:val="00A43343"/>
    <w:rsid w:val="00A43D38"/>
    <w:rsid w:val="00A44247"/>
    <w:rsid w:val="00A44FB0"/>
    <w:rsid w:val="00A4555C"/>
    <w:rsid w:val="00A473C7"/>
    <w:rsid w:val="00A50555"/>
    <w:rsid w:val="00A506D6"/>
    <w:rsid w:val="00A50BF1"/>
    <w:rsid w:val="00A50C12"/>
    <w:rsid w:val="00A514D6"/>
    <w:rsid w:val="00A51BC9"/>
    <w:rsid w:val="00A51C22"/>
    <w:rsid w:val="00A52060"/>
    <w:rsid w:val="00A522AC"/>
    <w:rsid w:val="00A523DD"/>
    <w:rsid w:val="00A527B1"/>
    <w:rsid w:val="00A52851"/>
    <w:rsid w:val="00A52FBA"/>
    <w:rsid w:val="00A53371"/>
    <w:rsid w:val="00A5367B"/>
    <w:rsid w:val="00A53A1E"/>
    <w:rsid w:val="00A53C01"/>
    <w:rsid w:val="00A53C8D"/>
    <w:rsid w:val="00A54531"/>
    <w:rsid w:val="00A54E01"/>
    <w:rsid w:val="00A55458"/>
    <w:rsid w:val="00A55CAA"/>
    <w:rsid w:val="00A5607F"/>
    <w:rsid w:val="00A5636B"/>
    <w:rsid w:val="00A5639A"/>
    <w:rsid w:val="00A564B4"/>
    <w:rsid w:val="00A5663E"/>
    <w:rsid w:val="00A56771"/>
    <w:rsid w:val="00A56BDA"/>
    <w:rsid w:val="00A56F95"/>
    <w:rsid w:val="00A600F4"/>
    <w:rsid w:val="00A60952"/>
    <w:rsid w:val="00A6153E"/>
    <w:rsid w:val="00A6241D"/>
    <w:rsid w:val="00A624BA"/>
    <w:rsid w:val="00A630ED"/>
    <w:rsid w:val="00A63846"/>
    <w:rsid w:val="00A63FB9"/>
    <w:rsid w:val="00A64860"/>
    <w:rsid w:val="00A6497C"/>
    <w:rsid w:val="00A64A90"/>
    <w:rsid w:val="00A64F32"/>
    <w:rsid w:val="00A66443"/>
    <w:rsid w:val="00A67982"/>
    <w:rsid w:val="00A67A4B"/>
    <w:rsid w:val="00A67DBB"/>
    <w:rsid w:val="00A701F4"/>
    <w:rsid w:val="00A70AD2"/>
    <w:rsid w:val="00A71D0D"/>
    <w:rsid w:val="00A7213E"/>
    <w:rsid w:val="00A72236"/>
    <w:rsid w:val="00A72941"/>
    <w:rsid w:val="00A72D5F"/>
    <w:rsid w:val="00A730F7"/>
    <w:rsid w:val="00A73163"/>
    <w:rsid w:val="00A733F9"/>
    <w:rsid w:val="00A739BC"/>
    <w:rsid w:val="00A7473E"/>
    <w:rsid w:val="00A774C2"/>
    <w:rsid w:val="00A80CC5"/>
    <w:rsid w:val="00A81AF8"/>
    <w:rsid w:val="00A81CEC"/>
    <w:rsid w:val="00A81D16"/>
    <w:rsid w:val="00A81FE7"/>
    <w:rsid w:val="00A82178"/>
    <w:rsid w:val="00A826DF"/>
    <w:rsid w:val="00A82A47"/>
    <w:rsid w:val="00A82C87"/>
    <w:rsid w:val="00A82FBD"/>
    <w:rsid w:val="00A832FB"/>
    <w:rsid w:val="00A8330C"/>
    <w:rsid w:val="00A834FC"/>
    <w:rsid w:val="00A835A3"/>
    <w:rsid w:val="00A838D1"/>
    <w:rsid w:val="00A84001"/>
    <w:rsid w:val="00A84912"/>
    <w:rsid w:val="00A854D9"/>
    <w:rsid w:val="00A86FC4"/>
    <w:rsid w:val="00A91076"/>
    <w:rsid w:val="00A91D19"/>
    <w:rsid w:val="00A92147"/>
    <w:rsid w:val="00A92236"/>
    <w:rsid w:val="00A92D75"/>
    <w:rsid w:val="00A92E14"/>
    <w:rsid w:val="00A93724"/>
    <w:rsid w:val="00A94409"/>
    <w:rsid w:val="00A944C7"/>
    <w:rsid w:val="00A9565D"/>
    <w:rsid w:val="00A97A33"/>
    <w:rsid w:val="00A97ADE"/>
    <w:rsid w:val="00AA0059"/>
    <w:rsid w:val="00AA0285"/>
    <w:rsid w:val="00AA0546"/>
    <w:rsid w:val="00AA2448"/>
    <w:rsid w:val="00AA2A90"/>
    <w:rsid w:val="00AA389E"/>
    <w:rsid w:val="00AA4B26"/>
    <w:rsid w:val="00AA50B1"/>
    <w:rsid w:val="00AA5180"/>
    <w:rsid w:val="00AA6A49"/>
    <w:rsid w:val="00AA756A"/>
    <w:rsid w:val="00AA7C27"/>
    <w:rsid w:val="00AB04E0"/>
    <w:rsid w:val="00AB13CE"/>
    <w:rsid w:val="00AB1486"/>
    <w:rsid w:val="00AB155F"/>
    <w:rsid w:val="00AB1EAB"/>
    <w:rsid w:val="00AB20EA"/>
    <w:rsid w:val="00AB22F0"/>
    <w:rsid w:val="00AB23B2"/>
    <w:rsid w:val="00AB278A"/>
    <w:rsid w:val="00AB2B87"/>
    <w:rsid w:val="00AB2B9D"/>
    <w:rsid w:val="00AB32A3"/>
    <w:rsid w:val="00AB459A"/>
    <w:rsid w:val="00AB4A10"/>
    <w:rsid w:val="00AB4F50"/>
    <w:rsid w:val="00AB5924"/>
    <w:rsid w:val="00AB6898"/>
    <w:rsid w:val="00AB6E81"/>
    <w:rsid w:val="00AB70E0"/>
    <w:rsid w:val="00AC1052"/>
    <w:rsid w:val="00AC1512"/>
    <w:rsid w:val="00AC17DB"/>
    <w:rsid w:val="00AC2415"/>
    <w:rsid w:val="00AC3008"/>
    <w:rsid w:val="00AC30D2"/>
    <w:rsid w:val="00AC33C7"/>
    <w:rsid w:val="00AC345C"/>
    <w:rsid w:val="00AC37E9"/>
    <w:rsid w:val="00AC44C5"/>
    <w:rsid w:val="00AC54C0"/>
    <w:rsid w:val="00AC5BC0"/>
    <w:rsid w:val="00AC6496"/>
    <w:rsid w:val="00AC67DD"/>
    <w:rsid w:val="00AC68BD"/>
    <w:rsid w:val="00AC7429"/>
    <w:rsid w:val="00AC75B6"/>
    <w:rsid w:val="00AC7F3C"/>
    <w:rsid w:val="00AD00F6"/>
    <w:rsid w:val="00AD020E"/>
    <w:rsid w:val="00AD088D"/>
    <w:rsid w:val="00AD0AAA"/>
    <w:rsid w:val="00AD142E"/>
    <w:rsid w:val="00AD14AB"/>
    <w:rsid w:val="00AD15D1"/>
    <w:rsid w:val="00AD251A"/>
    <w:rsid w:val="00AD2893"/>
    <w:rsid w:val="00AD2981"/>
    <w:rsid w:val="00AD2AE0"/>
    <w:rsid w:val="00AD2B51"/>
    <w:rsid w:val="00AD2BB8"/>
    <w:rsid w:val="00AD3717"/>
    <w:rsid w:val="00AD3C97"/>
    <w:rsid w:val="00AD44C7"/>
    <w:rsid w:val="00AD4DA1"/>
    <w:rsid w:val="00AD4E89"/>
    <w:rsid w:val="00AD5536"/>
    <w:rsid w:val="00AD61D8"/>
    <w:rsid w:val="00AD62C3"/>
    <w:rsid w:val="00AD71D6"/>
    <w:rsid w:val="00AD7C28"/>
    <w:rsid w:val="00AD7EE9"/>
    <w:rsid w:val="00AE0978"/>
    <w:rsid w:val="00AE0CCD"/>
    <w:rsid w:val="00AE0D29"/>
    <w:rsid w:val="00AE1174"/>
    <w:rsid w:val="00AE18FE"/>
    <w:rsid w:val="00AE1A21"/>
    <w:rsid w:val="00AE224F"/>
    <w:rsid w:val="00AE28DB"/>
    <w:rsid w:val="00AE39D5"/>
    <w:rsid w:val="00AE46A6"/>
    <w:rsid w:val="00AE4A97"/>
    <w:rsid w:val="00AE4BB6"/>
    <w:rsid w:val="00AE50FC"/>
    <w:rsid w:val="00AE577F"/>
    <w:rsid w:val="00AE57C8"/>
    <w:rsid w:val="00AE5AAD"/>
    <w:rsid w:val="00AE5DC1"/>
    <w:rsid w:val="00AE6089"/>
    <w:rsid w:val="00AE640B"/>
    <w:rsid w:val="00AE6AA1"/>
    <w:rsid w:val="00AE74DC"/>
    <w:rsid w:val="00AE7688"/>
    <w:rsid w:val="00AF0126"/>
    <w:rsid w:val="00AF035E"/>
    <w:rsid w:val="00AF07BA"/>
    <w:rsid w:val="00AF0D75"/>
    <w:rsid w:val="00AF0D7F"/>
    <w:rsid w:val="00AF13D4"/>
    <w:rsid w:val="00AF157D"/>
    <w:rsid w:val="00AF1DC9"/>
    <w:rsid w:val="00AF3811"/>
    <w:rsid w:val="00AF51E8"/>
    <w:rsid w:val="00AF7AC1"/>
    <w:rsid w:val="00AF7DAE"/>
    <w:rsid w:val="00B001A4"/>
    <w:rsid w:val="00B00218"/>
    <w:rsid w:val="00B002BE"/>
    <w:rsid w:val="00B00429"/>
    <w:rsid w:val="00B00738"/>
    <w:rsid w:val="00B010ED"/>
    <w:rsid w:val="00B0134F"/>
    <w:rsid w:val="00B01468"/>
    <w:rsid w:val="00B018DE"/>
    <w:rsid w:val="00B0227C"/>
    <w:rsid w:val="00B024DD"/>
    <w:rsid w:val="00B02B71"/>
    <w:rsid w:val="00B02F2F"/>
    <w:rsid w:val="00B03220"/>
    <w:rsid w:val="00B03FA6"/>
    <w:rsid w:val="00B045E5"/>
    <w:rsid w:val="00B05989"/>
    <w:rsid w:val="00B05FBE"/>
    <w:rsid w:val="00B0659F"/>
    <w:rsid w:val="00B069F6"/>
    <w:rsid w:val="00B06F4C"/>
    <w:rsid w:val="00B06F79"/>
    <w:rsid w:val="00B07F31"/>
    <w:rsid w:val="00B1055D"/>
    <w:rsid w:val="00B10AD8"/>
    <w:rsid w:val="00B10F1D"/>
    <w:rsid w:val="00B127FB"/>
    <w:rsid w:val="00B12E5F"/>
    <w:rsid w:val="00B134CB"/>
    <w:rsid w:val="00B14246"/>
    <w:rsid w:val="00B14CD5"/>
    <w:rsid w:val="00B156C5"/>
    <w:rsid w:val="00B15DE5"/>
    <w:rsid w:val="00B16676"/>
    <w:rsid w:val="00B167BD"/>
    <w:rsid w:val="00B17367"/>
    <w:rsid w:val="00B17613"/>
    <w:rsid w:val="00B208CC"/>
    <w:rsid w:val="00B20D12"/>
    <w:rsid w:val="00B210E5"/>
    <w:rsid w:val="00B211D3"/>
    <w:rsid w:val="00B21A6E"/>
    <w:rsid w:val="00B21AD1"/>
    <w:rsid w:val="00B22086"/>
    <w:rsid w:val="00B222ED"/>
    <w:rsid w:val="00B227D0"/>
    <w:rsid w:val="00B2297C"/>
    <w:rsid w:val="00B23057"/>
    <w:rsid w:val="00B237D7"/>
    <w:rsid w:val="00B23C15"/>
    <w:rsid w:val="00B24074"/>
    <w:rsid w:val="00B24119"/>
    <w:rsid w:val="00B243C7"/>
    <w:rsid w:val="00B24698"/>
    <w:rsid w:val="00B24AD1"/>
    <w:rsid w:val="00B24BA0"/>
    <w:rsid w:val="00B255C1"/>
    <w:rsid w:val="00B25AD2"/>
    <w:rsid w:val="00B25C37"/>
    <w:rsid w:val="00B25FE8"/>
    <w:rsid w:val="00B26341"/>
    <w:rsid w:val="00B266F5"/>
    <w:rsid w:val="00B267C3"/>
    <w:rsid w:val="00B268B3"/>
    <w:rsid w:val="00B269F0"/>
    <w:rsid w:val="00B26F33"/>
    <w:rsid w:val="00B27020"/>
    <w:rsid w:val="00B2775E"/>
    <w:rsid w:val="00B30481"/>
    <w:rsid w:val="00B308A9"/>
    <w:rsid w:val="00B30C1B"/>
    <w:rsid w:val="00B30DF9"/>
    <w:rsid w:val="00B31193"/>
    <w:rsid w:val="00B31B54"/>
    <w:rsid w:val="00B3203A"/>
    <w:rsid w:val="00B322BD"/>
    <w:rsid w:val="00B325EC"/>
    <w:rsid w:val="00B333D3"/>
    <w:rsid w:val="00B33553"/>
    <w:rsid w:val="00B34185"/>
    <w:rsid w:val="00B36C59"/>
    <w:rsid w:val="00B371E1"/>
    <w:rsid w:val="00B374E0"/>
    <w:rsid w:val="00B37793"/>
    <w:rsid w:val="00B3791C"/>
    <w:rsid w:val="00B37AD8"/>
    <w:rsid w:val="00B40BC0"/>
    <w:rsid w:val="00B41857"/>
    <w:rsid w:val="00B420C8"/>
    <w:rsid w:val="00B4216B"/>
    <w:rsid w:val="00B42459"/>
    <w:rsid w:val="00B43109"/>
    <w:rsid w:val="00B433E3"/>
    <w:rsid w:val="00B435E7"/>
    <w:rsid w:val="00B4360F"/>
    <w:rsid w:val="00B43A25"/>
    <w:rsid w:val="00B44503"/>
    <w:rsid w:val="00B46021"/>
    <w:rsid w:val="00B47D87"/>
    <w:rsid w:val="00B50068"/>
    <w:rsid w:val="00B5069F"/>
    <w:rsid w:val="00B513C1"/>
    <w:rsid w:val="00B516F1"/>
    <w:rsid w:val="00B51788"/>
    <w:rsid w:val="00B5334C"/>
    <w:rsid w:val="00B53569"/>
    <w:rsid w:val="00B535A6"/>
    <w:rsid w:val="00B53D17"/>
    <w:rsid w:val="00B54CA2"/>
    <w:rsid w:val="00B54EDB"/>
    <w:rsid w:val="00B54EF4"/>
    <w:rsid w:val="00B553D3"/>
    <w:rsid w:val="00B56560"/>
    <w:rsid w:val="00B56865"/>
    <w:rsid w:val="00B578BB"/>
    <w:rsid w:val="00B57B2D"/>
    <w:rsid w:val="00B57DB3"/>
    <w:rsid w:val="00B57F21"/>
    <w:rsid w:val="00B60292"/>
    <w:rsid w:val="00B60764"/>
    <w:rsid w:val="00B60822"/>
    <w:rsid w:val="00B612E9"/>
    <w:rsid w:val="00B615FD"/>
    <w:rsid w:val="00B61B24"/>
    <w:rsid w:val="00B62BBF"/>
    <w:rsid w:val="00B62BD4"/>
    <w:rsid w:val="00B630F5"/>
    <w:rsid w:val="00B63327"/>
    <w:rsid w:val="00B63A98"/>
    <w:rsid w:val="00B6575C"/>
    <w:rsid w:val="00B65943"/>
    <w:rsid w:val="00B659D5"/>
    <w:rsid w:val="00B65CF1"/>
    <w:rsid w:val="00B66293"/>
    <w:rsid w:val="00B66A00"/>
    <w:rsid w:val="00B66B51"/>
    <w:rsid w:val="00B701A5"/>
    <w:rsid w:val="00B702BC"/>
    <w:rsid w:val="00B7074D"/>
    <w:rsid w:val="00B70A9A"/>
    <w:rsid w:val="00B70D6F"/>
    <w:rsid w:val="00B710C4"/>
    <w:rsid w:val="00B71AF3"/>
    <w:rsid w:val="00B72E25"/>
    <w:rsid w:val="00B73418"/>
    <w:rsid w:val="00B74598"/>
    <w:rsid w:val="00B745E2"/>
    <w:rsid w:val="00B746E7"/>
    <w:rsid w:val="00B75105"/>
    <w:rsid w:val="00B761F6"/>
    <w:rsid w:val="00B76490"/>
    <w:rsid w:val="00B7739C"/>
    <w:rsid w:val="00B77FEF"/>
    <w:rsid w:val="00B80123"/>
    <w:rsid w:val="00B8052B"/>
    <w:rsid w:val="00B805D7"/>
    <w:rsid w:val="00B80C37"/>
    <w:rsid w:val="00B81531"/>
    <w:rsid w:val="00B81B15"/>
    <w:rsid w:val="00B822CA"/>
    <w:rsid w:val="00B82548"/>
    <w:rsid w:val="00B8276A"/>
    <w:rsid w:val="00B82DC7"/>
    <w:rsid w:val="00B83095"/>
    <w:rsid w:val="00B8316B"/>
    <w:rsid w:val="00B83437"/>
    <w:rsid w:val="00B83991"/>
    <w:rsid w:val="00B8455B"/>
    <w:rsid w:val="00B84F6F"/>
    <w:rsid w:val="00B855CB"/>
    <w:rsid w:val="00B85983"/>
    <w:rsid w:val="00B8746F"/>
    <w:rsid w:val="00B874A5"/>
    <w:rsid w:val="00B879A4"/>
    <w:rsid w:val="00B87CD0"/>
    <w:rsid w:val="00B87F6B"/>
    <w:rsid w:val="00B90853"/>
    <w:rsid w:val="00B90A31"/>
    <w:rsid w:val="00B91660"/>
    <w:rsid w:val="00B918CF"/>
    <w:rsid w:val="00B918EF"/>
    <w:rsid w:val="00B91F3D"/>
    <w:rsid w:val="00B938F3"/>
    <w:rsid w:val="00B94B71"/>
    <w:rsid w:val="00B94FA5"/>
    <w:rsid w:val="00B95AAF"/>
    <w:rsid w:val="00B9723E"/>
    <w:rsid w:val="00B9733D"/>
    <w:rsid w:val="00B978D4"/>
    <w:rsid w:val="00BA0D7D"/>
    <w:rsid w:val="00BA1CDE"/>
    <w:rsid w:val="00BA2177"/>
    <w:rsid w:val="00BA269D"/>
    <w:rsid w:val="00BA28B4"/>
    <w:rsid w:val="00BA2B2F"/>
    <w:rsid w:val="00BA2B33"/>
    <w:rsid w:val="00BA3F7E"/>
    <w:rsid w:val="00BA4AEA"/>
    <w:rsid w:val="00BA4EFD"/>
    <w:rsid w:val="00BA57B4"/>
    <w:rsid w:val="00BA6596"/>
    <w:rsid w:val="00BA6F90"/>
    <w:rsid w:val="00BA7694"/>
    <w:rsid w:val="00BA7ABA"/>
    <w:rsid w:val="00BA7BFE"/>
    <w:rsid w:val="00BB0358"/>
    <w:rsid w:val="00BB0B45"/>
    <w:rsid w:val="00BB1906"/>
    <w:rsid w:val="00BB1A9F"/>
    <w:rsid w:val="00BB2199"/>
    <w:rsid w:val="00BB3081"/>
    <w:rsid w:val="00BB3741"/>
    <w:rsid w:val="00BB3BAC"/>
    <w:rsid w:val="00BB4F81"/>
    <w:rsid w:val="00BB71F4"/>
    <w:rsid w:val="00BB72F9"/>
    <w:rsid w:val="00BB7FBB"/>
    <w:rsid w:val="00BC0727"/>
    <w:rsid w:val="00BC0DC8"/>
    <w:rsid w:val="00BC0F7E"/>
    <w:rsid w:val="00BC1508"/>
    <w:rsid w:val="00BC2968"/>
    <w:rsid w:val="00BC4D4D"/>
    <w:rsid w:val="00BC542D"/>
    <w:rsid w:val="00BC5A1D"/>
    <w:rsid w:val="00BC5AE7"/>
    <w:rsid w:val="00BC5E2A"/>
    <w:rsid w:val="00BC5FB5"/>
    <w:rsid w:val="00BC66F0"/>
    <w:rsid w:val="00BC7359"/>
    <w:rsid w:val="00BC75DA"/>
    <w:rsid w:val="00BD092D"/>
    <w:rsid w:val="00BD0B01"/>
    <w:rsid w:val="00BD116A"/>
    <w:rsid w:val="00BD1460"/>
    <w:rsid w:val="00BD1FAB"/>
    <w:rsid w:val="00BD2234"/>
    <w:rsid w:val="00BD2F11"/>
    <w:rsid w:val="00BD3964"/>
    <w:rsid w:val="00BD3B27"/>
    <w:rsid w:val="00BD3D12"/>
    <w:rsid w:val="00BD4540"/>
    <w:rsid w:val="00BD4984"/>
    <w:rsid w:val="00BD4B6B"/>
    <w:rsid w:val="00BD4CB0"/>
    <w:rsid w:val="00BD4D2B"/>
    <w:rsid w:val="00BD5825"/>
    <w:rsid w:val="00BD5BDA"/>
    <w:rsid w:val="00BD5C6E"/>
    <w:rsid w:val="00BD60A5"/>
    <w:rsid w:val="00BD61DE"/>
    <w:rsid w:val="00BD6857"/>
    <w:rsid w:val="00BD6FB3"/>
    <w:rsid w:val="00BD6FCB"/>
    <w:rsid w:val="00BE2382"/>
    <w:rsid w:val="00BE2BF8"/>
    <w:rsid w:val="00BE396B"/>
    <w:rsid w:val="00BE3AE9"/>
    <w:rsid w:val="00BE3F5C"/>
    <w:rsid w:val="00BE45A8"/>
    <w:rsid w:val="00BE4AB0"/>
    <w:rsid w:val="00BE519C"/>
    <w:rsid w:val="00BE51EA"/>
    <w:rsid w:val="00BE57EE"/>
    <w:rsid w:val="00BE5924"/>
    <w:rsid w:val="00BE640F"/>
    <w:rsid w:val="00BE6873"/>
    <w:rsid w:val="00BE68CF"/>
    <w:rsid w:val="00BE698B"/>
    <w:rsid w:val="00BE69F1"/>
    <w:rsid w:val="00BE6CB8"/>
    <w:rsid w:val="00BE6EAB"/>
    <w:rsid w:val="00BE7125"/>
    <w:rsid w:val="00BE72AB"/>
    <w:rsid w:val="00BE73D2"/>
    <w:rsid w:val="00BE7789"/>
    <w:rsid w:val="00BE7BD2"/>
    <w:rsid w:val="00BE7CDB"/>
    <w:rsid w:val="00BF11B8"/>
    <w:rsid w:val="00BF1DC6"/>
    <w:rsid w:val="00BF1EAD"/>
    <w:rsid w:val="00BF27A6"/>
    <w:rsid w:val="00BF2BFE"/>
    <w:rsid w:val="00BF430A"/>
    <w:rsid w:val="00BF4571"/>
    <w:rsid w:val="00BF4E4E"/>
    <w:rsid w:val="00BF4F8F"/>
    <w:rsid w:val="00BF50B5"/>
    <w:rsid w:val="00BF52FE"/>
    <w:rsid w:val="00BF6829"/>
    <w:rsid w:val="00BF6D83"/>
    <w:rsid w:val="00BF6FB2"/>
    <w:rsid w:val="00BF755B"/>
    <w:rsid w:val="00BF7B18"/>
    <w:rsid w:val="00C0030E"/>
    <w:rsid w:val="00C00358"/>
    <w:rsid w:val="00C00C8D"/>
    <w:rsid w:val="00C00F86"/>
    <w:rsid w:val="00C0119B"/>
    <w:rsid w:val="00C03C15"/>
    <w:rsid w:val="00C03D82"/>
    <w:rsid w:val="00C03DDF"/>
    <w:rsid w:val="00C0509A"/>
    <w:rsid w:val="00C0537A"/>
    <w:rsid w:val="00C0537B"/>
    <w:rsid w:val="00C061F7"/>
    <w:rsid w:val="00C065CC"/>
    <w:rsid w:val="00C06C89"/>
    <w:rsid w:val="00C0736F"/>
    <w:rsid w:val="00C07380"/>
    <w:rsid w:val="00C075D8"/>
    <w:rsid w:val="00C076C0"/>
    <w:rsid w:val="00C07E0B"/>
    <w:rsid w:val="00C10466"/>
    <w:rsid w:val="00C10AA7"/>
    <w:rsid w:val="00C10E6D"/>
    <w:rsid w:val="00C11142"/>
    <w:rsid w:val="00C12102"/>
    <w:rsid w:val="00C127C1"/>
    <w:rsid w:val="00C12849"/>
    <w:rsid w:val="00C12FED"/>
    <w:rsid w:val="00C133C7"/>
    <w:rsid w:val="00C13A35"/>
    <w:rsid w:val="00C14130"/>
    <w:rsid w:val="00C14369"/>
    <w:rsid w:val="00C147F4"/>
    <w:rsid w:val="00C1483C"/>
    <w:rsid w:val="00C14BBB"/>
    <w:rsid w:val="00C14E6C"/>
    <w:rsid w:val="00C14EC8"/>
    <w:rsid w:val="00C15B59"/>
    <w:rsid w:val="00C15C34"/>
    <w:rsid w:val="00C1629E"/>
    <w:rsid w:val="00C16AFD"/>
    <w:rsid w:val="00C171BF"/>
    <w:rsid w:val="00C1722F"/>
    <w:rsid w:val="00C17694"/>
    <w:rsid w:val="00C17853"/>
    <w:rsid w:val="00C17932"/>
    <w:rsid w:val="00C20E3A"/>
    <w:rsid w:val="00C2109B"/>
    <w:rsid w:val="00C21AB9"/>
    <w:rsid w:val="00C22507"/>
    <w:rsid w:val="00C226F5"/>
    <w:rsid w:val="00C2287E"/>
    <w:rsid w:val="00C22F1E"/>
    <w:rsid w:val="00C23B90"/>
    <w:rsid w:val="00C23E1C"/>
    <w:rsid w:val="00C247E9"/>
    <w:rsid w:val="00C251C0"/>
    <w:rsid w:val="00C25268"/>
    <w:rsid w:val="00C25319"/>
    <w:rsid w:val="00C2698D"/>
    <w:rsid w:val="00C2701F"/>
    <w:rsid w:val="00C27A3B"/>
    <w:rsid w:val="00C27BEE"/>
    <w:rsid w:val="00C27CF6"/>
    <w:rsid w:val="00C3008E"/>
    <w:rsid w:val="00C32721"/>
    <w:rsid w:val="00C33381"/>
    <w:rsid w:val="00C33915"/>
    <w:rsid w:val="00C348AF"/>
    <w:rsid w:val="00C349A2"/>
    <w:rsid w:val="00C34AD2"/>
    <w:rsid w:val="00C35551"/>
    <w:rsid w:val="00C356B7"/>
    <w:rsid w:val="00C36902"/>
    <w:rsid w:val="00C36B15"/>
    <w:rsid w:val="00C37094"/>
    <w:rsid w:val="00C3712C"/>
    <w:rsid w:val="00C372C7"/>
    <w:rsid w:val="00C37D00"/>
    <w:rsid w:val="00C37F9E"/>
    <w:rsid w:val="00C40D7A"/>
    <w:rsid w:val="00C41446"/>
    <w:rsid w:val="00C414BE"/>
    <w:rsid w:val="00C416B4"/>
    <w:rsid w:val="00C41851"/>
    <w:rsid w:val="00C41BE6"/>
    <w:rsid w:val="00C4222F"/>
    <w:rsid w:val="00C425FF"/>
    <w:rsid w:val="00C43477"/>
    <w:rsid w:val="00C43B39"/>
    <w:rsid w:val="00C43C3B"/>
    <w:rsid w:val="00C440B2"/>
    <w:rsid w:val="00C4538B"/>
    <w:rsid w:val="00C457B5"/>
    <w:rsid w:val="00C458B1"/>
    <w:rsid w:val="00C45A7D"/>
    <w:rsid w:val="00C46D7D"/>
    <w:rsid w:val="00C470BE"/>
    <w:rsid w:val="00C5006A"/>
    <w:rsid w:val="00C50089"/>
    <w:rsid w:val="00C51A3D"/>
    <w:rsid w:val="00C51FEE"/>
    <w:rsid w:val="00C5204C"/>
    <w:rsid w:val="00C52D2B"/>
    <w:rsid w:val="00C52F7F"/>
    <w:rsid w:val="00C530A6"/>
    <w:rsid w:val="00C534E7"/>
    <w:rsid w:val="00C53B37"/>
    <w:rsid w:val="00C54008"/>
    <w:rsid w:val="00C54226"/>
    <w:rsid w:val="00C54380"/>
    <w:rsid w:val="00C54ACE"/>
    <w:rsid w:val="00C54F9D"/>
    <w:rsid w:val="00C556A6"/>
    <w:rsid w:val="00C55AF0"/>
    <w:rsid w:val="00C56A62"/>
    <w:rsid w:val="00C56FA1"/>
    <w:rsid w:val="00C57F78"/>
    <w:rsid w:val="00C57F9A"/>
    <w:rsid w:val="00C6042B"/>
    <w:rsid w:val="00C6045C"/>
    <w:rsid w:val="00C6058A"/>
    <w:rsid w:val="00C609DD"/>
    <w:rsid w:val="00C60B01"/>
    <w:rsid w:val="00C60CD1"/>
    <w:rsid w:val="00C61CE5"/>
    <w:rsid w:val="00C61F20"/>
    <w:rsid w:val="00C628CB"/>
    <w:rsid w:val="00C62EC0"/>
    <w:rsid w:val="00C6343C"/>
    <w:rsid w:val="00C63A84"/>
    <w:rsid w:val="00C63C87"/>
    <w:rsid w:val="00C63E26"/>
    <w:rsid w:val="00C64B44"/>
    <w:rsid w:val="00C64D26"/>
    <w:rsid w:val="00C65E1C"/>
    <w:rsid w:val="00C67013"/>
    <w:rsid w:val="00C67108"/>
    <w:rsid w:val="00C672E6"/>
    <w:rsid w:val="00C701FF"/>
    <w:rsid w:val="00C70CAF"/>
    <w:rsid w:val="00C70CFA"/>
    <w:rsid w:val="00C718EA"/>
    <w:rsid w:val="00C72351"/>
    <w:rsid w:val="00C72779"/>
    <w:rsid w:val="00C72965"/>
    <w:rsid w:val="00C729E1"/>
    <w:rsid w:val="00C7403B"/>
    <w:rsid w:val="00C74F9D"/>
    <w:rsid w:val="00C754BF"/>
    <w:rsid w:val="00C7569C"/>
    <w:rsid w:val="00C75851"/>
    <w:rsid w:val="00C760C8"/>
    <w:rsid w:val="00C7639F"/>
    <w:rsid w:val="00C76527"/>
    <w:rsid w:val="00C769E3"/>
    <w:rsid w:val="00C774AD"/>
    <w:rsid w:val="00C77C61"/>
    <w:rsid w:val="00C80304"/>
    <w:rsid w:val="00C804DC"/>
    <w:rsid w:val="00C80550"/>
    <w:rsid w:val="00C80BF6"/>
    <w:rsid w:val="00C80E27"/>
    <w:rsid w:val="00C80E2C"/>
    <w:rsid w:val="00C811B8"/>
    <w:rsid w:val="00C8151F"/>
    <w:rsid w:val="00C816E2"/>
    <w:rsid w:val="00C8267E"/>
    <w:rsid w:val="00C82B58"/>
    <w:rsid w:val="00C82BD4"/>
    <w:rsid w:val="00C83752"/>
    <w:rsid w:val="00C8378A"/>
    <w:rsid w:val="00C837C6"/>
    <w:rsid w:val="00C83904"/>
    <w:rsid w:val="00C83A96"/>
    <w:rsid w:val="00C83B69"/>
    <w:rsid w:val="00C84563"/>
    <w:rsid w:val="00C845F2"/>
    <w:rsid w:val="00C84748"/>
    <w:rsid w:val="00C85A7B"/>
    <w:rsid w:val="00C873C0"/>
    <w:rsid w:val="00C8753B"/>
    <w:rsid w:val="00C90BAB"/>
    <w:rsid w:val="00C919DF"/>
    <w:rsid w:val="00C92912"/>
    <w:rsid w:val="00C92A14"/>
    <w:rsid w:val="00C92C80"/>
    <w:rsid w:val="00C93A1C"/>
    <w:rsid w:val="00C9416A"/>
    <w:rsid w:val="00C94593"/>
    <w:rsid w:val="00C949E3"/>
    <w:rsid w:val="00C94CC8"/>
    <w:rsid w:val="00C952A7"/>
    <w:rsid w:val="00C958E5"/>
    <w:rsid w:val="00C95955"/>
    <w:rsid w:val="00C96731"/>
    <w:rsid w:val="00C96886"/>
    <w:rsid w:val="00C968C7"/>
    <w:rsid w:val="00C97824"/>
    <w:rsid w:val="00C97C29"/>
    <w:rsid w:val="00CA0973"/>
    <w:rsid w:val="00CA0EA9"/>
    <w:rsid w:val="00CA0EFA"/>
    <w:rsid w:val="00CA161C"/>
    <w:rsid w:val="00CA18F9"/>
    <w:rsid w:val="00CA1E15"/>
    <w:rsid w:val="00CA294D"/>
    <w:rsid w:val="00CA2E53"/>
    <w:rsid w:val="00CA3461"/>
    <w:rsid w:val="00CA4338"/>
    <w:rsid w:val="00CA4A2F"/>
    <w:rsid w:val="00CA4A54"/>
    <w:rsid w:val="00CA4EEF"/>
    <w:rsid w:val="00CA4F69"/>
    <w:rsid w:val="00CA4F7D"/>
    <w:rsid w:val="00CA632D"/>
    <w:rsid w:val="00CA6D1C"/>
    <w:rsid w:val="00CA7133"/>
    <w:rsid w:val="00CA71A2"/>
    <w:rsid w:val="00CA7961"/>
    <w:rsid w:val="00CA7A2C"/>
    <w:rsid w:val="00CA7A7E"/>
    <w:rsid w:val="00CA7FCA"/>
    <w:rsid w:val="00CB17A9"/>
    <w:rsid w:val="00CB1C12"/>
    <w:rsid w:val="00CB1E31"/>
    <w:rsid w:val="00CB2A88"/>
    <w:rsid w:val="00CB367B"/>
    <w:rsid w:val="00CB391C"/>
    <w:rsid w:val="00CB3FDA"/>
    <w:rsid w:val="00CB4DF9"/>
    <w:rsid w:val="00CB4E7D"/>
    <w:rsid w:val="00CB57ED"/>
    <w:rsid w:val="00CB62D1"/>
    <w:rsid w:val="00CB6A72"/>
    <w:rsid w:val="00CB7492"/>
    <w:rsid w:val="00CB7C63"/>
    <w:rsid w:val="00CB7C7D"/>
    <w:rsid w:val="00CB7C8E"/>
    <w:rsid w:val="00CC0255"/>
    <w:rsid w:val="00CC0361"/>
    <w:rsid w:val="00CC15A2"/>
    <w:rsid w:val="00CC15A8"/>
    <w:rsid w:val="00CC28E1"/>
    <w:rsid w:val="00CC2AA5"/>
    <w:rsid w:val="00CC2E80"/>
    <w:rsid w:val="00CC2E8A"/>
    <w:rsid w:val="00CC3006"/>
    <w:rsid w:val="00CC41AA"/>
    <w:rsid w:val="00CC4D79"/>
    <w:rsid w:val="00CC5220"/>
    <w:rsid w:val="00CC5A65"/>
    <w:rsid w:val="00CC5CB6"/>
    <w:rsid w:val="00CC5DA8"/>
    <w:rsid w:val="00CC6278"/>
    <w:rsid w:val="00CC69C5"/>
    <w:rsid w:val="00CC6DC3"/>
    <w:rsid w:val="00CC73E2"/>
    <w:rsid w:val="00CC743C"/>
    <w:rsid w:val="00CC7AD0"/>
    <w:rsid w:val="00CD10E4"/>
    <w:rsid w:val="00CD1648"/>
    <w:rsid w:val="00CD1A72"/>
    <w:rsid w:val="00CD22CE"/>
    <w:rsid w:val="00CD2F9A"/>
    <w:rsid w:val="00CD3679"/>
    <w:rsid w:val="00CD4E81"/>
    <w:rsid w:val="00CD58FE"/>
    <w:rsid w:val="00CD6779"/>
    <w:rsid w:val="00CE08C3"/>
    <w:rsid w:val="00CE1691"/>
    <w:rsid w:val="00CE1C19"/>
    <w:rsid w:val="00CE23B3"/>
    <w:rsid w:val="00CE2574"/>
    <w:rsid w:val="00CE2BBD"/>
    <w:rsid w:val="00CE2BD0"/>
    <w:rsid w:val="00CE387C"/>
    <w:rsid w:val="00CE3E10"/>
    <w:rsid w:val="00CE4AA4"/>
    <w:rsid w:val="00CE4B9B"/>
    <w:rsid w:val="00CE4C54"/>
    <w:rsid w:val="00CE5336"/>
    <w:rsid w:val="00CE542F"/>
    <w:rsid w:val="00CE5833"/>
    <w:rsid w:val="00CE58CA"/>
    <w:rsid w:val="00CE5D48"/>
    <w:rsid w:val="00CE6703"/>
    <w:rsid w:val="00CE6835"/>
    <w:rsid w:val="00CE741A"/>
    <w:rsid w:val="00CE7D7E"/>
    <w:rsid w:val="00CF0149"/>
    <w:rsid w:val="00CF01FA"/>
    <w:rsid w:val="00CF024B"/>
    <w:rsid w:val="00CF0BD9"/>
    <w:rsid w:val="00CF13B1"/>
    <w:rsid w:val="00CF15B1"/>
    <w:rsid w:val="00CF28E2"/>
    <w:rsid w:val="00CF2EA3"/>
    <w:rsid w:val="00CF3026"/>
    <w:rsid w:val="00CF35BE"/>
    <w:rsid w:val="00CF3987"/>
    <w:rsid w:val="00CF3C30"/>
    <w:rsid w:val="00CF3F01"/>
    <w:rsid w:val="00CF46CC"/>
    <w:rsid w:val="00CF4B09"/>
    <w:rsid w:val="00CF4C0F"/>
    <w:rsid w:val="00CF57D7"/>
    <w:rsid w:val="00CF58C6"/>
    <w:rsid w:val="00CF5E4A"/>
    <w:rsid w:val="00CF5F3C"/>
    <w:rsid w:val="00CF6F64"/>
    <w:rsid w:val="00D00018"/>
    <w:rsid w:val="00D01E80"/>
    <w:rsid w:val="00D0215A"/>
    <w:rsid w:val="00D02705"/>
    <w:rsid w:val="00D02DB3"/>
    <w:rsid w:val="00D02E19"/>
    <w:rsid w:val="00D02E27"/>
    <w:rsid w:val="00D03C60"/>
    <w:rsid w:val="00D04442"/>
    <w:rsid w:val="00D04BA7"/>
    <w:rsid w:val="00D04F41"/>
    <w:rsid w:val="00D05C07"/>
    <w:rsid w:val="00D066D7"/>
    <w:rsid w:val="00D06932"/>
    <w:rsid w:val="00D07003"/>
    <w:rsid w:val="00D0702A"/>
    <w:rsid w:val="00D071AC"/>
    <w:rsid w:val="00D07A81"/>
    <w:rsid w:val="00D07CB1"/>
    <w:rsid w:val="00D10FDC"/>
    <w:rsid w:val="00D1170C"/>
    <w:rsid w:val="00D11835"/>
    <w:rsid w:val="00D11D69"/>
    <w:rsid w:val="00D125AA"/>
    <w:rsid w:val="00D132A3"/>
    <w:rsid w:val="00D132CE"/>
    <w:rsid w:val="00D139F8"/>
    <w:rsid w:val="00D1432A"/>
    <w:rsid w:val="00D148AE"/>
    <w:rsid w:val="00D14EA9"/>
    <w:rsid w:val="00D16D50"/>
    <w:rsid w:val="00D16FB1"/>
    <w:rsid w:val="00D1761A"/>
    <w:rsid w:val="00D17C70"/>
    <w:rsid w:val="00D202EA"/>
    <w:rsid w:val="00D206DD"/>
    <w:rsid w:val="00D2090B"/>
    <w:rsid w:val="00D20C49"/>
    <w:rsid w:val="00D20E57"/>
    <w:rsid w:val="00D21000"/>
    <w:rsid w:val="00D2162D"/>
    <w:rsid w:val="00D217DD"/>
    <w:rsid w:val="00D21848"/>
    <w:rsid w:val="00D21ED0"/>
    <w:rsid w:val="00D22699"/>
    <w:rsid w:val="00D226F5"/>
    <w:rsid w:val="00D228D8"/>
    <w:rsid w:val="00D2290E"/>
    <w:rsid w:val="00D2359C"/>
    <w:rsid w:val="00D241D2"/>
    <w:rsid w:val="00D24DD2"/>
    <w:rsid w:val="00D2515B"/>
    <w:rsid w:val="00D25850"/>
    <w:rsid w:val="00D26F28"/>
    <w:rsid w:val="00D300A1"/>
    <w:rsid w:val="00D302EC"/>
    <w:rsid w:val="00D314CA"/>
    <w:rsid w:val="00D314E8"/>
    <w:rsid w:val="00D31752"/>
    <w:rsid w:val="00D31782"/>
    <w:rsid w:val="00D321A8"/>
    <w:rsid w:val="00D32A1B"/>
    <w:rsid w:val="00D3315C"/>
    <w:rsid w:val="00D336EA"/>
    <w:rsid w:val="00D33990"/>
    <w:rsid w:val="00D33B95"/>
    <w:rsid w:val="00D33BD4"/>
    <w:rsid w:val="00D34121"/>
    <w:rsid w:val="00D344BE"/>
    <w:rsid w:val="00D34B3F"/>
    <w:rsid w:val="00D357ED"/>
    <w:rsid w:val="00D35983"/>
    <w:rsid w:val="00D35A11"/>
    <w:rsid w:val="00D361BE"/>
    <w:rsid w:val="00D36E97"/>
    <w:rsid w:val="00D40197"/>
    <w:rsid w:val="00D402BB"/>
    <w:rsid w:val="00D42239"/>
    <w:rsid w:val="00D43223"/>
    <w:rsid w:val="00D44648"/>
    <w:rsid w:val="00D447B4"/>
    <w:rsid w:val="00D44EE5"/>
    <w:rsid w:val="00D453F2"/>
    <w:rsid w:val="00D4584D"/>
    <w:rsid w:val="00D46A73"/>
    <w:rsid w:val="00D470F5"/>
    <w:rsid w:val="00D471B0"/>
    <w:rsid w:val="00D472CB"/>
    <w:rsid w:val="00D47821"/>
    <w:rsid w:val="00D47A01"/>
    <w:rsid w:val="00D47BFB"/>
    <w:rsid w:val="00D50327"/>
    <w:rsid w:val="00D50DA1"/>
    <w:rsid w:val="00D50DF3"/>
    <w:rsid w:val="00D5103F"/>
    <w:rsid w:val="00D527B4"/>
    <w:rsid w:val="00D52865"/>
    <w:rsid w:val="00D52D60"/>
    <w:rsid w:val="00D533C4"/>
    <w:rsid w:val="00D53647"/>
    <w:rsid w:val="00D537F4"/>
    <w:rsid w:val="00D53A3C"/>
    <w:rsid w:val="00D53C7B"/>
    <w:rsid w:val="00D544B4"/>
    <w:rsid w:val="00D54B73"/>
    <w:rsid w:val="00D55472"/>
    <w:rsid w:val="00D55529"/>
    <w:rsid w:val="00D55DA6"/>
    <w:rsid w:val="00D56122"/>
    <w:rsid w:val="00D56192"/>
    <w:rsid w:val="00D56CBE"/>
    <w:rsid w:val="00D56E51"/>
    <w:rsid w:val="00D57143"/>
    <w:rsid w:val="00D572BF"/>
    <w:rsid w:val="00D57B0A"/>
    <w:rsid w:val="00D60625"/>
    <w:rsid w:val="00D615E8"/>
    <w:rsid w:val="00D61885"/>
    <w:rsid w:val="00D631E9"/>
    <w:rsid w:val="00D63B50"/>
    <w:rsid w:val="00D64EBC"/>
    <w:rsid w:val="00D65B5B"/>
    <w:rsid w:val="00D65BFA"/>
    <w:rsid w:val="00D65E89"/>
    <w:rsid w:val="00D65F39"/>
    <w:rsid w:val="00D67124"/>
    <w:rsid w:val="00D672A0"/>
    <w:rsid w:val="00D67E9F"/>
    <w:rsid w:val="00D703EA"/>
    <w:rsid w:val="00D703F9"/>
    <w:rsid w:val="00D70EA4"/>
    <w:rsid w:val="00D71431"/>
    <w:rsid w:val="00D721EF"/>
    <w:rsid w:val="00D724F9"/>
    <w:rsid w:val="00D731C5"/>
    <w:rsid w:val="00D74061"/>
    <w:rsid w:val="00D741EE"/>
    <w:rsid w:val="00D7434C"/>
    <w:rsid w:val="00D75391"/>
    <w:rsid w:val="00D75B1E"/>
    <w:rsid w:val="00D75E64"/>
    <w:rsid w:val="00D76147"/>
    <w:rsid w:val="00D7647B"/>
    <w:rsid w:val="00D764A1"/>
    <w:rsid w:val="00D76D69"/>
    <w:rsid w:val="00D76F74"/>
    <w:rsid w:val="00D77126"/>
    <w:rsid w:val="00D774F8"/>
    <w:rsid w:val="00D77BC0"/>
    <w:rsid w:val="00D80210"/>
    <w:rsid w:val="00D809FF"/>
    <w:rsid w:val="00D80A4E"/>
    <w:rsid w:val="00D812C5"/>
    <w:rsid w:val="00D8175E"/>
    <w:rsid w:val="00D8183E"/>
    <w:rsid w:val="00D819E6"/>
    <w:rsid w:val="00D81A9B"/>
    <w:rsid w:val="00D81B34"/>
    <w:rsid w:val="00D822DB"/>
    <w:rsid w:val="00D82815"/>
    <w:rsid w:val="00D8291F"/>
    <w:rsid w:val="00D82CFE"/>
    <w:rsid w:val="00D830BE"/>
    <w:rsid w:val="00D83249"/>
    <w:rsid w:val="00D83B47"/>
    <w:rsid w:val="00D83DB5"/>
    <w:rsid w:val="00D8447B"/>
    <w:rsid w:val="00D8498B"/>
    <w:rsid w:val="00D84EEC"/>
    <w:rsid w:val="00D8551F"/>
    <w:rsid w:val="00D86490"/>
    <w:rsid w:val="00D86EC7"/>
    <w:rsid w:val="00D873F3"/>
    <w:rsid w:val="00D87DA3"/>
    <w:rsid w:val="00D87E13"/>
    <w:rsid w:val="00D87E46"/>
    <w:rsid w:val="00D87FEC"/>
    <w:rsid w:val="00D9048C"/>
    <w:rsid w:val="00D904E2"/>
    <w:rsid w:val="00D91658"/>
    <w:rsid w:val="00D91946"/>
    <w:rsid w:val="00D93D67"/>
    <w:rsid w:val="00D94033"/>
    <w:rsid w:val="00D9412E"/>
    <w:rsid w:val="00D943EB"/>
    <w:rsid w:val="00D968BB"/>
    <w:rsid w:val="00D97158"/>
    <w:rsid w:val="00D973D2"/>
    <w:rsid w:val="00DA09DB"/>
    <w:rsid w:val="00DA1876"/>
    <w:rsid w:val="00DA1B58"/>
    <w:rsid w:val="00DA1FF6"/>
    <w:rsid w:val="00DA209B"/>
    <w:rsid w:val="00DA2982"/>
    <w:rsid w:val="00DA3D63"/>
    <w:rsid w:val="00DA4561"/>
    <w:rsid w:val="00DA46EC"/>
    <w:rsid w:val="00DA6528"/>
    <w:rsid w:val="00DA66B1"/>
    <w:rsid w:val="00DA66F3"/>
    <w:rsid w:val="00DA679E"/>
    <w:rsid w:val="00DA7AA9"/>
    <w:rsid w:val="00DA7ACD"/>
    <w:rsid w:val="00DB00EC"/>
    <w:rsid w:val="00DB0814"/>
    <w:rsid w:val="00DB1C3C"/>
    <w:rsid w:val="00DB1ECE"/>
    <w:rsid w:val="00DB29F9"/>
    <w:rsid w:val="00DB30DA"/>
    <w:rsid w:val="00DB38D2"/>
    <w:rsid w:val="00DB4088"/>
    <w:rsid w:val="00DB5110"/>
    <w:rsid w:val="00DB6C8F"/>
    <w:rsid w:val="00DB720A"/>
    <w:rsid w:val="00DB7828"/>
    <w:rsid w:val="00DB7FF7"/>
    <w:rsid w:val="00DC0A6D"/>
    <w:rsid w:val="00DC0FFA"/>
    <w:rsid w:val="00DC2240"/>
    <w:rsid w:val="00DC35E6"/>
    <w:rsid w:val="00DC46FD"/>
    <w:rsid w:val="00DC4D6F"/>
    <w:rsid w:val="00DC5C5D"/>
    <w:rsid w:val="00DC629B"/>
    <w:rsid w:val="00DC62E6"/>
    <w:rsid w:val="00DC67D9"/>
    <w:rsid w:val="00DC6AF8"/>
    <w:rsid w:val="00DC6B3F"/>
    <w:rsid w:val="00DC6F84"/>
    <w:rsid w:val="00DC7485"/>
    <w:rsid w:val="00DC78EE"/>
    <w:rsid w:val="00DC7943"/>
    <w:rsid w:val="00DC7CF3"/>
    <w:rsid w:val="00DC7D25"/>
    <w:rsid w:val="00DC7DDD"/>
    <w:rsid w:val="00DD0127"/>
    <w:rsid w:val="00DD1B93"/>
    <w:rsid w:val="00DD1DDE"/>
    <w:rsid w:val="00DD3743"/>
    <w:rsid w:val="00DD3F98"/>
    <w:rsid w:val="00DD4138"/>
    <w:rsid w:val="00DD49AF"/>
    <w:rsid w:val="00DD513C"/>
    <w:rsid w:val="00DD579A"/>
    <w:rsid w:val="00DD5CF0"/>
    <w:rsid w:val="00DD746E"/>
    <w:rsid w:val="00DD7893"/>
    <w:rsid w:val="00DE109F"/>
    <w:rsid w:val="00DE10DB"/>
    <w:rsid w:val="00DE1260"/>
    <w:rsid w:val="00DE203D"/>
    <w:rsid w:val="00DE26C1"/>
    <w:rsid w:val="00DE28AD"/>
    <w:rsid w:val="00DE2FB1"/>
    <w:rsid w:val="00DE3168"/>
    <w:rsid w:val="00DE364C"/>
    <w:rsid w:val="00DE3762"/>
    <w:rsid w:val="00DE42BD"/>
    <w:rsid w:val="00DE4755"/>
    <w:rsid w:val="00DE5D18"/>
    <w:rsid w:val="00DE5F7D"/>
    <w:rsid w:val="00DE605F"/>
    <w:rsid w:val="00DE6AC9"/>
    <w:rsid w:val="00DE6C81"/>
    <w:rsid w:val="00DE6DB3"/>
    <w:rsid w:val="00DE6EF2"/>
    <w:rsid w:val="00DE71FC"/>
    <w:rsid w:val="00DE745A"/>
    <w:rsid w:val="00DE7D29"/>
    <w:rsid w:val="00DE7EA4"/>
    <w:rsid w:val="00DF001A"/>
    <w:rsid w:val="00DF0552"/>
    <w:rsid w:val="00DF0770"/>
    <w:rsid w:val="00DF1776"/>
    <w:rsid w:val="00DF1B39"/>
    <w:rsid w:val="00DF1B3D"/>
    <w:rsid w:val="00DF2699"/>
    <w:rsid w:val="00DF2968"/>
    <w:rsid w:val="00DF2A33"/>
    <w:rsid w:val="00DF3456"/>
    <w:rsid w:val="00DF357B"/>
    <w:rsid w:val="00DF35D3"/>
    <w:rsid w:val="00DF4E12"/>
    <w:rsid w:val="00DF5DE0"/>
    <w:rsid w:val="00DF639B"/>
    <w:rsid w:val="00DF6466"/>
    <w:rsid w:val="00DF64D3"/>
    <w:rsid w:val="00DF6FFD"/>
    <w:rsid w:val="00DF7ACE"/>
    <w:rsid w:val="00DF7C0E"/>
    <w:rsid w:val="00DF7EFF"/>
    <w:rsid w:val="00E00506"/>
    <w:rsid w:val="00E00ECA"/>
    <w:rsid w:val="00E0123E"/>
    <w:rsid w:val="00E013BB"/>
    <w:rsid w:val="00E018D7"/>
    <w:rsid w:val="00E01B3C"/>
    <w:rsid w:val="00E01DAC"/>
    <w:rsid w:val="00E02CC2"/>
    <w:rsid w:val="00E03A10"/>
    <w:rsid w:val="00E03B5A"/>
    <w:rsid w:val="00E05D1D"/>
    <w:rsid w:val="00E05E92"/>
    <w:rsid w:val="00E06987"/>
    <w:rsid w:val="00E06F9F"/>
    <w:rsid w:val="00E07216"/>
    <w:rsid w:val="00E072EC"/>
    <w:rsid w:val="00E076D1"/>
    <w:rsid w:val="00E07903"/>
    <w:rsid w:val="00E079A3"/>
    <w:rsid w:val="00E07EDD"/>
    <w:rsid w:val="00E1216C"/>
    <w:rsid w:val="00E122CA"/>
    <w:rsid w:val="00E125CC"/>
    <w:rsid w:val="00E128BB"/>
    <w:rsid w:val="00E13A7F"/>
    <w:rsid w:val="00E13B83"/>
    <w:rsid w:val="00E13E52"/>
    <w:rsid w:val="00E14C3C"/>
    <w:rsid w:val="00E14C44"/>
    <w:rsid w:val="00E15129"/>
    <w:rsid w:val="00E151D9"/>
    <w:rsid w:val="00E15676"/>
    <w:rsid w:val="00E15C6B"/>
    <w:rsid w:val="00E15E4B"/>
    <w:rsid w:val="00E16C0C"/>
    <w:rsid w:val="00E16C6B"/>
    <w:rsid w:val="00E17026"/>
    <w:rsid w:val="00E206BE"/>
    <w:rsid w:val="00E20E1F"/>
    <w:rsid w:val="00E21980"/>
    <w:rsid w:val="00E229DF"/>
    <w:rsid w:val="00E23B7D"/>
    <w:rsid w:val="00E25320"/>
    <w:rsid w:val="00E25932"/>
    <w:rsid w:val="00E25EA1"/>
    <w:rsid w:val="00E26521"/>
    <w:rsid w:val="00E266A6"/>
    <w:rsid w:val="00E27053"/>
    <w:rsid w:val="00E272EE"/>
    <w:rsid w:val="00E27A37"/>
    <w:rsid w:val="00E3084D"/>
    <w:rsid w:val="00E30E55"/>
    <w:rsid w:val="00E31403"/>
    <w:rsid w:val="00E31473"/>
    <w:rsid w:val="00E31716"/>
    <w:rsid w:val="00E324A3"/>
    <w:rsid w:val="00E32766"/>
    <w:rsid w:val="00E32C10"/>
    <w:rsid w:val="00E3382C"/>
    <w:rsid w:val="00E339A2"/>
    <w:rsid w:val="00E35694"/>
    <w:rsid w:val="00E35B66"/>
    <w:rsid w:val="00E36A58"/>
    <w:rsid w:val="00E36D31"/>
    <w:rsid w:val="00E37059"/>
    <w:rsid w:val="00E374E3"/>
    <w:rsid w:val="00E376C6"/>
    <w:rsid w:val="00E37B9A"/>
    <w:rsid w:val="00E4019A"/>
    <w:rsid w:val="00E40C00"/>
    <w:rsid w:val="00E40CCA"/>
    <w:rsid w:val="00E40E25"/>
    <w:rsid w:val="00E414DE"/>
    <w:rsid w:val="00E421A3"/>
    <w:rsid w:val="00E423BB"/>
    <w:rsid w:val="00E42BEA"/>
    <w:rsid w:val="00E4442F"/>
    <w:rsid w:val="00E44717"/>
    <w:rsid w:val="00E44DFE"/>
    <w:rsid w:val="00E45266"/>
    <w:rsid w:val="00E45BAF"/>
    <w:rsid w:val="00E45C3B"/>
    <w:rsid w:val="00E45D33"/>
    <w:rsid w:val="00E45E73"/>
    <w:rsid w:val="00E4662C"/>
    <w:rsid w:val="00E468BE"/>
    <w:rsid w:val="00E4771C"/>
    <w:rsid w:val="00E47BF7"/>
    <w:rsid w:val="00E501F2"/>
    <w:rsid w:val="00E50647"/>
    <w:rsid w:val="00E50DCD"/>
    <w:rsid w:val="00E50DD5"/>
    <w:rsid w:val="00E50F44"/>
    <w:rsid w:val="00E521EB"/>
    <w:rsid w:val="00E524E5"/>
    <w:rsid w:val="00E52AE3"/>
    <w:rsid w:val="00E532DE"/>
    <w:rsid w:val="00E53380"/>
    <w:rsid w:val="00E54583"/>
    <w:rsid w:val="00E54A2D"/>
    <w:rsid w:val="00E54AD8"/>
    <w:rsid w:val="00E54D01"/>
    <w:rsid w:val="00E54F6C"/>
    <w:rsid w:val="00E54FD4"/>
    <w:rsid w:val="00E5597A"/>
    <w:rsid w:val="00E55A3D"/>
    <w:rsid w:val="00E56DF4"/>
    <w:rsid w:val="00E572F1"/>
    <w:rsid w:val="00E573FB"/>
    <w:rsid w:val="00E5794A"/>
    <w:rsid w:val="00E57EA2"/>
    <w:rsid w:val="00E6044F"/>
    <w:rsid w:val="00E61712"/>
    <w:rsid w:val="00E630D0"/>
    <w:rsid w:val="00E63EFF"/>
    <w:rsid w:val="00E657FF"/>
    <w:rsid w:val="00E664F7"/>
    <w:rsid w:val="00E66D61"/>
    <w:rsid w:val="00E67A88"/>
    <w:rsid w:val="00E67BB1"/>
    <w:rsid w:val="00E67CED"/>
    <w:rsid w:val="00E67DFE"/>
    <w:rsid w:val="00E7019C"/>
    <w:rsid w:val="00E707DD"/>
    <w:rsid w:val="00E70B83"/>
    <w:rsid w:val="00E70EFE"/>
    <w:rsid w:val="00E7103A"/>
    <w:rsid w:val="00E71112"/>
    <w:rsid w:val="00E71561"/>
    <w:rsid w:val="00E71C05"/>
    <w:rsid w:val="00E72324"/>
    <w:rsid w:val="00E73721"/>
    <w:rsid w:val="00E73C76"/>
    <w:rsid w:val="00E74822"/>
    <w:rsid w:val="00E74867"/>
    <w:rsid w:val="00E7511A"/>
    <w:rsid w:val="00E7529B"/>
    <w:rsid w:val="00E754AE"/>
    <w:rsid w:val="00E75AA8"/>
    <w:rsid w:val="00E77018"/>
    <w:rsid w:val="00E7748B"/>
    <w:rsid w:val="00E774E5"/>
    <w:rsid w:val="00E779D3"/>
    <w:rsid w:val="00E77B96"/>
    <w:rsid w:val="00E77D7E"/>
    <w:rsid w:val="00E80CCD"/>
    <w:rsid w:val="00E80D42"/>
    <w:rsid w:val="00E8100A"/>
    <w:rsid w:val="00E812FE"/>
    <w:rsid w:val="00E81794"/>
    <w:rsid w:val="00E81B13"/>
    <w:rsid w:val="00E82825"/>
    <w:rsid w:val="00E82AD5"/>
    <w:rsid w:val="00E82BA9"/>
    <w:rsid w:val="00E83BCB"/>
    <w:rsid w:val="00E84495"/>
    <w:rsid w:val="00E8477F"/>
    <w:rsid w:val="00E851F7"/>
    <w:rsid w:val="00E86225"/>
    <w:rsid w:val="00E86475"/>
    <w:rsid w:val="00E86E5C"/>
    <w:rsid w:val="00E87D92"/>
    <w:rsid w:val="00E90025"/>
    <w:rsid w:val="00E90616"/>
    <w:rsid w:val="00E90EA5"/>
    <w:rsid w:val="00E9277C"/>
    <w:rsid w:val="00E9349A"/>
    <w:rsid w:val="00E93AC2"/>
    <w:rsid w:val="00E93ED7"/>
    <w:rsid w:val="00E942C7"/>
    <w:rsid w:val="00E9434F"/>
    <w:rsid w:val="00E9485D"/>
    <w:rsid w:val="00E95129"/>
    <w:rsid w:val="00E96957"/>
    <w:rsid w:val="00E96E2D"/>
    <w:rsid w:val="00E9714D"/>
    <w:rsid w:val="00E972EC"/>
    <w:rsid w:val="00E979B1"/>
    <w:rsid w:val="00E97AF6"/>
    <w:rsid w:val="00EA0576"/>
    <w:rsid w:val="00EA07C4"/>
    <w:rsid w:val="00EA0C6C"/>
    <w:rsid w:val="00EA137D"/>
    <w:rsid w:val="00EA1459"/>
    <w:rsid w:val="00EA1944"/>
    <w:rsid w:val="00EA1FC7"/>
    <w:rsid w:val="00EA2549"/>
    <w:rsid w:val="00EA2C19"/>
    <w:rsid w:val="00EA30EE"/>
    <w:rsid w:val="00EA3450"/>
    <w:rsid w:val="00EA3D33"/>
    <w:rsid w:val="00EA505E"/>
    <w:rsid w:val="00EA532E"/>
    <w:rsid w:val="00EA53FA"/>
    <w:rsid w:val="00EA63EE"/>
    <w:rsid w:val="00EA6EF9"/>
    <w:rsid w:val="00EA6F2D"/>
    <w:rsid w:val="00EA7377"/>
    <w:rsid w:val="00EA7400"/>
    <w:rsid w:val="00EB01DE"/>
    <w:rsid w:val="00EB0DC2"/>
    <w:rsid w:val="00EB0EEE"/>
    <w:rsid w:val="00EB0F27"/>
    <w:rsid w:val="00EB1079"/>
    <w:rsid w:val="00EB17C8"/>
    <w:rsid w:val="00EB1A29"/>
    <w:rsid w:val="00EB1D27"/>
    <w:rsid w:val="00EB1EA1"/>
    <w:rsid w:val="00EB3219"/>
    <w:rsid w:val="00EB35F3"/>
    <w:rsid w:val="00EB3D80"/>
    <w:rsid w:val="00EB3F64"/>
    <w:rsid w:val="00EB4C8C"/>
    <w:rsid w:val="00EB4CC8"/>
    <w:rsid w:val="00EB5116"/>
    <w:rsid w:val="00EB55BE"/>
    <w:rsid w:val="00EB5A77"/>
    <w:rsid w:val="00EB62EE"/>
    <w:rsid w:val="00EB7119"/>
    <w:rsid w:val="00EB7184"/>
    <w:rsid w:val="00EC040D"/>
    <w:rsid w:val="00EC0760"/>
    <w:rsid w:val="00EC0924"/>
    <w:rsid w:val="00EC0A29"/>
    <w:rsid w:val="00EC0AC3"/>
    <w:rsid w:val="00EC0DEB"/>
    <w:rsid w:val="00EC2AC9"/>
    <w:rsid w:val="00EC2CAF"/>
    <w:rsid w:val="00EC2EF2"/>
    <w:rsid w:val="00EC37BF"/>
    <w:rsid w:val="00EC4BFE"/>
    <w:rsid w:val="00EC5597"/>
    <w:rsid w:val="00EC589F"/>
    <w:rsid w:val="00EC5F34"/>
    <w:rsid w:val="00EC61B3"/>
    <w:rsid w:val="00EC641C"/>
    <w:rsid w:val="00EC6A62"/>
    <w:rsid w:val="00EC700D"/>
    <w:rsid w:val="00EC77C9"/>
    <w:rsid w:val="00EC7960"/>
    <w:rsid w:val="00ED03AB"/>
    <w:rsid w:val="00ED0723"/>
    <w:rsid w:val="00ED0A70"/>
    <w:rsid w:val="00ED14D9"/>
    <w:rsid w:val="00ED1527"/>
    <w:rsid w:val="00ED1808"/>
    <w:rsid w:val="00ED185E"/>
    <w:rsid w:val="00ED2B22"/>
    <w:rsid w:val="00ED363A"/>
    <w:rsid w:val="00ED3E7F"/>
    <w:rsid w:val="00ED3FDB"/>
    <w:rsid w:val="00ED4918"/>
    <w:rsid w:val="00ED4A65"/>
    <w:rsid w:val="00ED4C4F"/>
    <w:rsid w:val="00ED5E56"/>
    <w:rsid w:val="00ED6E01"/>
    <w:rsid w:val="00ED7064"/>
    <w:rsid w:val="00ED75A1"/>
    <w:rsid w:val="00ED768F"/>
    <w:rsid w:val="00EE00DF"/>
    <w:rsid w:val="00EE0349"/>
    <w:rsid w:val="00EE09E6"/>
    <w:rsid w:val="00EE0AA7"/>
    <w:rsid w:val="00EE10AA"/>
    <w:rsid w:val="00EE1AF3"/>
    <w:rsid w:val="00EE2110"/>
    <w:rsid w:val="00EE22B4"/>
    <w:rsid w:val="00EE2599"/>
    <w:rsid w:val="00EE267C"/>
    <w:rsid w:val="00EE2D11"/>
    <w:rsid w:val="00EE30D2"/>
    <w:rsid w:val="00EE3487"/>
    <w:rsid w:val="00EE3B86"/>
    <w:rsid w:val="00EE4256"/>
    <w:rsid w:val="00EE48B0"/>
    <w:rsid w:val="00EE58C5"/>
    <w:rsid w:val="00EE5D1F"/>
    <w:rsid w:val="00EE63F1"/>
    <w:rsid w:val="00EE6F49"/>
    <w:rsid w:val="00EE77C5"/>
    <w:rsid w:val="00EE7E00"/>
    <w:rsid w:val="00EF04F7"/>
    <w:rsid w:val="00EF0958"/>
    <w:rsid w:val="00EF0D4B"/>
    <w:rsid w:val="00EF1775"/>
    <w:rsid w:val="00EF17F4"/>
    <w:rsid w:val="00EF20E4"/>
    <w:rsid w:val="00EF28AA"/>
    <w:rsid w:val="00EF5901"/>
    <w:rsid w:val="00EF5F5A"/>
    <w:rsid w:val="00EF62EE"/>
    <w:rsid w:val="00EF66F2"/>
    <w:rsid w:val="00EF69DE"/>
    <w:rsid w:val="00EF77E9"/>
    <w:rsid w:val="00EF7B85"/>
    <w:rsid w:val="00EF7C63"/>
    <w:rsid w:val="00F00D8F"/>
    <w:rsid w:val="00F01067"/>
    <w:rsid w:val="00F0137B"/>
    <w:rsid w:val="00F01CC4"/>
    <w:rsid w:val="00F01DE0"/>
    <w:rsid w:val="00F023FB"/>
    <w:rsid w:val="00F02E78"/>
    <w:rsid w:val="00F0329C"/>
    <w:rsid w:val="00F033B8"/>
    <w:rsid w:val="00F035D4"/>
    <w:rsid w:val="00F03EAB"/>
    <w:rsid w:val="00F04055"/>
    <w:rsid w:val="00F04733"/>
    <w:rsid w:val="00F04918"/>
    <w:rsid w:val="00F04D66"/>
    <w:rsid w:val="00F04E2C"/>
    <w:rsid w:val="00F04ED3"/>
    <w:rsid w:val="00F069A3"/>
    <w:rsid w:val="00F0703B"/>
    <w:rsid w:val="00F07D75"/>
    <w:rsid w:val="00F10104"/>
    <w:rsid w:val="00F104AB"/>
    <w:rsid w:val="00F107AB"/>
    <w:rsid w:val="00F10838"/>
    <w:rsid w:val="00F10E37"/>
    <w:rsid w:val="00F117AB"/>
    <w:rsid w:val="00F117BA"/>
    <w:rsid w:val="00F122BD"/>
    <w:rsid w:val="00F127A3"/>
    <w:rsid w:val="00F1299D"/>
    <w:rsid w:val="00F12F1C"/>
    <w:rsid w:val="00F13E60"/>
    <w:rsid w:val="00F147A9"/>
    <w:rsid w:val="00F14A30"/>
    <w:rsid w:val="00F14C5F"/>
    <w:rsid w:val="00F14EF1"/>
    <w:rsid w:val="00F14FB4"/>
    <w:rsid w:val="00F151DD"/>
    <w:rsid w:val="00F16F49"/>
    <w:rsid w:val="00F17BEE"/>
    <w:rsid w:val="00F17C1A"/>
    <w:rsid w:val="00F17CA3"/>
    <w:rsid w:val="00F20C30"/>
    <w:rsid w:val="00F20C80"/>
    <w:rsid w:val="00F21862"/>
    <w:rsid w:val="00F22477"/>
    <w:rsid w:val="00F22A44"/>
    <w:rsid w:val="00F235A9"/>
    <w:rsid w:val="00F23C36"/>
    <w:rsid w:val="00F2405C"/>
    <w:rsid w:val="00F241AD"/>
    <w:rsid w:val="00F24B91"/>
    <w:rsid w:val="00F24BC8"/>
    <w:rsid w:val="00F24DC0"/>
    <w:rsid w:val="00F258D3"/>
    <w:rsid w:val="00F25BB2"/>
    <w:rsid w:val="00F26022"/>
    <w:rsid w:val="00F261D1"/>
    <w:rsid w:val="00F26432"/>
    <w:rsid w:val="00F26B32"/>
    <w:rsid w:val="00F26C51"/>
    <w:rsid w:val="00F27800"/>
    <w:rsid w:val="00F27970"/>
    <w:rsid w:val="00F27C14"/>
    <w:rsid w:val="00F30058"/>
    <w:rsid w:val="00F30777"/>
    <w:rsid w:val="00F3111A"/>
    <w:rsid w:val="00F3140E"/>
    <w:rsid w:val="00F3191E"/>
    <w:rsid w:val="00F31925"/>
    <w:rsid w:val="00F325E2"/>
    <w:rsid w:val="00F32E30"/>
    <w:rsid w:val="00F32F06"/>
    <w:rsid w:val="00F333CA"/>
    <w:rsid w:val="00F33CA5"/>
    <w:rsid w:val="00F33FD7"/>
    <w:rsid w:val="00F3403A"/>
    <w:rsid w:val="00F3432C"/>
    <w:rsid w:val="00F34CA8"/>
    <w:rsid w:val="00F34FBE"/>
    <w:rsid w:val="00F35BC3"/>
    <w:rsid w:val="00F375F1"/>
    <w:rsid w:val="00F37AED"/>
    <w:rsid w:val="00F37C4D"/>
    <w:rsid w:val="00F415D6"/>
    <w:rsid w:val="00F41787"/>
    <w:rsid w:val="00F41AE3"/>
    <w:rsid w:val="00F41BBF"/>
    <w:rsid w:val="00F426BF"/>
    <w:rsid w:val="00F4283F"/>
    <w:rsid w:val="00F428F5"/>
    <w:rsid w:val="00F42B18"/>
    <w:rsid w:val="00F437D0"/>
    <w:rsid w:val="00F43A13"/>
    <w:rsid w:val="00F43AF8"/>
    <w:rsid w:val="00F44639"/>
    <w:rsid w:val="00F44A2D"/>
    <w:rsid w:val="00F45517"/>
    <w:rsid w:val="00F45A7C"/>
    <w:rsid w:val="00F45B34"/>
    <w:rsid w:val="00F45CEE"/>
    <w:rsid w:val="00F45F7B"/>
    <w:rsid w:val="00F4696F"/>
    <w:rsid w:val="00F47613"/>
    <w:rsid w:val="00F501B3"/>
    <w:rsid w:val="00F5021C"/>
    <w:rsid w:val="00F505D2"/>
    <w:rsid w:val="00F523E8"/>
    <w:rsid w:val="00F52A2A"/>
    <w:rsid w:val="00F53422"/>
    <w:rsid w:val="00F53B0F"/>
    <w:rsid w:val="00F53CCA"/>
    <w:rsid w:val="00F54068"/>
    <w:rsid w:val="00F54414"/>
    <w:rsid w:val="00F54B60"/>
    <w:rsid w:val="00F55062"/>
    <w:rsid w:val="00F55C3B"/>
    <w:rsid w:val="00F55D3F"/>
    <w:rsid w:val="00F56A69"/>
    <w:rsid w:val="00F57693"/>
    <w:rsid w:val="00F61283"/>
    <w:rsid w:val="00F61316"/>
    <w:rsid w:val="00F617A4"/>
    <w:rsid w:val="00F619F7"/>
    <w:rsid w:val="00F61E17"/>
    <w:rsid w:val="00F6292F"/>
    <w:rsid w:val="00F6314A"/>
    <w:rsid w:val="00F63613"/>
    <w:rsid w:val="00F63E9A"/>
    <w:rsid w:val="00F64B16"/>
    <w:rsid w:val="00F64C95"/>
    <w:rsid w:val="00F6501C"/>
    <w:rsid w:val="00F67265"/>
    <w:rsid w:val="00F708D0"/>
    <w:rsid w:val="00F71117"/>
    <w:rsid w:val="00F71345"/>
    <w:rsid w:val="00F71761"/>
    <w:rsid w:val="00F73209"/>
    <w:rsid w:val="00F744BE"/>
    <w:rsid w:val="00F7472D"/>
    <w:rsid w:val="00F74CB0"/>
    <w:rsid w:val="00F75553"/>
    <w:rsid w:val="00F75813"/>
    <w:rsid w:val="00F75D0A"/>
    <w:rsid w:val="00F7643A"/>
    <w:rsid w:val="00F76CD6"/>
    <w:rsid w:val="00F77031"/>
    <w:rsid w:val="00F7758E"/>
    <w:rsid w:val="00F7783E"/>
    <w:rsid w:val="00F802CF"/>
    <w:rsid w:val="00F8048F"/>
    <w:rsid w:val="00F805AC"/>
    <w:rsid w:val="00F8134B"/>
    <w:rsid w:val="00F81B1B"/>
    <w:rsid w:val="00F81B33"/>
    <w:rsid w:val="00F81B59"/>
    <w:rsid w:val="00F82D9D"/>
    <w:rsid w:val="00F832FC"/>
    <w:rsid w:val="00F83350"/>
    <w:rsid w:val="00F8357A"/>
    <w:rsid w:val="00F8386B"/>
    <w:rsid w:val="00F8397B"/>
    <w:rsid w:val="00F83D75"/>
    <w:rsid w:val="00F8591A"/>
    <w:rsid w:val="00F86387"/>
    <w:rsid w:val="00F8652A"/>
    <w:rsid w:val="00F86E93"/>
    <w:rsid w:val="00F878A0"/>
    <w:rsid w:val="00F878B3"/>
    <w:rsid w:val="00F87F1B"/>
    <w:rsid w:val="00F9015E"/>
    <w:rsid w:val="00F91BCF"/>
    <w:rsid w:val="00F92DAD"/>
    <w:rsid w:val="00F92FD3"/>
    <w:rsid w:val="00F9398C"/>
    <w:rsid w:val="00F93B34"/>
    <w:rsid w:val="00F93FA4"/>
    <w:rsid w:val="00F944AC"/>
    <w:rsid w:val="00F9450C"/>
    <w:rsid w:val="00F95FDD"/>
    <w:rsid w:val="00F97028"/>
    <w:rsid w:val="00F97110"/>
    <w:rsid w:val="00F97398"/>
    <w:rsid w:val="00F97541"/>
    <w:rsid w:val="00F97C5D"/>
    <w:rsid w:val="00FA003F"/>
    <w:rsid w:val="00FA0F76"/>
    <w:rsid w:val="00FA1621"/>
    <w:rsid w:val="00FA21B9"/>
    <w:rsid w:val="00FA2974"/>
    <w:rsid w:val="00FA30A8"/>
    <w:rsid w:val="00FA3C63"/>
    <w:rsid w:val="00FA48BA"/>
    <w:rsid w:val="00FA4E20"/>
    <w:rsid w:val="00FA4F1B"/>
    <w:rsid w:val="00FA50B4"/>
    <w:rsid w:val="00FA62BD"/>
    <w:rsid w:val="00FA63A4"/>
    <w:rsid w:val="00FA6651"/>
    <w:rsid w:val="00FA6707"/>
    <w:rsid w:val="00FA6FF0"/>
    <w:rsid w:val="00FA73E8"/>
    <w:rsid w:val="00FA7C98"/>
    <w:rsid w:val="00FA7E48"/>
    <w:rsid w:val="00FB020D"/>
    <w:rsid w:val="00FB0345"/>
    <w:rsid w:val="00FB03E7"/>
    <w:rsid w:val="00FB0898"/>
    <w:rsid w:val="00FB0B8D"/>
    <w:rsid w:val="00FB1634"/>
    <w:rsid w:val="00FB193F"/>
    <w:rsid w:val="00FB1E82"/>
    <w:rsid w:val="00FB2838"/>
    <w:rsid w:val="00FB2897"/>
    <w:rsid w:val="00FB2F08"/>
    <w:rsid w:val="00FB305E"/>
    <w:rsid w:val="00FB32BF"/>
    <w:rsid w:val="00FB4933"/>
    <w:rsid w:val="00FB4A77"/>
    <w:rsid w:val="00FB5AAC"/>
    <w:rsid w:val="00FB5C47"/>
    <w:rsid w:val="00FB6664"/>
    <w:rsid w:val="00FB6C64"/>
    <w:rsid w:val="00FB6FF5"/>
    <w:rsid w:val="00FB7057"/>
    <w:rsid w:val="00FB70E0"/>
    <w:rsid w:val="00FB73CA"/>
    <w:rsid w:val="00FB74A9"/>
    <w:rsid w:val="00FB7940"/>
    <w:rsid w:val="00FB79A3"/>
    <w:rsid w:val="00FC17BA"/>
    <w:rsid w:val="00FC276C"/>
    <w:rsid w:val="00FC29BE"/>
    <w:rsid w:val="00FC32BF"/>
    <w:rsid w:val="00FC3ABE"/>
    <w:rsid w:val="00FC4419"/>
    <w:rsid w:val="00FC45AB"/>
    <w:rsid w:val="00FC49F9"/>
    <w:rsid w:val="00FC5866"/>
    <w:rsid w:val="00FC5A80"/>
    <w:rsid w:val="00FC654F"/>
    <w:rsid w:val="00FC73D1"/>
    <w:rsid w:val="00FC7D3A"/>
    <w:rsid w:val="00FD05EC"/>
    <w:rsid w:val="00FD0C16"/>
    <w:rsid w:val="00FD2204"/>
    <w:rsid w:val="00FD2882"/>
    <w:rsid w:val="00FD3328"/>
    <w:rsid w:val="00FD39F7"/>
    <w:rsid w:val="00FD3A9A"/>
    <w:rsid w:val="00FD3BA4"/>
    <w:rsid w:val="00FD3D51"/>
    <w:rsid w:val="00FD3FA7"/>
    <w:rsid w:val="00FD4172"/>
    <w:rsid w:val="00FD5059"/>
    <w:rsid w:val="00FD5061"/>
    <w:rsid w:val="00FD5629"/>
    <w:rsid w:val="00FD5D5D"/>
    <w:rsid w:val="00FD5FED"/>
    <w:rsid w:val="00FD64DE"/>
    <w:rsid w:val="00FD6A15"/>
    <w:rsid w:val="00FD6D4F"/>
    <w:rsid w:val="00FD6E97"/>
    <w:rsid w:val="00FD70A8"/>
    <w:rsid w:val="00FD7120"/>
    <w:rsid w:val="00FD788B"/>
    <w:rsid w:val="00FD7979"/>
    <w:rsid w:val="00FD7D9A"/>
    <w:rsid w:val="00FE00D4"/>
    <w:rsid w:val="00FE06D3"/>
    <w:rsid w:val="00FE0FED"/>
    <w:rsid w:val="00FE108D"/>
    <w:rsid w:val="00FE1C54"/>
    <w:rsid w:val="00FE1D9B"/>
    <w:rsid w:val="00FE367C"/>
    <w:rsid w:val="00FE4ED1"/>
    <w:rsid w:val="00FE4F75"/>
    <w:rsid w:val="00FE61CE"/>
    <w:rsid w:val="00FE7206"/>
    <w:rsid w:val="00FE7527"/>
    <w:rsid w:val="00FE76FE"/>
    <w:rsid w:val="00FE7A16"/>
    <w:rsid w:val="00FE7A7A"/>
    <w:rsid w:val="00FF0D68"/>
    <w:rsid w:val="00FF11FF"/>
    <w:rsid w:val="00FF1BF9"/>
    <w:rsid w:val="00FF1C57"/>
    <w:rsid w:val="00FF2AAE"/>
    <w:rsid w:val="00FF321A"/>
    <w:rsid w:val="00FF33AD"/>
    <w:rsid w:val="00FF343B"/>
    <w:rsid w:val="00FF37E6"/>
    <w:rsid w:val="00FF3994"/>
    <w:rsid w:val="00FF3C31"/>
    <w:rsid w:val="00FF4141"/>
    <w:rsid w:val="00FF45D4"/>
    <w:rsid w:val="00FF492B"/>
    <w:rsid w:val="00FF4AF3"/>
    <w:rsid w:val="00FF50A5"/>
    <w:rsid w:val="00FF6231"/>
    <w:rsid w:val="00FF634A"/>
    <w:rsid w:val="00FF640C"/>
    <w:rsid w:val="00FF6903"/>
    <w:rsid w:val="00FF713A"/>
    <w:rsid w:val="01541B39"/>
    <w:rsid w:val="022F1802"/>
    <w:rsid w:val="023F0A87"/>
    <w:rsid w:val="02E57CDF"/>
    <w:rsid w:val="030E7E36"/>
    <w:rsid w:val="03E31491"/>
    <w:rsid w:val="041724B3"/>
    <w:rsid w:val="04684643"/>
    <w:rsid w:val="05880374"/>
    <w:rsid w:val="05B71FA9"/>
    <w:rsid w:val="05EC6528"/>
    <w:rsid w:val="06810789"/>
    <w:rsid w:val="0885365D"/>
    <w:rsid w:val="089003ED"/>
    <w:rsid w:val="0896717B"/>
    <w:rsid w:val="08EE0200"/>
    <w:rsid w:val="09000350"/>
    <w:rsid w:val="09274D51"/>
    <w:rsid w:val="09FD2EFE"/>
    <w:rsid w:val="0A4578BB"/>
    <w:rsid w:val="0A8A31AE"/>
    <w:rsid w:val="0AFA02DB"/>
    <w:rsid w:val="0B02541A"/>
    <w:rsid w:val="0B1D55F8"/>
    <w:rsid w:val="0BA006BB"/>
    <w:rsid w:val="0C020250"/>
    <w:rsid w:val="0C104B25"/>
    <w:rsid w:val="0C2F21A2"/>
    <w:rsid w:val="0D681925"/>
    <w:rsid w:val="0E47067F"/>
    <w:rsid w:val="0EF43EAD"/>
    <w:rsid w:val="0EFA6181"/>
    <w:rsid w:val="0F78444B"/>
    <w:rsid w:val="10FD1C16"/>
    <w:rsid w:val="115A1B44"/>
    <w:rsid w:val="11B26D50"/>
    <w:rsid w:val="11C76995"/>
    <w:rsid w:val="11CF1B13"/>
    <w:rsid w:val="11DB13CD"/>
    <w:rsid w:val="11FC5168"/>
    <w:rsid w:val="121F372A"/>
    <w:rsid w:val="12465803"/>
    <w:rsid w:val="127128F3"/>
    <w:rsid w:val="129151CC"/>
    <w:rsid w:val="131C2708"/>
    <w:rsid w:val="132A2F49"/>
    <w:rsid w:val="135168FB"/>
    <w:rsid w:val="13925E00"/>
    <w:rsid w:val="13D701AD"/>
    <w:rsid w:val="15664AE6"/>
    <w:rsid w:val="17894A4B"/>
    <w:rsid w:val="17B758B7"/>
    <w:rsid w:val="19611E4C"/>
    <w:rsid w:val="19B260C7"/>
    <w:rsid w:val="1A6C6FD6"/>
    <w:rsid w:val="1A6F7871"/>
    <w:rsid w:val="1A967EBE"/>
    <w:rsid w:val="1AC00251"/>
    <w:rsid w:val="1B226257"/>
    <w:rsid w:val="1B9B61B6"/>
    <w:rsid w:val="1C9F0025"/>
    <w:rsid w:val="1CA373A1"/>
    <w:rsid w:val="1CCB1018"/>
    <w:rsid w:val="1D795F19"/>
    <w:rsid w:val="1E0B5D9D"/>
    <w:rsid w:val="1E272254"/>
    <w:rsid w:val="1E6A4C4C"/>
    <w:rsid w:val="1E7601ED"/>
    <w:rsid w:val="1E933D00"/>
    <w:rsid w:val="1EAD618A"/>
    <w:rsid w:val="1ECB1A04"/>
    <w:rsid w:val="1EE203E4"/>
    <w:rsid w:val="1EFB31D4"/>
    <w:rsid w:val="1F950F0E"/>
    <w:rsid w:val="1FE168F0"/>
    <w:rsid w:val="20007812"/>
    <w:rsid w:val="200B5929"/>
    <w:rsid w:val="20722C6F"/>
    <w:rsid w:val="20B1688F"/>
    <w:rsid w:val="21A10EA0"/>
    <w:rsid w:val="2380103B"/>
    <w:rsid w:val="23E74394"/>
    <w:rsid w:val="24635DDC"/>
    <w:rsid w:val="24F92191"/>
    <w:rsid w:val="25DC0DBB"/>
    <w:rsid w:val="260158AC"/>
    <w:rsid w:val="285A547F"/>
    <w:rsid w:val="28943332"/>
    <w:rsid w:val="294452A7"/>
    <w:rsid w:val="29515891"/>
    <w:rsid w:val="29DB3E72"/>
    <w:rsid w:val="2B8D686A"/>
    <w:rsid w:val="2BDE442F"/>
    <w:rsid w:val="2C1F62D1"/>
    <w:rsid w:val="2C716146"/>
    <w:rsid w:val="2D973E05"/>
    <w:rsid w:val="2D9D1FA4"/>
    <w:rsid w:val="2E274250"/>
    <w:rsid w:val="2E9E5C3F"/>
    <w:rsid w:val="2F0A66A0"/>
    <w:rsid w:val="2F9439A3"/>
    <w:rsid w:val="2FA46328"/>
    <w:rsid w:val="2FE31B3C"/>
    <w:rsid w:val="30A027B7"/>
    <w:rsid w:val="30E77A5A"/>
    <w:rsid w:val="31C837D6"/>
    <w:rsid w:val="31E74D13"/>
    <w:rsid w:val="32074A52"/>
    <w:rsid w:val="326C2B28"/>
    <w:rsid w:val="32925978"/>
    <w:rsid w:val="33565BA8"/>
    <w:rsid w:val="33CC438B"/>
    <w:rsid w:val="34652711"/>
    <w:rsid w:val="34AB0137"/>
    <w:rsid w:val="34BF51F2"/>
    <w:rsid w:val="34F20DB5"/>
    <w:rsid w:val="34F43BD5"/>
    <w:rsid w:val="353C34D4"/>
    <w:rsid w:val="35832941"/>
    <w:rsid w:val="35A37AA1"/>
    <w:rsid w:val="35B67ECC"/>
    <w:rsid w:val="36EF1119"/>
    <w:rsid w:val="37483A71"/>
    <w:rsid w:val="374B5143"/>
    <w:rsid w:val="378F1FAB"/>
    <w:rsid w:val="37AF1B7F"/>
    <w:rsid w:val="37D1536C"/>
    <w:rsid w:val="3843545B"/>
    <w:rsid w:val="38511477"/>
    <w:rsid w:val="38F411A7"/>
    <w:rsid w:val="38F44D1F"/>
    <w:rsid w:val="390D1B52"/>
    <w:rsid w:val="398026A8"/>
    <w:rsid w:val="399A3BF6"/>
    <w:rsid w:val="3A466A7B"/>
    <w:rsid w:val="3C0D6158"/>
    <w:rsid w:val="3C245E26"/>
    <w:rsid w:val="3C364BD2"/>
    <w:rsid w:val="3C65032A"/>
    <w:rsid w:val="3C826FD0"/>
    <w:rsid w:val="3CF641AF"/>
    <w:rsid w:val="3D615D36"/>
    <w:rsid w:val="3DAF312A"/>
    <w:rsid w:val="3E0B0D27"/>
    <w:rsid w:val="3E546BCB"/>
    <w:rsid w:val="3EF45A03"/>
    <w:rsid w:val="3F6A64F7"/>
    <w:rsid w:val="3FDF2EC6"/>
    <w:rsid w:val="3FF12E5A"/>
    <w:rsid w:val="40150F02"/>
    <w:rsid w:val="40357B2D"/>
    <w:rsid w:val="42CE24B3"/>
    <w:rsid w:val="42D00689"/>
    <w:rsid w:val="42E44F0D"/>
    <w:rsid w:val="42F01EAE"/>
    <w:rsid w:val="43726059"/>
    <w:rsid w:val="444927D9"/>
    <w:rsid w:val="451E2121"/>
    <w:rsid w:val="45804154"/>
    <w:rsid w:val="45BE2514"/>
    <w:rsid w:val="45C443A8"/>
    <w:rsid w:val="45EA505A"/>
    <w:rsid w:val="45EB1610"/>
    <w:rsid w:val="46D912C6"/>
    <w:rsid w:val="47051A26"/>
    <w:rsid w:val="47416F87"/>
    <w:rsid w:val="48384A85"/>
    <w:rsid w:val="48405583"/>
    <w:rsid w:val="48697596"/>
    <w:rsid w:val="48874BF8"/>
    <w:rsid w:val="48895527"/>
    <w:rsid w:val="48C744F9"/>
    <w:rsid w:val="48D433F2"/>
    <w:rsid w:val="49CD27A1"/>
    <w:rsid w:val="4AAA6714"/>
    <w:rsid w:val="4B1C1A05"/>
    <w:rsid w:val="4BAF01C1"/>
    <w:rsid w:val="4C4B5B52"/>
    <w:rsid w:val="4CFD3127"/>
    <w:rsid w:val="4DAD7806"/>
    <w:rsid w:val="4DC024C7"/>
    <w:rsid w:val="4E3B53D7"/>
    <w:rsid w:val="4EA653EF"/>
    <w:rsid w:val="4F6D483F"/>
    <w:rsid w:val="4FD70744"/>
    <w:rsid w:val="5033596E"/>
    <w:rsid w:val="50A83C61"/>
    <w:rsid w:val="52367BE2"/>
    <w:rsid w:val="52D51CAA"/>
    <w:rsid w:val="52DB4C79"/>
    <w:rsid w:val="53275046"/>
    <w:rsid w:val="53A26E5C"/>
    <w:rsid w:val="53AD68E8"/>
    <w:rsid w:val="53F77309"/>
    <w:rsid w:val="54996485"/>
    <w:rsid w:val="54A54516"/>
    <w:rsid w:val="54C3157B"/>
    <w:rsid w:val="559864EE"/>
    <w:rsid w:val="56F80CD6"/>
    <w:rsid w:val="57411DFB"/>
    <w:rsid w:val="57455A7D"/>
    <w:rsid w:val="57C329A3"/>
    <w:rsid w:val="585A31BC"/>
    <w:rsid w:val="5905549B"/>
    <w:rsid w:val="59194514"/>
    <w:rsid w:val="59E407B8"/>
    <w:rsid w:val="59F14826"/>
    <w:rsid w:val="59F63BFA"/>
    <w:rsid w:val="5A800F63"/>
    <w:rsid w:val="5A965D8E"/>
    <w:rsid w:val="5B4C509D"/>
    <w:rsid w:val="5B71137E"/>
    <w:rsid w:val="5B98317F"/>
    <w:rsid w:val="5C3312A0"/>
    <w:rsid w:val="5C732C8F"/>
    <w:rsid w:val="5C8C4D38"/>
    <w:rsid w:val="5C956715"/>
    <w:rsid w:val="5CFF1E3E"/>
    <w:rsid w:val="5D417BA8"/>
    <w:rsid w:val="5D46469E"/>
    <w:rsid w:val="5D9A000B"/>
    <w:rsid w:val="5DF27430"/>
    <w:rsid w:val="5EB7151D"/>
    <w:rsid w:val="5EBF4FF9"/>
    <w:rsid w:val="5EDF03CE"/>
    <w:rsid w:val="5F5C109D"/>
    <w:rsid w:val="60015D41"/>
    <w:rsid w:val="60207A3E"/>
    <w:rsid w:val="60937992"/>
    <w:rsid w:val="60EA4B93"/>
    <w:rsid w:val="614A0FF7"/>
    <w:rsid w:val="617C5500"/>
    <w:rsid w:val="61B769E1"/>
    <w:rsid w:val="622E2AF5"/>
    <w:rsid w:val="624C1640"/>
    <w:rsid w:val="62563156"/>
    <w:rsid w:val="625D3935"/>
    <w:rsid w:val="631D1EC8"/>
    <w:rsid w:val="63786307"/>
    <w:rsid w:val="63A81D02"/>
    <w:rsid w:val="63E762F9"/>
    <w:rsid w:val="63F42180"/>
    <w:rsid w:val="64303CEE"/>
    <w:rsid w:val="645440C9"/>
    <w:rsid w:val="64821EDA"/>
    <w:rsid w:val="65004FA3"/>
    <w:rsid w:val="65ED5B8B"/>
    <w:rsid w:val="669E2A8C"/>
    <w:rsid w:val="66FA57E0"/>
    <w:rsid w:val="67E57164"/>
    <w:rsid w:val="683A0216"/>
    <w:rsid w:val="68C24AB1"/>
    <w:rsid w:val="68DA14FC"/>
    <w:rsid w:val="69017C28"/>
    <w:rsid w:val="69802A62"/>
    <w:rsid w:val="6A3D083B"/>
    <w:rsid w:val="6A522375"/>
    <w:rsid w:val="6B00180F"/>
    <w:rsid w:val="6B185942"/>
    <w:rsid w:val="6BD93D17"/>
    <w:rsid w:val="6C914C22"/>
    <w:rsid w:val="6CC748C8"/>
    <w:rsid w:val="6D233E90"/>
    <w:rsid w:val="6DC62555"/>
    <w:rsid w:val="6F974B7A"/>
    <w:rsid w:val="6FA23DA0"/>
    <w:rsid w:val="6FB01F28"/>
    <w:rsid w:val="70101E48"/>
    <w:rsid w:val="7045415F"/>
    <w:rsid w:val="705E4F82"/>
    <w:rsid w:val="709A3647"/>
    <w:rsid w:val="719B0144"/>
    <w:rsid w:val="72355744"/>
    <w:rsid w:val="72365637"/>
    <w:rsid w:val="72AC21C8"/>
    <w:rsid w:val="72CD18EA"/>
    <w:rsid w:val="737C0AB1"/>
    <w:rsid w:val="73830FF7"/>
    <w:rsid w:val="73A83704"/>
    <w:rsid w:val="73E77BBD"/>
    <w:rsid w:val="744032D9"/>
    <w:rsid w:val="7518006F"/>
    <w:rsid w:val="752844B3"/>
    <w:rsid w:val="752B003D"/>
    <w:rsid w:val="753B1B7C"/>
    <w:rsid w:val="76CC49BA"/>
    <w:rsid w:val="776C7E88"/>
    <w:rsid w:val="77870DF7"/>
    <w:rsid w:val="77DC2F9F"/>
    <w:rsid w:val="785632FC"/>
    <w:rsid w:val="788E3BC0"/>
    <w:rsid w:val="78D43D28"/>
    <w:rsid w:val="78E5728C"/>
    <w:rsid w:val="79342C66"/>
    <w:rsid w:val="7A0A691E"/>
    <w:rsid w:val="7AC66867"/>
    <w:rsid w:val="7B0E3828"/>
    <w:rsid w:val="7B3D4DDC"/>
    <w:rsid w:val="7C633120"/>
    <w:rsid w:val="7CA153A0"/>
    <w:rsid w:val="7CA366C4"/>
    <w:rsid w:val="7CC301CC"/>
    <w:rsid w:val="7D5443D3"/>
    <w:rsid w:val="7D885FD8"/>
    <w:rsid w:val="7DAD77FA"/>
    <w:rsid w:val="7DF16E2A"/>
    <w:rsid w:val="7E283C9C"/>
    <w:rsid w:val="7E4761DE"/>
    <w:rsid w:val="7E600C3C"/>
    <w:rsid w:val="7F2A644F"/>
    <w:rsid w:val="7F697AE7"/>
    <w:rsid w:val="7F933140"/>
    <w:rsid w:val="7FAB5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宋体" w:eastAsia="宋体" w:cs="Times New Roman"/>
      <w:sz w:val="24"/>
      <w:lang w:val="en-US" w:eastAsia="zh-CN" w:bidi="ar-SA"/>
    </w:rPr>
  </w:style>
  <w:style w:type="paragraph" w:styleId="2">
    <w:name w:val="heading 1"/>
    <w:basedOn w:val="1"/>
    <w:next w:val="1"/>
    <w:link w:val="4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9"/>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56"/>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autoRedefine/>
    <w:unhideWhenUsed/>
    <w:qFormat/>
    <w:uiPriority w:val="9"/>
    <w:pPr>
      <w:keepNext/>
      <w:keepLines/>
      <w:spacing w:line="372" w:lineRule="auto"/>
      <w:outlineLvl w:val="3"/>
    </w:pPr>
    <w:rPr>
      <w:rFonts w:ascii="Arial" w:hAnsi="Arial" w:eastAsia="黑体"/>
      <w:b/>
      <w:sz w:val="28"/>
    </w:rPr>
  </w:style>
  <w:style w:type="paragraph" w:styleId="6">
    <w:name w:val="heading 5"/>
    <w:basedOn w:val="1"/>
    <w:next w:val="1"/>
    <w:link w:val="62"/>
    <w:autoRedefine/>
    <w:unhideWhenUsed/>
    <w:qFormat/>
    <w:uiPriority w:val="9"/>
    <w:pPr>
      <w:keepNext/>
      <w:keepLines/>
      <w:spacing w:before="280" w:after="290" w:line="376" w:lineRule="auto"/>
      <w:outlineLvl w:val="4"/>
    </w:pPr>
    <w:rPr>
      <w:b/>
      <w:bCs/>
      <w:sz w:val="28"/>
      <w:szCs w:val="28"/>
    </w:rPr>
  </w:style>
  <w:style w:type="character" w:default="1" w:styleId="31">
    <w:name w:val="Default Paragraph Font"/>
    <w:autoRedefine/>
    <w:semiHidden/>
    <w:unhideWhenUsed/>
    <w:qFormat/>
    <w:uiPriority w:val="1"/>
  </w:style>
  <w:style w:type="table" w:default="1" w:styleId="29">
    <w:name w:val="Normal Table"/>
    <w:autoRedefine/>
    <w:semiHidden/>
    <w:unhideWhenUsed/>
    <w:qFormat/>
    <w:uiPriority w:val="99"/>
    <w:tblPr>
      <w:tblCellMar>
        <w:top w:w="0" w:type="dxa"/>
        <w:left w:w="108" w:type="dxa"/>
        <w:bottom w:w="0" w:type="dxa"/>
        <w:right w:w="108" w:type="dxa"/>
      </w:tblCellMar>
    </w:tblPr>
  </w:style>
  <w:style w:type="paragraph" w:styleId="7">
    <w:name w:val="toc 7"/>
    <w:basedOn w:val="1"/>
    <w:next w:val="1"/>
    <w:autoRedefine/>
    <w:unhideWhenUsed/>
    <w:qFormat/>
    <w:uiPriority w:val="39"/>
    <w:pPr>
      <w:ind w:left="1260"/>
      <w:jc w:val="left"/>
    </w:pPr>
    <w:rPr>
      <w:sz w:val="18"/>
      <w:szCs w:val="18"/>
    </w:rPr>
  </w:style>
  <w:style w:type="paragraph" w:styleId="8">
    <w:name w:val="Normal Indent"/>
    <w:basedOn w:val="1"/>
    <w:autoRedefine/>
    <w:qFormat/>
    <w:uiPriority w:val="0"/>
    <w:pPr>
      <w:spacing w:line="360" w:lineRule="auto"/>
      <w:ind w:firstLine="420"/>
    </w:pPr>
  </w:style>
  <w:style w:type="paragraph" w:styleId="9">
    <w:name w:val="Document Map"/>
    <w:basedOn w:val="1"/>
    <w:link w:val="51"/>
    <w:autoRedefine/>
    <w:semiHidden/>
    <w:unhideWhenUsed/>
    <w:qFormat/>
    <w:uiPriority w:val="99"/>
    <w:rPr>
      <w:sz w:val="18"/>
      <w:szCs w:val="18"/>
    </w:rPr>
  </w:style>
  <w:style w:type="paragraph" w:styleId="10">
    <w:name w:val="annotation text"/>
    <w:basedOn w:val="1"/>
    <w:link w:val="42"/>
    <w:autoRedefine/>
    <w:unhideWhenUsed/>
    <w:qFormat/>
    <w:uiPriority w:val="99"/>
    <w:pPr>
      <w:jc w:val="left"/>
    </w:pPr>
  </w:style>
  <w:style w:type="paragraph" w:styleId="11">
    <w:name w:val="Body Text"/>
    <w:basedOn w:val="1"/>
    <w:next w:val="1"/>
    <w:link w:val="59"/>
    <w:autoRedefine/>
    <w:qFormat/>
    <w:uiPriority w:val="99"/>
    <w:pPr>
      <w:spacing w:line="420" w:lineRule="auto"/>
    </w:pPr>
  </w:style>
  <w:style w:type="paragraph" w:styleId="12">
    <w:name w:val="toc 5"/>
    <w:basedOn w:val="1"/>
    <w:next w:val="1"/>
    <w:autoRedefine/>
    <w:unhideWhenUsed/>
    <w:qFormat/>
    <w:uiPriority w:val="39"/>
    <w:pPr>
      <w:ind w:left="840"/>
      <w:jc w:val="left"/>
    </w:pPr>
    <w:rPr>
      <w:sz w:val="18"/>
      <w:szCs w:val="18"/>
    </w:rPr>
  </w:style>
  <w:style w:type="paragraph" w:styleId="13">
    <w:name w:val="toc 3"/>
    <w:basedOn w:val="1"/>
    <w:next w:val="4"/>
    <w:autoRedefine/>
    <w:unhideWhenUsed/>
    <w:qFormat/>
    <w:uiPriority w:val="39"/>
    <w:pPr>
      <w:ind w:left="420"/>
      <w:jc w:val="left"/>
    </w:pPr>
    <w:rPr>
      <w:i/>
      <w:iCs/>
      <w:sz w:val="20"/>
    </w:rPr>
  </w:style>
  <w:style w:type="paragraph" w:styleId="14">
    <w:name w:val="Plain Text"/>
    <w:basedOn w:val="1"/>
    <w:link w:val="48"/>
    <w:autoRedefine/>
    <w:semiHidden/>
    <w:unhideWhenUsed/>
    <w:qFormat/>
    <w:uiPriority w:val="99"/>
    <w:rPr>
      <w:rFonts w:hAnsi="Courier New" w:cs="Courier New"/>
      <w:szCs w:val="21"/>
    </w:rPr>
  </w:style>
  <w:style w:type="paragraph" w:styleId="15">
    <w:name w:val="toc 8"/>
    <w:basedOn w:val="1"/>
    <w:next w:val="1"/>
    <w:autoRedefine/>
    <w:unhideWhenUsed/>
    <w:qFormat/>
    <w:uiPriority w:val="39"/>
    <w:pPr>
      <w:ind w:left="1470"/>
      <w:jc w:val="left"/>
    </w:pPr>
    <w:rPr>
      <w:sz w:val="18"/>
      <w:szCs w:val="18"/>
    </w:rPr>
  </w:style>
  <w:style w:type="paragraph" w:styleId="16">
    <w:name w:val="Date"/>
    <w:basedOn w:val="1"/>
    <w:next w:val="1"/>
    <w:link w:val="46"/>
    <w:autoRedefine/>
    <w:semiHidden/>
    <w:unhideWhenUsed/>
    <w:qFormat/>
    <w:uiPriority w:val="99"/>
    <w:pPr>
      <w:ind w:left="100" w:leftChars="2500"/>
    </w:pPr>
  </w:style>
  <w:style w:type="paragraph" w:styleId="17">
    <w:name w:val="Balloon Text"/>
    <w:basedOn w:val="1"/>
    <w:link w:val="41"/>
    <w:autoRedefine/>
    <w:semiHidden/>
    <w:unhideWhenUsed/>
    <w:qFormat/>
    <w:uiPriority w:val="99"/>
    <w:rPr>
      <w:sz w:val="18"/>
      <w:szCs w:val="18"/>
    </w:rPr>
  </w:style>
  <w:style w:type="paragraph" w:styleId="18">
    <w:name w:val="footer"/>
    <w:basedOn w:val="1"/>
    <w:link w:val="37"/>
    <w:autoRedefine/>
    <w:unhideWhenUsed/>
    <w:qFormat/>
    <w:uiPriority w:val="99"/>
    <w:pPr>
      <w:tabs>
        <w:tab w:val="center" w:pos="4153"/>
        <w:tab w:val="right" w:pos="8306"/>
      </w:tabs>
      <w:snapToGrid w:val="0"/>
      <w:jc w:val="left"/>
    </w:pPr>
    <w:rPr>
      <w:sz w:val="18"/>
      <w:szCs w:val="18"/>
    </w:rPr>
  </w:style>
  <w:style w:type="paragraph" w:styleId="19">
    <w:name w:val="header"/>
    <w:basedOn w:val="1"/>
    <w:link w:val="3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21"/>
    <w:next w:val="2"/>
    <w:autoRedefine/>
    <w:unhideWhenUsed/>
    <w:qFormat/>
    <w:uiPriority w:val="39"/>
    <w:pPr>
      <w:spacing w:before="120" w:after="120"/>
      <w:jc w:val="left"/>
    </w:pPr>
    <w:rPr>
      <w:b/>
      <w:bCs/>
      <w:i w:val="0"/>
      <w:iCs w:val="0"/>
      <w:caps/>
      <w:color w:val="auto"/>
    </w:rPr>
  </w:style>
  <w:style w:type="paragraph" w:styleId="21">
    <w:name w:val="Quote"/>
    <w:basedOn w:val="1"/>
    <w:next w:val="1"/>
    <w:link w:val="38"/>
    <w:autoRedefine/>
    <w:qFormat/>
    <w:uiPriority w:val="29"/>
    <w:rPr>
      <w:i/>
      <w:iCs/>
      <w:color w:val="000000" w:themeColor="text1"/>
      <w14:textFill>
        <w14:solidFill>
          <w14:schemeClr w14:val="tx1"/>
        </w14:solidFill>
      </w14:textFill>
    </w:rPr>
  </w:style>
  <w:style w:type="paragraph" w:styleId="22">
    <w:name w:val="toc 4"/>
    <w:basedOn w:val="1"/>
    <w:next w:val="5"/>
    <w:autoRedefine/>
    <w:unhideWhenUsed/>
    <w:qFormat/>
    <w:uiPriority w:val="39"/>
    <w:pPr>
      <w:ind w:left="630"/>
      <w:jc w:val="left"/>
    </w:pPr>
    <w:rPr>
      <w:sz w:val="18"/>
      <w:szCs w:val="18"/>
    </w:rPr>
  </w:style>
  <w:style w:type="paragraph" w:styleId="23">
    <w:name w:val="footnote text"/>
    <w:basedOn w:val="1"/>
    <w:autoRedefine/>
    <w:semiHidden/>
    <w:qFormat/>
    <w:uiPriority w:val="0"/>
    <w:pPr>
      <w:snapToGrid w:val="0"/>
      <w:jc w:val="left"/>
    </w:pPr>
    <w:rPr>
      <w:sz w:val="18"/>
      <w:szCs w:val="18"/>
    </w:rPr>
  </w:style>
  <w:style w:type="paragraph" w:styleId="24">
    <w:name w:val="toc 6"/>
    <w:basedOn w:val="1"/>
    <w:next w:val="1"/>
    <w:autoRedefine/>
    <w:unhideWhenUsed/>
    <w:qFormat/>
    <w:uiPriority w:val="39"/>
    <w:pPr>
      <w:ind w:left="1050"/>
      <w:jc w:val="left"/>
    </w:pPr>
    <w:rPr>
      <w:sz w:val="18"/>
      <w:szCs w:val="18"/>
    </w:rPr>
  </w:style>
  <w:style w:type="paragraph" w:styleId="25">
    <w:name w:val="toc 2"/>
    <w:basedOn w:val="21"/>
    <w:next w:val="3"/>
    <w:link w:val="60"/>
    <w:autoRedefine/>
    <w:unhideWhenUsed/>
    <w:qFormat/>
    <w:uiPriority w:val="39"/>
    <w:pPr>
      <w:topLinePunct/>
      <w:autoSpaceDN w:val="0"/>
      <w:adjustRightInd w:val="0"/>
      <w:snapToGrid w:val="0"/>
      <w:spacing w:before="40" w:after="40"/>
      <w:ind w:firstLine="200" w:firstLineChars="200"/>
      <w:jc w:val="left"/>
    </w:pPr>
    <w:rPr>
      <w:bCs/>
      <w:i w:val="0"/>
      <w:iCs w:val="0"/>
      <w:szCs w:val="32"/>
    </w:rPr>
  </w:style>
  <w:style w:type="paragraph" w:styleId="26">
    <w:name w:val="toc 9"/>
    <w:basedOn w:val="1"/>
    <w:next w:val="1"/>
    <w:autoRedefine/>
    <w:unhideWhenUsed/>
    <w:qFormat/>
    <w:uiPriority w:val="39"/>
    <w:pPr>
      <w:ind w:left="1680"/>
      <w:jc w:val="left"/>
    </w:pPr>
    <w:rPr>
      <w:sz w:val="18"/>
      <w:szCs w:val="18"/>
    </w:rPr>
  </w:style>
  <w:style w:type="paragraph" w:styleId="27">
    <w:name w:val="Normal (Web)"/>
    <w:basedOn w:val="1"/>
    <w:autoRedefine/>
    <w:unhideWhenUsed/>
    <w:qFormat/>
    <w:uiPriority w:val="99"/>
    <w:pPr>
      <w:widowControl/>
      <w:spacing w:before="100" w:beforeAutospacing="1" w:after="100" w:afterAutospacing="1"/>
      <w:jc w:val="left"/>
    </w:pPr>
    <w:rPr>
      <w:rFonts w:cs="宋体"/>
      <w:szCs w:val="24"/>
    </w:rPr>
  </w:style>
  <w:style w:type="paragraph" w:styleId="28">
    <w:name w:val="annotation subject"/>
    <w:basedOn w:val="10"/>
    <w:next w:val="10"/>
    <w:link w:val="45"/>
    <w:autoRedefine/>
    <w:semiHidden/>
    <w:unhideWhenUsed/>
    <w:qFormat/>
    <w:uiPriority w:val="99"/>
    <w:rPr>
      <w:b/>
      <w:bCs/>
    </w:rPr>
  </w:style>
  <w:style w:type="table" w:styleId="30">
    <w:name w:val="Table Grid"/>
    <w:basedOn w:val="2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FollowedHyperlink"/>
    <w:basedOn w:val="31"/>
    <w:autoRedefine/>
    <w:semiHidden/>
    <w:unhideWhenUsed/>
    <w:qFormat/>
    <w:uiPriority w:val="99"/>
    <w:rPr>
      <w:color w:val="800080" w:themeColor="followedHyperlink"/>
      <w:u w:val="single"/>
      <w14:textFill>
        <w14:solidFill>
          <w14:schemeClr w14:val="folHlink"/>
        </w14:solidFill>
      </w14:textFill>
    </w:rPr>
  </w:style>
  <w:style w:type="character" w:styleId="33">
    <w:name w:val="Emphasis"/>
    <w:basedOn w:val="31"/>
    <w:autoRedefine/>
    <w:qFormat/>
    <w:uiPriority w:val="20"/>
    <w:rPr>
      <w:i/>
      <w:iCs/>
    </w:rPr>
  </w:style>
  <w:style w:type="character" w:styleId="34">
    <w:name w:val="Hyperlink"/>
    <w:basedOn w:val="31"/>
    <w:autoRedefine/>
    <w:unhideWhenUsed/>
    <w:qFormat/>
    <w:uiPriority w:val="99"/>
    <w:rPr>
      <w:rFonts w:eastAsia="宋体"/>
      <w:color w:val="0000FF" w:themeColor="hyperlink"/>
      <w:u w:val="none"/>
      <w14:textFill>
        <w14:solidFill>
          <w14:schemeClr w14:val="hlink"/>
        </w14:solidFill>
      </w14:textFill>
    </w:rPr>
  </w:style>
  <w:style w:type="character" w:styleId="35">
    <w:name w:val="annotation reference"/>
    <w:autoRedefine/>
    <w:qFormat/>
    <w:uiPriority w:val="99"/>
    <w:rPr>
      <w:sz w:val="21"/>
    </w:rPr>
  </w:style>
  <w:style w:type="character" w:customStyle="1" w:styleId="36">
    <w:name w:val="页眉 Char"/>
    <w:basedOn w:val="31"/>
    <w:link w:val="19"/>
    <w:autoRedefine/>
    <w:qFormat/>
    <w:uiPriority w:val="99"/>
    <w:rPr>
      <w:sz w:val="18"/>
      <w:szCs w:val="18"/>
    </w:rPr>
  </w:style>
  <w:style w:type="character" w:customStyle="1" w:styleId="37">
    <w:name w:val="页脚 Char"/>
    <w:basedOn w:val="31"/>
    <w:link w:val="18"/>
    <w:autoRedefine/>
    <w:qFormat/>
    <w:uiPriority w:val="99"/>
    <w:rPr>
      <w:sz w:val="18"/>
      <w:szCs w:val="18"/>
    </w:rPr>
  </w:style>
  <w:style w:type="character" w:customStyle="1" w:styleId="38">
    <w:name w:val="引用 Char"/>
    <w:basedOn w:val="31"/>
    <w:link w:val="21"/>
    <w:autoRedefine/>
    <w:qFormat/>
    <w:uiPriority w:val="29"/>
    <w:rPr>
      <w:i/>
      <w:iCs/>
      <w:color w:val="000000" w:themeColor="text1"/>
      <w14:textFill>
        <w14:solidFill>
          <w14:schemeClr w14:val="tx1"/>
        </w14:solidFill>
      </w14:textFill>
    </w:rPr>
  </w:style>
  <w:style w:type="character" w:customStyle="1" w:styleId="39">
    <w:name w:val="标题 2 Char"/>
    <w:basedOn w:val="31"/>
    <w:link w:val="3"/>
    <w:autoRedefine/>
    <w:qFormat/>
    <w:uiPriority w:val="9"/>
    <w:rPr>
      <w:rFonts w:asciiTheme="majorHAnsi" w:hAnsiTheme="majorHAnsi" w:eastAsiaTheme="majorEastAsia" w:cstheme="majorBidi"/>
      <w:b/>
      <w:bCs/>
      <w:sz w:val="32"/>
      <w:szCs w:val="32"/>
    </w:rPr>
  </w:style>
  <w:style w:type="character" w:customStyle="1" w:styleId="40">
    <w:name w:val="标题 1 Char"/>
    <w:basedOn w:val="31"/>
    <w:link w:val="2"/>
    <w:autoRedefine/>
    <w:qFormat/>
    <w:uiPriority w:val="9"/>
    <w:rPr>
      <w:b/>
      <w:bCs/>
      <w:kern w:val="44"/>
      <w:sz w:val="44"/>
      <w:szCs w:val="44"/>
    </w:rPr>
  </w:style>
  <w:style w:type="character" w:customStyle="1" w:styleId="41">
    <w:name w:val="批注框文本 Char"/>
    <w:basedOn w:val="31"/>
    <w:link w:val="17"/>
    <w:autoRedefine/>
    <w:semiHidden/>
    <w:qFormat/>
    <w:uiPriority w:val="99"/>
    <w:rPr>
      <w:sz w:val="18"/>
      <w:szCs w:val="18"/>
    </w:rPr>
  </w:style>
  <w:style w:type="character" w:customStyle="1" w:styleId="42">
    <w:name w:val="批注文字 Char"/>
    <w:basedOn w:val="31"/>
    <w:link w:val="10"/>
    <w:autoRedefine/>
    <w:qFormat/>
    <w:uiPriority w:val="99"/>
  </w:style>
  <w:style w:type="paragraph" w:styleId="43">
    <w:name w:val="List Paragraph"/>
    <w:basedOn w:val="1"/>
    <w:link w:val="44"/>
    <w:autoRedefine/>
    <w:qFormat/>
    <w:uiPriority w:val="34"/>
    <w:pPr>
      <w:ind w:firstLine="420" w:firstLineChars="200"/>
    </w:pPr>
  </w:style>
  <w:style w:type="character" w:customStyle="1" w:styleId="44">
    <w:name w:val="列出段落 Char"/>
    <w:link w:val="43"/>
    <w:autoRedefine/>
    <w:qFormat/>
    <w:uiPriority w:val="34"/>
  </w:style>
  <w:style w:type="character" w:customStyle="1" w:styleId="45">
    <w:name w:val="批注主题 Char"/>
    <w:basedOn w:val="42"/>
    <w:link w:val="28"/>
    <w:autoRedefine/>
    <w:semiHidden/>
    <w:qFormat/>
    <w:uiPriority w:val="99"/>
    <w:rPr>
      <w:b/>
      <w:bCs/>
    </w:rPr>
  </w:style>
  <w:style w:type="character" w:customStyle="1" w:styleId="46">
    <w:name w:val="日期 Char"/>
    <w:basedOn w:val="31"/>
    <w:link w:val="16"/>
    <w:autoRedefine/>
    <w:semiHidden/>
    <w:qFormat/>
    <w:uiPriority w:val="99"/>
  </w:style>
  <w:style w:type="paragraph" w:customStyle="1" w:styleId="47">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48">
    <w:name w:val="纯文本 Char"/>
    <w:basedOn w:val="31"/>
    <w:link w:val="14"/>
    <w:autoRedefine/>
    <w:semiHidden/>
    <w:qFormat/>
    <w:uiPriority w:val="99"/>
    <w:rPr>
      <w:rFonts w:ascii="宋体" w:hAnsi="Courier New" w:eastAsia="宋体" w:cs="Courier New"/>
      <w:szCs w:val="21"/>
    </w:rPr>
  </w:style>
  <w:style w:type="character" w:customStyle="1" w:styleId="49">
    <w:name w:val="明显强调1"/>
    <w:basedOn w:val="31"/>
    <w:autoRedefine/>
    <w:qFormat/>
    <w:uiPriority w:val="21"/>
    <w:rPr>
      <w:b/>
      <w:bCs/>
      <w:i/>
      <w:iCs/>
      <w:color w:val="4F81BD" w:themeColor="accent1"/>
      <w14:textFill>
        <w14:solidFill>
          <w14:schemeClr w14:val="accent1"/>
        </w14:solidFill>
      </w14:textFill>
    </w:rPr>
  </w:style>
  <w:style w:type="character" w:customStyle="1" w:styleId="50">
    <w:name w:val="标题 4 Char"/>
    <w:link w:val="5"/>
    <w:autoRedefine/>
    <w:qFormat/>
    <w:uiPriority w:val="0"/>
    <w:rPr>
      <w:rFonts w:ascii="Arial" w:hAnsi="Arial" w:eastAsia="黑体"/>
      <w:b/>
      <w:sz w:val="28"/>
    </w:rPr>
  </w:style>
  <w:style w:type="character" w:customStyle="1" w:styleId="51">
    <w:name w:val="文档结构图 Char"/>
    <w:basedOn w:val="31"/>
    <w:link w:val="9"/>
    <w:autoRedefine/>
    <w:semiHidden/>
    <w:qFormat/>
    <w:uiPriority w:val="99"/>
    <w:rPr>
      <w:rFonts w:ascii="宋体" w:hAnsiTheme="minorHAnsi" w:cstheme="minorBidi"/>
      <w:kern w:val="2"/>
      <w:sz w:val="18"/>
      <w:szCs w:val="18"/>
    </w:rPr>
  </w:style>
  <w:style w:type="table" w:customStyle="1" w:styleId="52">
    <w:name w:val="网格型1"/>
    <w:basedOn w:val="29"/>
    <w:autoRedefine/>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
    <w:name w:val="网格型2"/>
    <w:basedOn w:val="29"/>
    <w:autoRedefine/>
    <w:qFormat/>
    <w:uiPriority w:val="59"/>
    <w:rPr>
      <w:rFonts w:eastAsiaTheme="minorEastAsia"/>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4">
    <w:name w:val="TOC 标题1"/>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55">
    <w:name w:val="书籍标题1"/>
    <w:basedOn w:val="31"/>
    <w:autoRedefine/>
    <w:qFormat/>
    <w:uiPriority w:val="33"/>
    <w:rPr>
      <w:b/>
      <w:bCs/>
      <w:smallCaps/>
      <w:spacing w:val="5"/>
    </w:rPr>
  </w:style>
  <w:style w:type="character" w:customStyle="1" w:styleId="56">
    <w:name w:val="标题 3 Char"/>
    <w:basedOn w:val="31"/>
    <w:link w:val="4"/>
    <w:autoRedefine/>
    <w:qFormat/>
    <w:uiPriority w:val="9"/>
    <w:rPr>
      <w:rFonts w:asciiTheme="minorHAnsi" w:hAnsiTheme="minorHAnsi" w:eastAsiaTheme="minorEastAsia" w:cstheme="minorBidi"/>
      <w:b/>
      <w:bCs/>
      <w:kern w:val="2"/>
      <w:sz w:val="32"/>
      <w:szCs w:val="32"/>
    </w:rPr>
  </w:style>
  <w:style w:type="character" w:customStyle="1" w:styleId="57">
    <w:name w:val="不明显强调1"/>
    <w:basedOn w:val="31"/>
    <w:autoRedefine/>
    <w:qFormat/>
    <w:uiPriority w:val="19"/>
    <w:rPr>
      <w:i/>
      <w:iCs/>
      <w:color w:val="808080" w:themeColor="text1" w:themeTint="80"/>
      <w14:textFill>
        <w14:solidFill>
          <w14:schemeClr w14:val="tx1">
            <w14:lumMod w14:val="50000"/>
            <w14:lumOff w14:val="50000"/>
          </w14:schemeClr>
        </w14:solidFill>
      </w14:textFill>
    </w:rPr>
  </w:style>
  <w:style w:type="paragraph" w:customStyle="1" w:styleId="58">
    <w:name w:val="样式1"/>
    <w:basedOn w:val="25"/>
    <w:link w:val="61"/>
    <w:autoRedefine/>
    <w:qFormat/>
    <w:uiPriority w:val="0"/>
  </w:style>
  <w:style w:type="character" w:customStyle="1" w:styleId="59">
    <w:name w:val="正文文本 Char"/>
    <w:basedOn w:val="31"/>
    <w:link w:val="11"/>
    <w:autoRedefine/>
    <w:qFormat/>
    <w:uiPriority w:val="99"/>
    <w:rPr>
      <w:rFonts w:asciiTheme="minorHAnsi" w:hAnsiTheme="minorHAnsi" w:eastAsiaTheme="minorEastAsia" w:cstheme="minorBidi"/>
      <w:kern w:val="2"/>
      <w:sz w:val="24"/>
      <w:szCs w:val="22"/>
    </w:rPr>
  </w:style>
  <w:style w:type="character" w:customStyle="1" w:styleId="60">
    <w:name w:val="目录 2 Char"/>
    <w:basedOn w:val="38"/>
    <w:link w:val="25"/>
    <w:autoRedefine/>
    <w:qFormat/>
    <w:uiPriority w:val="39"/>
    <w:rPr>
      <w:bCs/>
      <w:i w:val="0"/>
      <w:iCs w:val="0"/>
      <w:color w:val="000000" w:themeColor="text1"/>
      <w:szCs w:val="32"/>
      <w14:textFill>
        <w14:solidFill>
          <w14:schemeClr w14:val="tx1"/>
        </w14:solidFill>
      </w14:textFill>
    </w:rPr>
  </w:style>
  <w:style w:type="character" w:customStyle="1" w:styleId="61">
    <w:name w:val="样式1 Char"/>
    <w:basedOn w:val="60"/>
    <w:link w:val="58"/>
    <w:autoRedefine/>
    <w:qFormat/>
    <w:uiPriority w:val="0"/>
    <w:rPr>
      <w:rFonts w:ascii="黑体" w:hAnsi="黑体" w:eastAsiaTheme="minorEastAsia" w:cstheme="minorBidi"/>
      <w:color w:val="000000" w:themeColor="text1"/>
      <w:kern w:val="2"/>
      <w:sz w:val="24"/>
      <w:szCs w:val="22"/>
      <w:lang w:val="zh-CN"/>
      <w14:textFill>
        <w14:solidFill>
          <w14:schemeClr w14:val="tx1"/>
        </w14:solidFill>
      </w14:textFill>
    </w:rPr>
  </w:style>
  <w:style w:type="character" w:customStyle="1" w:styleId="62">
    <w:name w:val="标题 5 Char"/>
    <w:basedOn w:val="31"/>
    <w:link w:val="6"/>
    <w:autoRedefine/>
    <w:qFormat/>
    <w:uiPriority w:val="9"/>
    <w:rPr>
      <w:rFonts w:asciiTheme="minorHAnsi" w:hAnsiTheme="minorHAnsi" w:eastAsiaTheme="minorEastAsia" w:cstheme="minorBidi"/>
      <w:b/>
      <w:bCs/>
      <w:kern w:val="2"/>
      <w:sz w:val="28"/>
      <w:szCs w:val="28"/>
    </w:rPr>
  </w:style>
  <w:style w:type="paragraph" w:customStyle="1" w:styleId="63">
    <w:name w:val="样式 标题 3 + (中文) 黑体 小四 非加粗 段前: 7.8 磅 段后: 0 磅 行距: 固定值 20 磅"/>
    <w:basedOn w:val="4"/>
    <w:autoRedefine/>
    <w:qFormat/>
    <w:uiPriority w:val="0"/>
    <w:pPr>
      <w:spacing w:before="0" w:after="0" w:line="400" w:lineRule="exact"/>
    </w:pPr>
    <w:rPr>
      <w:rFonts w:ascii="Times New Roman" w:hAnsi="Times New Roman" w:eastAsia="黑体" w:cs="宋体"/>
      <w:b w:val="0"/>
      <w:bCs w:val="0"/>
      <w:sz w:val="24"/>
      <w:szCs w:val="20"/>
    </w:rPr>
  </w:style>
  <w:style w:type="paragraph" w:customStyle="1" w:styleId="64">
    <w:name w:val="Default"/>
    <w:link w:val="65"/>
    <w:autoRedefine/>
    <w:qFormat/>
    <w:uiPriority w:val="0"/>
    <w:pPr>
      <w:widowControl w:val="0"/>
      <w:autoSpaceDE w:val="0"/>
      <w:autoSpaceDN w:val="0"/>
      <w:adjustRightInd w:val="0"/>
    </w:pPr>
    <w:rPr>
      <w:rFonts w:ascii=".." w:hAnsi="Times New Roman" w:eastAsia=".." w:cs="Times New Roman"/>
      <w:color w:val="000000"/>
      <w:sz w:val="24"/>
      <w:szCs w:val="24"/>
      <w:lang w:val="en-US" w:eastAsia="zh-CN" w:bidi="ar-SA"/>
    </w:rPr>
  </w:style>
  <w:style w:type="character" w:customStyle="1" w:styleId="65">
    <w:name w:val="Default Char Char"/>
    <w:link w:val="64"/>
    <w:autoRedefine/>
    <w:qFormat/>
    <w:uiPriority w:val="0"/>
    <w:rPr>
      <w:rFonts w:ascii=".." w:hAnsi="Times New Roman" w:eastAsia=".."/>
      <w:color w:val="000000"/>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2B142339-EF15-4308-8C74-897BC7FCCADC}">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126</Pages>
  <Words>69451</Words>
  <Characters>74034</Characters>
  <Lines>418</Lines>
  <Paragraphs>117</Paragraphs>
  <TotalTime>12</TotalTime>
  <ScaleCrop>false</ScaleCrop>
  <LinksUpToDate>false</LinksUpToDate>
  <CharactersWithSpaces>80431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2022-10-21T07:58:00Z</dcterms:created>
  <dc:creator>502-2钱进</dc:creator>
  <cp:lastModifiedBy>tmi</cp:lastModifiedBy>
  <cp:lastPrinted>2021-07-30T00:56:00Z</cp:lastPrinted>
  <dcterms:modified xsi:type="dcterms:W3CDTF">2024-01-31T08:26:24Z</dcterms:modified>
  <cp:revision>384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AB44BB93425346F3B1A02E021416F76D</vt:lpwstr>
  </property>
</Properties>
</file>