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ascii="宋体" w:hAnsi="宋体" w:eastAsia="宋体" w:cs="宋体"/>
          <w:color w:val="auto"/>
          <w:lang w:val="en-US" w:eastAsia="zh-CN"/>
        </w:rPr>
      </w:pPr>
      <w:r>
        <w:rPr>
          <w:sz w:val="21"/>
        </w:rPr>
        <mc:AlternateContent>
          <mc:Choice Requires="wpg">
            <w:drawing>
              <wp:anchor distT="0" distB="0" distL="114300" distR="114300" simplePos="0" relativeHeight="251659264" behindDoc="0" locked="0" layoutInCell="1" allowOverlap="1">
                <wp:simplePos x="0" y="0"/>
                <wp:positionH relativeFrom="column">
                  <wp:posOffset>41910</wp:posOffset>
                </wp:positionH>
                <wp:positionV relativeFrom="paragraph">
                  <wp:posOffset>196215</wp:posOffset>
                </wp:positionV>
                <wp:extent cx="6232525" cy="8270240"/>
                <wp:effectExtent l="0" t="0" r="3175" b="0"/>
                <wp:wrapNone/>
                <wp:docPr id="8" name="组合 8"/>
                <wp:cNvGraphicFramePr/>
                <a:graphic xmlns:a="http://schemas.openxmlformats.org/drawingml/2006/main">
                  <a:graphicData uri="http://schemas.microsoft.com/office/word/2010/wordprocessingGroup">
                    <wpg:wgp>
                      <wpg:cNvGrpSpPr/>
                      <wpg:grpSpPr>
                        <a:xfrm>
                          <a:off x="0" y="0"/>
                          <a:ext cx="6232525" cy="8270240"/>
                          <a:chOff x="2898" y="2865"/>
                          <a:chExt cx="9860" cy="11924"/>
                        </a:xfrm>
                        <a:effectLst/>
                      </wpg:grpSpPr>
                      <wps:wsp>
                        <wps:cNvPr id="4" name="文本框 4"/>
                        <wps:cNvSpPr txBox="1"/>
                        <wps:spPr>
                          <a:xfrm>
                            <a:off x="3649" y="2865"/>
                            <a:ext cx="8120" cy="752"/>
                          </a:xfrm>
                          <a:prstGeom prst="rect">
                            <a:avLst/>
                          </a:prstGeom>
                          <a:noFill/>
                          <a:ln w="9525" cap="flat" cmpd="sng">
                            <a:solidFill>
                              <a:srgbClr val="000000">
                                <a:alpha val="0"/>
                              </a:srgbClr>
                            </a:solidFill>
                            <a:prstDash val="solid"/>
                            <a:miter/>
                            <a:headEnd type="none" w="med" len="med"/>
                            <a:tailEnd type="none" w="med" len="med"/>
                          </a:ln>
                          <a:effectLst/>
                        </wps:spPr>
                        <wps:txbx>
                          <w:txbxContent>
                            <w:p>
                              <w:pPr>
                                <w:spacing w:line="360" w:lineRule="auto"/>
                                <w:rPr>
                                  <w:rFonts w:hint="eastAsia" w:ascii="华文楷体" w:hAnsi="华文楷体" w:eastAsia="华文楷体" w:cs="华文楷体"/>
                                  <w:sz w:val="44"/>
                                  <w:szCs w:val="44"/>
                                </w:rPr>
                              </w:pPr>
                              <w:r>
                                <w:rPr>
                                  <w:rFonts w:hint="eastAsia" w:ascii="华文楷体" w:hAnsi="华文楷体" w:eastAsia="华文楷体" w:cs="华文楷体"/>
                                  <w:b/>
                                  <w:bCs/>
                                  <w:color w:val="000000"/>
                                  <w:sz w:val="44"/>
                                  <w:szCs w:val="44"/>
                                  <w:lang w:val="en-US" w:eastAsia="zh-CN"/>
                                </w:rPr>
                                <w:t>湖北齐兴会计师事务有限公司</w:t>
                              </w:r>
                            </w:p>
                          </w:txbxContent>
                        </wps:txbx>
                        <wps:bodyPr vert="horz" wrap="square" anchor="t" anchorCtr="0" upright="1"/>
                      </wps:wsp>
                      <pic:pic xmlns:pic="http://schemas.openxmlformats.org/drawingml/2006/picture">
                        <pic:nvPicPr>
                          <pic:cNvPr id="3" name="图片 21" descr="图片3"/>
                          <pic:cNvPicPr>
                            <a:picLocks noChangeAspect="1"/>
                          </pic:cNvPicPr>
                        </pic:nvPicPr>
                        <pic:blipFill>
                          <a:blip r:embed="rId7"/>
                          <a:stretch>
                            <a:fillRect/>
                          </a:stretch>
                        </pic:blipFill>
                        <pic:spPr>
                          <a:xfrm>
                            <a:off x="3043" y="3125"/>
                            <a:ext cx="601" cy="499"/>
                          </a:xfrm>
                          <a:prstGeom prst="rect">
                            <a:avLst/>
                          </a:prstGeom>
                          <a:noFill/>
                          <a:ln>
                            <a:noFill/>
                          </a:ln>
                          <a:effectLst/>
                        </pic:spPr>
                      </pic:pic>
                      <wps:wsp>
                        <wps:cNvPr id="1" name="直接箭头连接符 1"/>
                        <wps:cNvCnPr/>
                        <wps:spPr>
                          <a:xfrm flipV="1">
                            <a:off x="2898" y="3896"/>
                            <a:ext cx="9724" cy="18"/>
                          </a:xfrm>
                          <a:prstGeom prst="straightConnector1">
                            <a:avLst/>
                          </a:prstGeom>
                          <a:ln w="28575" cap="flat" cmpd="thickThin">
                            <a:solidFill>
                              <a:srgbClr val="000000"/>
                            </a:solidFill>
                            <a:prstDash val="solid"/>
                            <a:round/>
                            <a:headEnd type="none" w="med" len="med"/>
                            <a:tailEnd type="none" w="med" len="med"/>
                          </a:ln>
                          <a:effectLst/>
                        </wps:spPr>
                        <wps:bodyPr/>
                      </wps:wsp>
                      <wps:wsp>
                        <wps:cNvPr id="2" name="文本框 2"/>
                        <wps:cNvSpPr txBox="1"/>
                        <wps:spPr>
                          <a:xfrm>
                            <a:off x="2969" y="4588"/>
                            <a:ext cx="9789" cy="1859"/>
                          </a:xfrm>
                          <a:prstGeom prst="rect">
                            <a:avLst/>
                          </a:prstGeom>
                          <a:noFill/>
                          <a:ln w="9525" cap="flat" cmpd="sng">
                            <a:solidFill>
                              <a:srgbClr val="000000">
                                <a:alpha val="0"/>
                              </a:srgbClr>
                            </a:solidFill>
                            <a:prstDash val="solid"/>
                            <a:miter/>
                            <a:headEnd type="none" w="med" len="med"/>
                            <a:tailEnd type="none" w="med" len="med"/>
                          </a:ln>
                          <a:effectLst/>
                        </wps:spPr>
                        <wps:txbx>
                          <w:txbxContent>
                            <w:p>
                              <w:pPr>
                                <w:spacing w:line="360" w:lineRule="auto"/>
                                <w:jc w:val="right"/>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黄冈市国土绿化示范项目碳汇成效监测与潜力评估</w:t>
                              </w:r>
                            </w:p>
                            <w:p>
                              <w:pPr>
                                <w:spacing w:line="360" w:lineRule="auto"/>
                                <w:jc w:val="right"/>
                                <w:rPr>
                                  <w:rFonts w:hint="eastAsia" w:ascii="宋体" w:hAnsi="宋体" w:eastAsia="宋体" w:cs="宋体"/>
                                  <w:b/>
                                  <w:bCs/>
                                  <w:sz w:val="32"/>
                                  <w:szCs w:val="32"/>
                                  <w:lang w:val="en-US" w:eastAsia="zh-CN"/>
                                </w:rPr>
                              </w:pPr>
                              <w:r>
                                <w:rPr>
                                  <w:rFonts w:hint="eastAsia" w:ascii="宋体" w:hAnsi="宋体" w:eastAsia="宋体" w:cs="宋体"/>
                                  <w:b/>
                                  <w:bCs/>
                                  <w:sz w:val="40"/>
                                  <w:szCs w:val="40"/>
                                  <w:lang w:val="en-US" w:eastAsia="zh-CN"/>
                                </w:rPr>
                                <w:t>公开招标</w:t>
                              </w:r>
                            </w:p>
                            <w:p>
                              <w:pPr>
                                <w:rPr>
                                  <w:sz w:val="32"/>
                                  <w:szCs w:val="32"/>
                                </w:rPr>
                              </w:pPr>
                            </w:p>
                          </w:txbxContent>
                        </wps:txbx>
                        <wps:bodyPr vert="horz" wrap="square" anchor="t" anchorCtr="0" upright="1"/>
                      </wps:wsp>
                      <wps:wsp>
                        <wps:cNvPr id="7" name="直接箭头连接符 7"/>
                        <wps:cNvCnPr/>
                        <wps:spPr>
                          <a:xfrm flipV="1">
                            <a:off x="2918" y="6781"/>
                            <a:ext cx="9744" cy="10"/>
                          </a:xfrm>
                          <a:prstGeom prst="straightConnector1">
                            <a:avLst/>
                          </a:prstGeom>
                          <a:ln w="28575" cap="flat" cmpd="thickThin">
                            <a:solidFill>
                              <a:srgbClr val="000000"/>
                            </a:solidFill>
                            <a:prstDash val="solid"/>
                            <a:round/>
                            <a:headEnd type="none" w="med" len="med"/>
                            <a:tailEnd type="none" w="med" len="med"/>
                          </a:ln>
                          <a:effectLst/>
                        </wps:spPr>
                        <wps:bodyPr/>
                      </wps:wsp>
                      <wps:wsp>
                        <wps:cNvPr id="5" name="文本框 5"/>
                        <wps:cNvSpPr txBox="1"/>
                        <wps:spPr>
                          <a:xfrm>
                            <a:off x="2969" y="9333"/>
                            <a:ext cx="9588" cy="2362"/>
                          </a:xfrm>
                          <a:prstGeom prst="rect">
                            <a:avLst/>
                          </a:prstGeom>
                          <a:noFill/>
                          <a:ln w="9525" cap="flat" cmpd="sng">
                            <a:solidFill>
                              <a:srgbClr val="000000">
                                <a:alpha val="0"/>
                              </a:srgbClr>
                            </a:solidFill>
                            <a:prstDash val="solid"/>
                            <a:miter/>
                            <a:headEnd type="none" w="med" len="med"/>
                            <a:tailEnd type="none" w="med" len="med"/>
                          </a:ln>
                          <a:effectLst/>
                        </wps:spPr>
                        <wps:txbx>
                          <w:txbxContent>
                            <w:p>
                              <w:pPr>
                                <w:jc w:val="center"/>
                                <w:rPr>
                                  <w:rFonts w:hint="eastAsia" w:ascii="宋体" w:hAnsi="宋体" w:eastAsia="宋体" w:cs="宋体"/>
                                  <w:b/>
                                  <w:bCs/>
                                  <w:sz w:val="72"/>
                                  <w:szCs w:val="72"/>
                                  <w:lang w:val="en-US" w:eastAsia="zh-CN"/>
                                </w:rPr>
                              </w:pPr>
                              <w:r>
                                <w:rPr>
                                  <w:rFonts w:hint="eastAsia" w:ascii="宋体" w:hAnsi="宋体" w:eastAsia="宋体" w:cs="宋体"/>
                                  <w:b/>
                                  <w:bCs/>
                                  <w:spacing w:val="180"/>
                                  <w:kern w:val="0"/>
                                  <w:sz w:val="72"/>
                                  <w:szCs w:val="72"/>
                                  <w:fitText w:val="2880" w:id="1564023459"/>
                                  <w:lang w:val="en-US" w:eastAsia="zh-CN"/>
                                </w:rPr>
                                <w:t>服务</w:t>
                              </w:r>
                              <w:r>
                                <w:rPr>
                                  <w:rFonts w:hint="eastAsia" w:ascii="宋体" w:hAnsi="宋体" w:eastAsia="宋体" w:cs="宋体"/>
                                  <w:b/>
                                  <w:bCs/>
                                  <w:spacing w:val="0"/>
                                  <w:kern w:val="0"/>
                                  <w:sz w:val="72"/>
                                  <w:szCs w:val="72"/>
                                  <w:fitText w:val="2880" w:id="1564023459"/>
                                  <w:lang w:val="en-US" w:eastAsia="zh-CN"/>
                                </w:rPr>
                                <w:t>类</w:t>
                              </w:r>
                            </w:p>
                            <w:p>
                              <w:pPr>
                                <w:jc w:val="center"/>
                              </w:pPr>
                            </w:p>
                          </w:txbxContent>
                        </wps:txbx>
                        <wps:bodyPr vert="horz" wrap="square" anchor="t" anchorCtr="0" upright="1"/>
                      </wps:wsp>
                      <wps:wsp>
                        <wps:cNvPr id="6" name="文本框 6"/>
                        <wps:cNvSpPr txBox="1"/>
                        <wps:spPr>
                          <a:xfrm>
                            <a:off x="4136" y="12708"/>
                            <a:ext cx="7153" cy="2081"/>
                          </a:xfrm>
                          <a:prstGeom prst="rect">
                            <a:avLst/>
                          </a:prstGeom>
                          <a:noFill/>
                          <a:ln w="9525" cap="flat" cmpd="sng">
                            <a:solidFill>
                              <a:srgbClr val="000000">
                                <a:alpha val="0"/>
                              </a:srgbClr>
                            </a:solidFill>
                            <a:prstDash val="solid"/>
                            <a:miter/>
                            <a:headEnd type="none" w="med" len="med"/>
                            <a:tailEnd type="none" w="med" len="med"/>
                          </a:ln>
                          <a:effectLst/>
                        </wps:spPr>
                        <wps:txbx>
                          <w:txbxContent>
                            <w:p>
                              <w:pPr>
                                <w:spacing w:line="360" w:lineRule="auto"/>
                                <w:jc w:val="left"/>
                                <w:rPr>
                                  <w:rFonts w:hint="eastAsia"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val="en-US" w:eastAsia="zh-CN"/>
                                </w:rPr>
                                <w:t xml:space="preserve">黄冈市林业局 </w:t>
                              </w:r>
                            </w:p>
                            <w:p>
                              <w:pPr>
                                <w:spacing w:line="360" w:lineRule="auto"/>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采购代理机构：湖北齐兴会计师事务有限公司</w:t>
                              </w:r>
                            </w:p>
                            <w:p>
                              <w:pPr>
                                <w:spacing w:line="360" w:lineRule="auto"/>
                                <w:jc w:val="left"/>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日    期：二○二三年十</w:t>
                              </w:r>
                              <w:r>
                                <w:rPr>
                                  <w:rFonts w:hint="eastAsia" w:cs="宋体"/>
                                  <w:b/>
                                  <w:bCs/>
                                  <w:sz w:val="32"/>
                                  <w:szCs w:val="32"/>
                                  <w:lang w:val="en-US" w:eastAsia="zh-CN"/>
                                </w:rPr>
                                <w:t>二</w:t>
                              </w:r>
                              <w:r>
                                <w:rPr>
                                  <w:rFonts w:hint="eastAsia" w:ascii="宋体" w:hAnsi="宋体" w:eastAsia="宋体" w:cs="宋体"/>
                                  <w:b/>
                                  <w:bCs/>
                                  <w:sz w:val="32"/>
                                  <w:szCs w:val="32"/>
                                  <w:lang w:val="en-US" w:eastAsia="zh-CN"/>
                                </w:rPr>
                                <w:t>月</w:t>
                              </w:r>
                            </w:p>
                            <w:p/>
                            <w:p/>
                            <w:p/>
                          </w:txbxContent>
                        </wps:txbx>
                        <wps:bodyPr vert="horz" wrap="square" anchor="t" anchorCtr="0" upright="1"/>
                      </wps:wsp>
                    </wpg:wgp>
                  </a:graphicData>
                </a:graphic>
              </wp:anchor>
            </w:drawing>
          </mc:Choice>
          <mc:Fallback>
            <w:pict>
              <v:group id="_x0000_s1026" o:spid="_x0000_s1026" o:spt="203" style="position:absolute;left:0pt;margin-left:3.3pt;margin-top:15.45pt;height:651.2pt;width:490.75pt;z-index:251659264;mso-width-relative:page;mso-height-relative:page;" coordorigin="2898,2865" coordsize="9860,11924" o:gfxdata="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">
                <o:lock v:ext="edit" aspectratio="f"/>
                <v:shape id="_x0000_s1026" o:spid="_x0000_s1026" o:spt="202" type="#_x0000_t202" style="position:absolute;left:3649;top:2865;height:752;width:8120;" filled="f" stroked="t" coordsize="21600,21600" o:gfxdata="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AgxeCetwAAANoAAAAP&#10;AAAAAAAAAAEAIAAAACIAAABkcnMvZG93bnJldi54bWxQSwECFAAUAAAACACHTuJAMy8FnjsAAAA5&#10;AAAAEAAAAAAAAAABACAAAAAGAQAAZHJzL3NoYXBleG1sLnhtbFBLBQYAAAAABgAGAFsBAACwAwAA&#10;AAA=&#10;">
                  <v:fill on="f" focussize="0,0"/>
                  <v:stroke color="#000000" opacity="0f" joinstyle="miter"/>
                  <v:imagedata o:title=""/>
                  <o:lock v:ext="edit" aspectratio="f"/>
                  <v:textbox>
                    <w:txbxContent>
                      <w:p>
                        <w:pPr>
                          <w:spacing w:line="360" w:lineRule="auto"/>
                          <w:rPr>
                            <w:rFonts w:hint="eastAsia" w:ascii="华文楷体" w:hAnsi="华文楷体" w:eastAsia="华文楷体" w:cs="华文楷体"/>
                            <w:sz w:val="44"/>
                            <w:szCs w:val="44"/>
                          </w:rPr>
                        </w:pPr>
                        <w:r>
                          <w:rPr>
                            <w:rFonts w:hint="eastAsia" w:ascii="华文楷体" w:hAnsi="华文楷体" w:eastAsia="华文楷体" w:cs="华文楷体"/>
                            <w:b/>
                            <w:bCs/>
                            <w:color w:val="000000"/>
                            <w:sz w:val="44"/>
                            <w:szCs w:val="44"/>
                            <w:lang w:val="en-US" w:eastAsia="zh-CN"/>
                          </w:rPr>
                          <w:t>湖北齐兴会计师事务有限公司</w:t>
                        </w:r>
                      </w:p>
                    </w:txbxContent>
                  </v:textbox>
                </v:shape>
                <v:shape id="图片 21" o:spid="_x0000_s1026" o:spt="75" alt="图片3" type="#_x0000_t75" style="position:absolute;left:3043;top:3125;height:499;width:601;" filled="f" o:preferrelative="t" stroked="f" coordsize="21600,21600" o:gfxdata="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Rk+Qy8AAAA&#10;2gAAAA8AAAAAAAAAAQAgAAAAIgAAAGRycy9kb3ducmV2LnhtbFBLAQIUABQAAAAIAIdO4kAzLwWe&#10;OwAAADkAAAAQAAAAAAAAAAEAIAAAAAsBAABkcnMvc2hhcGV4bWwueG1sUEsFBgAAAAAGAAYAWwEA&#10;ALUDAAAAAA==&#10;">
                  <v:fill on="f" focussize="0,0"/>
                  <v:stroke on="f"/>
                  <v:imagedata r:id="rId7" o:title=""/>
                  <o:lock v:ext="edit" aspectratio="t"/>
                </v:shape>
                <v:shape id="_x0000_s1026" o:spid="_x0000_s1026" o:spt="32" type="#_x0000_t32" style="position:absolute;left:2898;top:3896;flip:y;height:18;width:9724;" filled="f" stroked="t" coordsize="21600,21600" o:gfxdata="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wnZz07gAAADaAAAA&#10;DwAAAAAAAAABACAAAAAiAAAAZHJzL2Rvd25yZXYueG1sUEsBAhQAFAAAAAgAh07iQDMvBZ47AAAA&#10;OQAAABAAAAAAAAAAAQAgAAAABwEAAGRycy9zaGFwZXhtbC54bWxQSwUGAAAAAAYABgBbAQAAsQMA&#10;AAAA&#10;">
                  <v:fill on="f" focussize="0,0"/>
                  <v:stroke weight="2.25pt" color="#000000" linestyle="thickThin" joinstyle="round"/>
                  <v:imagedata o:title=""/>
                  <o:lock v:ext="edit" aspectratio="f"/>
                </v:shape>
                <v:shape id="_x0000_s1026" o:spid="_x0000_s1026" o:spt="202" type="#_x0000_t202" style="position:absolute;left:2969;top:4588;height:1859;width:9789;" filled="f" stroked="t" coordsize="21600,21600" o:gfxdata="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MBg3XG2AAAA2gAAAA8A&#10;AAAAAAAAAQAgAAAAIgAAAGRycy9kb3ducmV2LnhtbFBLAQIUABQAAAAIAIdO4kAzLwWeOwAAADkA&#10;AAAQAAAAAAAAAAEAIAAAAAUBAABkcnMvc2hhcGV4bWwueG1sUEsFBgAAAAAGAAYAWwEAAK8DAAAA&#10;AA==&#10;">
                  <v:fill on="f" focussize="0,0"/>
                  <v:stroke color="#000000" opacity="0f" joinstyle="miter"/>
                  <v:imagedata o:title=""/>
                  <o:lock v:ext="edit" aspectratio="f"/>
                  <v:textbox>
                    <w:txbxContent>
                      <w:p>
                        <w:pPr>
                          <w:spacing w:line="360" w:lineRule="auto"/>
                          <w:jc w:val="right"/>
                          <w:rPr>
                            <w:rFonts w:hint="eastAsia" w:ascii="宋体" w:hAnsi="宋体" w:eastAsia="宋体" w:cs="宋体"/>
                            <w:b/>
                            <w:bCs/>
                            <w:sz w:val="40"/>
                            <w:szCs w:val="40"/>
                            <w:lang w:val="en-US" w:eastAsia="zh-CN"/>
                          </w:rPr>
                        </w:pPr>
                        <w:r>
                          <w:rPr>
                            <w:rFonts w:hint="eastAsia" w:ascii="宋体" w:hAnsi="宋体" w:eastAsia="宋体" w:cs="宋体"/>
                            <w:b/>
                            <w:bCs/>
                            <w:sz w:val="40"/>
                            <w:szCs w:val="40"/>
                            <w:lang w:val="en-US" w:eastAsia="zh-CN"/>
                          </w:rPr>
                          <w:t>黄冈市国土绿化示范项目碳汇成效监测与潜力评估</w:t>
                        </w:r>
                      </w:p>
                      <w:p>
                        <w:pPr>
                          <w:spacing w:line="360" w:lineRule="auto"/>
                          <w:jc w:val="right"/>
                          <w:rPr>
                            <w:rFonts w:hint="eastAsia" w:ascii="宋体" w:hAnsi="宋体" w:eastAsia="宋体" w:cs="宋体"/>
                            <w:b/>
                            <w:bCs/>
                            <w:sz w:val="32"/>
                            <w:szCs w:val="32"/>
                            <w:lang w:val="en-US" w:eastAsia="zh-CN"/>
                          </w:rPr>
                        </w:pPr>
                        <w:r>
                          <w:rPr>
                            <w:rFonts w:hint="eastAsia" w:ascii="宋体" w:hAnsi="宋体" w:eastAsia="宋体" w:cs="宋体"/>
                            <w:b/>
                            <w:bCs/>
                            <w:sz w:val="40"/>
                            <w:szCs w:val="40"/>
                            <w:lang w:val="en-US" w:eastAsia="zh-CN"/>
                          </w:rPr>
                          <w:t>公开招标</w:t>
                        </w:r>
                      </w:p>
                      <w:p>
                        <w:pPr>
                          <w:rPr>
                            <w:sz w:val="32"/>
                            <w:szCs w:val="32"/>
                          </w:rPr>
                        </w:pPr>
                      </w:p>
                    </w:txbxContent>
                  </v:textbox>
                </v:shape>
                <v:shape id="_x0000_s1026" o:spid="_x0000_s1026" o:spt="32" type="#_x0000_t32" style="position:absolute;left:2918;top:6781;flip:y;height:10;width:9744;" filled="f" stroked="t" coordsize="21600,21600" o:gfxdata="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i0048ugAAANoA&#10;AAAPAAAAAAAAAAEAIAAAACIAAABkcnMvZG93bnJldi54bWxQSwECFAAUAAAACACHTuJAMy8FnjsA&#10;AAA5AAAAEAAAAAAAAAABACAAAAAJAQAAZHJzL3NoYXBleG1sLnhtbFBLBQYAAAAABgAGAFsBAACz&#10;AwAAAAA=&#10;">
                  <v:fill on="f" focussize="0,0"/>
                  <v:stroke weight="2.25pt" color="#000000" linestyle="thickThin" joinstyle="round"/>
                  <v:imagedata o:title=""/>
                  <o:lock v:ext="edit" aspectratio="f"/>
                </v:shape>
                <v:shape id="_x0000_s1026" o:spid="_x0000_s1026" o:spt="202" type="#_x0000_t202" style="position:absolute;left:2969;top:9333;height:2362;width:9588;" filled="f" stroked="t" coordsize="21600,21600" o:gfxdata="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BPiUUFtwAAANoAAAAP&#10;AAAAAAAAAAEAIAAAACIAAABkcnMvZG93bnJldi54bWxQSwECFAAUAAAACACHTuJAMy8FnjsAAAA5&#10;AAAAEAAAAAAAAAABACAAAAAGAQAAZHJzL3NoYXBleG1sLnhtbFBLBQYAAAAABgAGAFsBAACwAwAA&#10;AAA=&#10;">
                  <v:fill on="f" focussize="0,0"/>
                  <v:stroke color="#000000" opacity="0f" joinstyle="miter"/>
                  <v:imagedata o:title=""/>
                  <o:lock v:ext="edit" aspectratio="f"/>
                  <v:textbox>
                    <w:txbxContent>
                      <w:p>
                        <w:pPr>
                          <w:jc w:val="center"/>
                          <w:rPr>
                            <w:rFonts w:hint="eastAsia" w:ascii="宋体" w:hAnsi="宋体" w:eastAsia="宋体" w:cs="宋体"/>
                            <w:b/>
                            <w:bCs/>
                            <w:sz w:val="72"/>
                            <w:szCs w:val="72"/>
                            <w:lang w:val="en-US" w:eastAsia="zh-CN"/>
                          </w:rPr>
                        </w:pPr>
                        <w:r>
                          <w:rPr>
                            <w:rFonts w:hint="eastAsia" w:ascii="宋体" w:hAnsi="宋体" w:eastAsia="宋体" w:cs="宋体"/>
                            <w:b/>
                            <w:bCs/>
                            <w:spacing w:val="180"/>
                            <w:kern w:val="0"/>
                            <w:sz w:val="72"/>
                            <w:szCs w:val="72"/>
                            <w:fitText w:val="2880" w:id="1564023459"/>
                            <w:lang w:val="en-US" w:eastAsia="zh-CN"/>
                          </w:rPr>
                          <w:t>服务</w:t>
                        </w:r>
                        <w:r>
                          <w:rPr>
                            <w:rFonts w:hint="eastAsia" w:ascii="宋体" w:hAnsi="宋体" w:eastAsia="宋体" w:cs="宋体"/>
                            <w:b/>
                            <w:bCs/>
                            <w:spacing w:val="0"/>
                            <w:kern w:val="0"/>
                            <w:sz w:val="72"/>
                            <w:szCs w:val="72"/>
                            <w:fitText w:val="2880" w:id="1564023459"/>
                            <w:lang w:val="en-US" w:eastAsia="zh-CN"/>
                          </w:rPr>
                          <w:t>类</w:t>
                        </w:r>
                      </w:p>
                      <w:p>
                        <w:pPr>
                          <w:jc w:val="center"/>
                        </w:pPr>
                      </w:p>
                    </w:txbxContent>
                  </v:textbox>
                </v:shape>
                <v:shape id="_x0000_s1026" o:spid="_x0000_s1026" o:spt="202" type="#_x0000_t202" style="position:absolute;left:4136;top:12708;height:2081;width:7153;" filled="f" stroked="t" coordsize="21600,21600" o:gfxdata="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L9b23K2AAAA2gAAAA8A&#10;AAAAAAAAAQAgAAAAIgAAAGRycy9kb3ducmV2LnhtbFBLAQIUABQAAAAIAIdO4kAzLwWeOwAAADkA&#10;AAAQAAAAAAAAAAEAIAAAAAUBAABkcnMvc2hhcGV4bWwueG1sUEsFBgAAAAAGAAYAWwEAAK8DAAAA&#10;AA==&#10;">
                  <v:fill on="f" focussize="0,0"/>
                  <v:stroke color="#000000" opacity="0f" joinstyle="miter"/>
                  <v:imagedata o:title=""/>
                  <o:lock v:ext="edit" aspectratio="f"/>
                  <v:textbox>
                    <w:txbxContent>
                      <w:p>
                        <w:pPr>
                          <w:spacing w:line="360" w:lineRule="auto"/>
                          <w:jc w:val="left"/>
                          <w:rPr>
                            <w:rFonts w:hint="eastAsia" w:ascii="宋体" w:hAnsi="宋体" w:eastAsia="宋体" w:cs="宋体"/>
                            <w:b/>
                            <w:bCs/>
                            <w:sz w:val="32"/>
                            <w:szCs w:val="32"/>
                            <w:lang w:eastAsia="zh-CN"/>
                          </w:rPr>
                        </w:pPr>
                        <w:r>
                          <w:rPr>
                            <w:rFonts w:hint="eastAsia" w:ascii="宋体" w:hAnsi="宋体" w:eastAsia="宋体" w:cs="宋体"/>
                            <w:b/>
                            <w:bCs/>
                            <w:sz w:val="32"/>
                            <w:szCs w:val="32"/>
                          </w:rPr>
                          <w:t>采 购 人：</w:t>
                        </w:r>
                        <w:r>
                          <w:rPr>
                            <w:rFonts w:hint="eastAsia" w:ascii="宋体" w:hAnsi="宋体" w:eastAsia="宋体" w:cs="宋体"/>
                            <w:b/>
                            <w:bCs/>
                            <w:sz w:val="32"/>
                            <w:szCs w:val="32"/>
                            <w:lang w:val="en-US" w:eastAsia="zh-CN"/>
                          </w:rPr>
                          <w:t xml:space="preserve">黄冈市林业局 </w:t>
                        </w:r>
                      </w:p>
                      <w:p>
                        <w:pPr>
                          <w:spacing w:line="360" w:lineRule="auto"/>
                          <w:jc w:val="left"/>
                          <w:rPr>
                            <w:rFonts w:hint="eastAsia" w:ascii="宋体" w:hAnsi="宋体" w:eastAsia="宋体" w:cs="宋体"/>
                            <w:b/>
                            <w:bCs/>
                            <w:sz w:val="32"/>
                            <w:szCs w:val="32"/>
                            <w:lang w:val="en-US" w:eastAsia="zh-CN"/>
                          </w:rPr>
                        </w:pPr>
                        <w:r>
                          <w:rPr>
                            <w:rFonts w:hint="eastAsia" w:ascii="宋体" w:hAnsi="宋体" w:eastAsia="宋体" w:cs="宋体"/>
                            <w:b/>
                            <w:bCs/>
                            <w:sz w:val="32"/>
                            <w:szCs w:val="32"/>
                            <w:lang w:val="en-US" w:eastAsia="zh-CN"/>
                          </w:rPr>
                          <w:t>采购代理机构：湖北齐兴会计师事务有限公司</w:t>
                        </w:r>
                      </w:p>
                      <w:p>
                        <w:pPr>
                          <w:spacing w:line="360" w:lineRule="auto"/>
                          <w:jc w:val="left"/>
                          <w:rPr>
                            <w:rFonts w:hint="eastAsia" w:ascii="宋体" w:hAnsi="宋体" w:eastAsia="宋体" w:cs="宋体"/>
                            <w:b/>
                            <w:bCs/>
                            <w:sz w:val="32"/>
                            <w:szCs w:val="32"/>
                            <w:lang w:eastAsia="zh-CN"/>
                          </w:rPr>
                        </w:pPr>
                        <w:r>
                          <w:rPr>
                            <w:rFonts w:hint="eastAsia" w:ascii="宋体" w:hAnsi="宋体" w:eastAsia="宋体" w:cs="宋体"/>
                            <w:b/>
                            <w:bCs/>
                            <w:sz w:val="32"/>
                            <w:szCs w:val="32"/>
                            <w:lang w:val="en-US" w:eastAsia="zh-CN"/>
                          </w:rPr>
                          <w:t>日    期：二○二三年十</w:t>
                        </w:r>
                        <w:r>
                          <w:rPr>
                            <w:rFonts w:hint="eastAsia" w:cs="宋体"/>
                            <w:b/>
                            <w:bCs/>
                            <w:sz w:val="32"/>
                            <w:szCs w:val="32"/>
                            <w:lang w:val="en-US" w:eastAsia="zh-CN"/>
                          </w:rPr>
                          <w:t>二</w:t>
                        </w:r>
                        <w:r>
                          <w:rPr>
                            <w:rFonts w:hint="eastAsia" w:ascii="宋体" w:hAnsi="宋体" w:eastAsia="宋体" w:cs="宋体"/>
                            <w:b/>
                            <w:bCs/>
                            <w:sz w:val="32"/>
                            <w:szCs w:val="32"/>
                            <w:lang w:val="en-US" w:eastAsia="zh-CN"/>
                          </w:rPr>
                          <w:t>月</w:t>
                        </w:r>
                      </w:p>
                      <w:p/>
                      <w:p/>
                      <w:p/>
                    </w:txbxContent>
                  </v:textbox>
                </v:shape>
              </v:group>
            </w:pict>
          </mc:Fallback>
        </mc:AlternateContent>
      </w: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tabs>
          <w:tab w:val="left" w:pos="1168"/>
        </w:tabs>
        <w:bidi w:val="0"/>
        <w:jc w:val="right"/>
        <w:rPr>
          <w:rFonts w:hint="eastAsia" w:ascii="宋体" w:hAnsi="宋体" w:eastAsia="宋体" w:cs="宋体"/>
          <w:b w:val="0"/>
          <w:bCs/>
          <w:color w:val="auto"/>
          <w:spacing w:val="12"/>
          <w:sz w:val="28"/>
          <w:szCs w:val="28"/>
          <w:lang w:eastAsia="zh-CN"/>
        </w:rPr>
      </w:pPr>
      <w:r>
        <w:rPr>
          <w:rFonts w:hint="eastAsia" w:ascii="宋体" w:hAnsi="宋体" w:eastAsia="宋体" w:cs="宋体"/>
          <w:b/>
          <w:bCs/>
          <w:color w:val="auto"/>
          <w:sz w:val="28"/>
          <w:szCs w:val="28"/>
          <w:lang w:val="en-US" w:eastAsia="zh-CN"/>
        </w:rPr>
        <w:t>项目编号：HGFSCG-2023-0048</w:t>
      </w: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rPr>
          <w:rFonts w:hint="eastAsia" w:ascii="宋体" w:hAnsi="宋体" w:eastAsia="宋体" w:cs="宋体"/>
          <w:color w:val="auto"/>
          <w:lang w:val="en-US" w:eastAsia="zh-CN"/>
        </w:rPr>
      </w:pPr>
    </w:p>
    <w:p>
      <w:pPr>
        <w:pStyle w:val="11"/>
        <w:jc w:val="center"/>
        <w:rPr>
          <w:rFonts w:hint="eastAsia"/>
          <w:b/>
          <w:bCs/>
          <w:sz w:val="36"/>
          <w:szCs w:val="36"/>
        </w:rPr>
      </w:pPr>
      <w:bookmarkStart w:id="0" w:name="_Toc511894492"/>
      <w:bookmarkStart w:id="1" w:name="_Toc511889414"/>
    </w:p>
    <w:p>
      <w:pPr>
        <w:pStyle w:val="11"/>
        <w:jc w:val="center"/>
        <w:rPr>
          <w:rFonts w:hint="eastAsia"/>
          <w:b/>
          <w:bCs/>
          <w:sz w:val="36"/>
          <w:szCs w:val="36"/>
        </w:rPr>
      </w:pPr>
    </w:p>
    <w:p>
      <w:pPr>
        <w:pStyle w:val="11"/>
        <w:jc w:val="center"/>
        <w:rPr>
          <w:rFonts w:hint="eastAsia"/>
          <w:b/>
          <w:bCs/>
          <w:sz w:val="36"/>
          <w:szCs w:val="36"/>
        </w:rPr>
      </w:pPr>
    </w:p>
    <w:p>
      <w:pPr>
        <w:pStyle w:val="11"/>
        <w:jc w:val="center"/>
        <w:rPr>
          <w:b/>
          <w:bCs/>
          <w:sz w:val="36"/>
          <w:szCs w:val="36"/>
        </w:rPr>
      </w:pPr>
      <w:r>
        <w:rPr>
          <w:rFonts w:hint="eastAsia"/>
          <w:b/>
          <w:bCs/>
          <w:sz w:val="36"/>
          <w:szCs w:val="36"/>
        </w:rPr>
        <w:t>目    录</w:t>
      </w:r>
    </w:p>
    <w:p>
      <w:pPr>
        <w:pStyle w:val="21"/>
        <w:tabs>
          <w:tab w:val="left" w:pos="1050"/>
          <w:tab w:val="right" w:leader="dot" w:pos="9514"/>
        </w:tabs>
      </w:pPr>
      <w:r>
        <w:rPr>
          <w:b w:val="0"/>
          <w:iCs/>
          <w:szCs w:val="24"/>
        </w:rPr>
        <w:fldChar w:fldCharType="begin"/>
      </w:r>
      <w:r>
        <w:rPr>
          <w:b w:val="0"/>
          <w:iCs/>
          <w:szCs w:val="24"/>
        </w:rPr>
        <w:instrText xml:space="preserve"> TOC \o "1-2" \h \z \u </w:instrText>
      </w:r>
      <w:r>
        <w:rPr>
          <w:b w:val="0"/>
          <w:iCs/>
          <w:szCs w:val="24"/>
        </w:rPr>
        <w:fldChar w:fldCharType="separate"/>
      </w:r>
      <w:r>
        <w:rPr>
          <w:iCs/>
          <w:szCs w:val="24"/>
        </w:rPr>
        <w:fldChar w:fldCharType="begin"/>
      </w:r>
      <w:r>
        <w:rPr>
          <w:iCs/>
          <w:szCs w:val="24"/>
        </w:rPr>
        <w:instrText xml:space="preserve"> HYPERLINK \l _Toc32298 </w:instrText>
      </w:r>
      <w:r>
        <w:rPr>
          <w:iCs/>
          <w:szCs w:val="24"/>
        </w:rPr>
        <w:fldChar w:fldCharType="separate"/>
      </w:r>
      <w:r>
        <w:rPr>
          <w:rFonts w:hint="eastAsia"/>
          <w:szCs w:val="36"/>
        </w:rPr>
        <w:t>第一章 投标邀请</w:t>
      </w:r>
      <w:r>
        <w:tab/>
      </w:r>
      <w:r>
        <w:fldChar w:fldCharType="begin"/>
      </w:r>
      <w:r>
        <w:instrText xml:space="preserve"> PAGEREF _Toc32298 \h </w:instrText>
      </w:r>
      <w:r>
        <w:fldChar w:fldCharType="separate"/>
      </w:r>
      <w:r>
        <w:t>1</w:t>
      </w:r>
      <w:r>
        <w:fldChar w:fldCharType="end"/>
      </w:r>
      <w:r>
        <w:rPr>
          <w:iCs/>
          <w:szCs w:val="24"/>
        </w:rPr>
        <w:fldChar w:fldCharType="end"/>
      </w:r>
    </w:p>
    <w:p>
      <w:pPr>
        <w:pStyle w:val="21"/>
        <w:tabs>
          <w:tab w:val="right" w:leader="dot" w:pos="9524"/>
        </w:tabs>
      </w:pPr>
      <w:r>
        <w:rPr>
          <w:iCs/>
          <w:szCs w:val="24"/>
        </w:rPr>
        <w:fldChar w:fldCharType="begin"/>
      </w:r>
      <w:r>
        <w:rPr>
          <w:iCs/>
          <w:szCs w:val="24"/>
        </w:rPr>
        <w:instrText xml:space="preserve"> HYPERLINK \l _Toc24763 </w:instrText>
      </w:r>
      <w:r>
        <w:rPr>
          <w:iCs/>
          <w:szCs w:val="24"/>
        </w:rPr>
        <w:fldChar w:fldCharType="separate"/>
      </w:r>
      <w:r>
        <w:rPr>
          <w:rFonts w:hint="eastAsia"/>
          <w:szCs w:val="36"/>
        </w:rPr>
        <w:t>第二章 投标人须知</w:t>
      </w:r>
      <w:r>
        <w:tab/>
      </w:r>
      <w:r>
        <w:fldChar w:fldCharType="begin"/>
      </w:r>
      <w:r>
        <w:instrText xml:space="preserve"> PAGEREF _Toc24763 \h </w:instrText>
      </w:r>
      <w:r>
        <w:fldChar w:fldCharType="separate"/>
      </w:r>
      <w:r>
        <w:t>4</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_Toc3143 </w:instrText>
      </w:r>
      <w:r>
        <w:rPr>
          <w:iCs/>
          <w:szCs w:val="24"/>
        </w:rPr>
        <w:fldChar w:fldCharType="separate"/>
      </w:r>
      <w:r>
        <w:rPr>
          <w:szCs w:val="28"/>
          <w:lang w:val="zh-CN"/>
        </w:rPr>
        <w:t>投标人须知前附表</w:t>
      </w:r>
      <w:r>
        <w:tab/>
      </w:r>
      <w:r>
        <w:fldChar w:fldCharType="begin"/>
      </w:r>
      <w:r>
        <w:instrText xml:space="preserve"> PAGEREF _Toc3143 \h </w:instrText>
      </w:r>
      <w:r>
        <w:fldChar w:fldCharType="separate"/>
      </w:r>
      <w:r>
        <w:t>4</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_Toc30105 </w:instrText>
      </w:r>
      <w:r>
        <w:rPr>
          <w:iCs/>
          <w:szCs w:val="24"/>
        </w:rPr>
        <w:fldChar w:fldCharType="separate"/>
      </w:r>
      <w:r>
        <w:rPr>
          <w:rFonts w:hint="eastAsia" w:ascii="宋体" w:hAnsi="宋体" w:eastAsia="宋体" w:cs="宋体"/>
          <w:bCs w:val="0"/>
          <w:szCs w:val="28"/>
          <w:lang w:val="zh-CN"/>
        </w:rPr>
        <w:t xml:space="preserve">一、 </w:t>
      </w:r>
      <w:r>
        <w:rPr>
          <w:rFonts w:hint="eastAsia" w:ascii="宋体" w:hAnsi="宋体" w:eastAsia="宋体" w:cs="Times New Roman"/>
          <w:bCs w:val="0"/>
          <w:szCs w:val="28"/>
          <w:lang w:val="zh-CN"/>
        </w:rPr>
        <w:t>总  则</w:t>
      </w:r>
      <w:r>
        <w:tab/>
      </w:r>
      <w:r>
        <w:fldChar w:fldCharType="begin"/>
      </w:r>
      <w:r>
        <w:instrText xml:space="preserve"> PAGEREF _Toc30105 \h </w:instrText>
      </w:r>
      <w:r>
        <w:fldChar w:fldCharType="separate"/>
      </w:r>
      <w:r>
        <w:t>6</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_Toc1198 </w:instrText>
      </w:r>
      <w:r>
        <w:rPr>
          <w:iCs/>
          <w:szCs w:val="24"/>
        </w:rPr>
        <w:fldChar w:fldCharType="separate"/>
      </w:r>
      <w:r>
        <w:rPr>
          <w:rFonts w:hint="eastAsia" w:ascii="宋体" w:hAnsi="宋体" w:eastAsia="宋体" w:cs="宋体"/>
          <w:bCs w:val="0"/>
          <w:szCs w:val="28"/>
          <w:lang w:val="zh-CN"/>
        </w:rPr>
        <w:t xml:space="preserve">二、 </w:t>
      </w:r>
      <w:r>
        <w:rPr>
          <w:rFonts w:hint="eastAsia" w:ascii="宋体" w:hAnsi="宋体" w:eastAsia="宋体" w:cs="Times New Roman"/>
          <w:bCs w:val="0"/>
          <w:szCs w:val="28"/>
          <w:lang w:val="zh-CN"/>
        </w:rPr>
        <w:t>招标文件</w:t>
      </w:r>
      <w:r>
        <w:tab/>
      </w:r>
      <w:r>
        <w:fldChar w:fldCharType="begin"/>
      </w:r>
      <w:r>
        <w:instrText xml:space="preserve"> PAGEREF _Toc1198 \h </w:instrText>
      </w:r>
      <w:r>
        <w:fldChar w:fldCharType="separate"/>
      </w:r>
      <w:r>
        <w:t>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_Toc2432 </w:instrText>
      </w:r>
      <w:r>
        <w:rPr>
          <w:iCs/>
          <w:szCs w:val="24"/>
        </w:rPr>
        <w:fldChar w:fldCharType="separate"/>
      </w:r>
      <w:r>
        <w:rPr>
          <w:rFonts w:hint="eastAsia" w:ascii="宋体" w:hAnsi="宋体" w:eastAsia="宋体" w:cs="宋体"/>
          <w:bCs w:val="0"/>
          <w:szCs w:val="28"/>
          <w:lang w:val="zh-CN"/>
        </w:rPr>
        <w:t xml:space="preserve">三、 </w:t>
      </w:r>
      <w:r>
        <w:rPr>
          <w:rFonts w:hint="eastAsia" w:ascii="宋体" w:hAnsi="宋体" w:eastAsia="宋体" w:cs="Times New Roman"/>
          <w:bCs w:val="0"/>
          <w:szCs w:val="28"/>
          <w:lang w:val="zh-CN"/>
        </w:rPr>
        <w:t>投标文件</w:t>
      </w:r>
      <w:r>
        <w:tab/>
      </w:r>
      <w:r>
        <w:fldChar w:fldCharType="begin"/>
      </w:r>
      <w:r>
        <w:instrText xml:space="preserve"> PAGEREF _Toc2432 \h </w:instrText>
      </w:r>
      <w:r>
        <w:fldChar w:fldCharType="separate"/>
      </w:r>
      <w:r>
        <w:t>10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_Toc27468 </w:instrText>
      </w:r>
      <w:r>
        <w:rPr>
          <w:iCs/>
          <w:szCs w:val="24"/>
        </w:rPr>
        <w:fldChar w:fldCharType="separate"/>
      </w:r>
      <w:r>
        <w:rPr>
          <w:rFonts w:hint="eastAsia" w:ascii="宋体" w:hAnsi="宋体" w:eastAsia="宋体" w:cs="宋体"/>
          <w:bCs w:val="0"/>
          <w:szCs w:val="28"/>
          <w:lang w:val="zh-CN"/>
        </w:rPr>
        <w:t xml:space="preserve">四、 </w:t>
      </w:r>
      <w:r>
        <w:rPr>
          <w:rFonts w:hint="eastAsia" w:ascii="宋体" w:hAnsi="宋体" w:eastAsia="宋体" w:cs="Times New Roman"/>
          <w:bCs w:val="0"/>
          <w:szCs w:val="28"/>
          <w:lang w:val="zh-CN"/>
        </w:rPr>
        <w:t>开标与评标</w:t>
      </w:r>
      <w:r>
        <w:tab/>
      </w:r>
      <w:r>
        <w:fldChar w:fldCharType="begin"/>
      </w:r>
      <w:r>
        <w:instrText xml:space="preserve"> PAGEREF _Toc27468 \h </w:instrText>
      </w:r>
      <w:r>
        <w:fldChar w:fldCharType="separate"/>
      </w:r>
      <w:r>
        <w:t>13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_Toc8654 </w:instrText>
      </w:r>
      <w:r>
        <w:rPr>
          <w:iCs/>
          <w:szCs w:val="24"/>
        </w:rPr>
        <w:fldChar w:fldCharType="separate"/>
      </w:r>
      <w:r>
        <w:rPr>
          <w:rFonts w:hint="eastAsia" w:ascii="宋体" w:hAnsi="宋体" w:eastAsia="宋体" w:cs="宋体"/>
          <w:bCs w:val="0"/>
          <w:szCs w:val="28"/>
          <w:lang w:val="zh-CN"/>
        </w:rPr>
        <w:t xml:space="preserve">五、 </w:t>
      </w:r>
      <w:r>
        <w:rPr>
          <w:rFonts w:ascii="宋体" w:hAnsi="宋体" w:eastAsia="宋体" w:cs="Times New Roman"/>
          <w:bCs w:val="0"/>
          <w:szCs w:val="28"/>
          <w:lang w:val="zh-CN"/>
        </w:rPr>
        <w:t>中标</w:t>
      </w:r>
      <w:r>
        <w:rPr>
          <w:rFonts w:hint="eastAsia" w:ascii="宋体" w:hAnsi="宋体" w:eastAsia="宋体" w:cs="Times New Roman"/>
          <w:bCs w:val="0"/>
          <w:szCs w:val="28"/>
          <w:lang w:val="zh-CN"/>
        </w:rPr>
        <w:t>与</w:t>
      </w:r>
      <w:r>
        <w:rPr>
          <w:rFonts w:ascii="宋体" w:hAnsi="宋体" w:eastAsia="宋体" w:cs="Times New Roman"/>
          <w:bCs w:val="0"/>
          <w:szCs w:val="28"/>
          <w:lang w:val="zh-CN"/>
        </w:rPr>
        <w:t>合同</w:t>
      </w:r>
      <w:r>
        <w:tab/>
      </w:r>
      <w:r>
        <w:fldChar w:fldCharType="begin"/>
      </w:r>
      <w:r>
        <w:instrText xml:space="preserve"> PAGEREF _Toc8654 \h </w:instrText>
      </w:r>
      <w:r>
        <w:fldChar w:fldCharType="separate"/>
      </w:r>
      <w:r>
        <w:t>15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_Toc9351 </w:instrText>
      </w:r>
      <w:r>
        <w:rPr>
          <w:iCs/>
          <w:szCs w:val="24"/>
        </w:rPr>
        <w:fldChar w:fldCharType="separate"/>
      </w:r>
      <w:r>
        <w:rPr>
          <w:rFonts w:hint="eastAsia" w:ascii="宋体" w:hAnsi="宋体" w:eastAsia="宋体" w:cs="宋体"/>
          <w:bCs w:val="0"/>
          <w:szCs w:val="28"/>
          <w:lang w:val="zh-CN"/>
        </w:rPr>
        <w:t xml:space="preserve">六、 </w:t>
      </w:r>
      <w:r>
        <w:rPr>
          <w:rFonts w:hint="eastAsia" w:ascii="宋体" w:hAnsi="宋体" w:eastAsia="宋体" w:cs="Times New Roman"/>
          <w:bCs w:val="0"/>
          <w:szCs w:val="28"/>
          <w:lang w:val="zh-CN"/>
        </w:rPr>
        <w:t>询问与质疑</w:t>
      </w:r>
      <w:r>
        <w:tab/>
      </w:r>
      <w:r>
        <w:fldChar w:fldCharType="begin"/>
      </w:r>
      <w:r>
        <w:instrText xml:space="preserve"> PAGEREF _Toc9351 \h </w:instrText>
      </w:r>
      <w:r>
        <w:fldChar w:fldCharType="separate"/>
      </w:r>
      <w:r>
        <w:t>16</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_Toc15312 </w:instrText>
      </w:r>
      <w:r>
        <w:rPr>
          <w:iCs/>
          <w:szCs w:val="24"/>
        </w:rPr>
        <w:fldChar w:fldCharType="separate"/>
      </w:r>
      <w:r>
        <w:rPr>
          <w:rFonts w:hint="eastAsia" w:ascii="宋体" w:hAnsi="宋体" w:eastAsia="宋体" w:cs="宋体"/>
          <w:bCs w:val="0"/>
          <w:szCs w:val="28"/>
          <w:lang w:val="zh-CN"/>
        </w:rPr>
        <w:t xml:space="preserve">七、 </w:t>
      </w:r>
      <w:r>
        <w:rPr>
          <w:rFonts w:hint="eastAsia" w:ascii="宋体" w:hAnsi="宋体" w:eastAsia="宋体" w:cs="Times New Roman"/>
          <w:bCs w:val="0"/>
          <w:szCs w:val="28"/>
          <w:lang w:val="zh-CN"/>
        </w:rPr>
        <w:t>政府采购政策</w:t>
      </w:r>
      <w:r>
        <w:tab/>
      </w:r>
      <w:r>
        <w:fldChar w:fldCharType="begin"/>
      </w:r>
      <w:r>
        <w:instrText xml:space="preserve"> PAGEREF _Toc15312 \h </w:instrText>
      </w:r>
      <w:r>
        <w:fldChar w:fldCharType="separate"/>
      </w:r>
      <w:r>
        <w:t>17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_Toc8457 </w:instrText>
      </w:r>
      <w:r>
        <w:rPr>
          <w:iCs/>
          <w:szCs w:val="24"/>
        </w:rPr>
        <w:fldChar w:fldCharType="separate"/>
      </w:r>
      <w:r>
        <w:rPr>
          <w:rFonts w:hint="eastAsia" w:ascii="宋体" w:hAnsi="宋体" w:eastAsia="宋体" w:cs="宋体"/>
          <w:bCs w:val="0"/>
          <w:szCs w:val="28"/>
          <w:lang w:val="zh-CN"/>
        </w:rPr>
        <w:t xml:space="preserve">八、 </w:t>
      </w:r>
      <w:r>
        <w:rPr>
          <w:rFonts w:hint="eastAsia" w:ascii="宋体" w:hAnsi="宋体" w:eastAsia="宋体" w:cs="Times New Roman"/>
          <w:bCs w:val="0"/>
          <w:szCs w:val="28"/>
          <w:lang w:val="zh-CN"/>
        </w:rPr>
        <w:t>其  它</w:t>
      </w:r>
      <w:r>
        <w:tab/>
      </w:r>
      <w:r>
        <w:fldChar w:fldCharType="begin"/>
      </w:r>
      <w:r>
        <w:instrText xml:space="preserve"> PAGEREF _Toc8457 \h </w:instrText>
      </w:r>
      <w:r>
        <w:fldChar w:fldCharType="separate"/>
      </w:r>
      <w:r>
        <w:t>18</w:t>
      </w:r>
      <w:r>
        <w:fldChar w:fldCharType="end"/>
      </w:r>
      <w:r>
        <w:rPr>
          <w:iCs/>
          <w:szCs w:val="24"/>
        </w:rPr>
        <w:fldChar w:fldCharType="end"/>
      </w:r>
    </w:p>
    <w:p>
      <w:pPr>
        <w:pStyle w:val="21"/>
        <w:tabs>
          <w:tab w:val="right" w:leader="dot" w:pos="9524"/>
        </w:tabs>
      </w:pPr>
      <w:r>
        <w:rPr>
          <w:iCs/>
          <w:szCs w:val="24"/>
        </w:rPr>
        <w:fldChar w:fldCharType="begin"/>
      </w:r>
      <w:r>
        <w:rPr>
          <w:iCs/>
          <w:szCs w:val="24"/>
        </w:rPr>
        <w:instrText xml:space="preserve"> HYPERLINK \l _Toc5072 </w:instrText>
      </w:r>
      <w:r>
        <w:rPr>
          <w:iCs/>
          <w:szCs w:val="24"/>
        </w:rPr>
        <w:fldChar w:fldCharType="separate"/>
      </w:r>
      <w:r>
        <w:rPr>
          <w:rFonts w:hint="eastAsia"/>
          <w:szCs w:val="36"/>
          <w:lang w:val="zh-CN"/>
        </w:rPr>
        <w:t xml:space="preserve">第三章 </w:t>
      </w:r>
      <w:r>
        <w:rPr>
          <w:rFonts w:hint="eastAsia"/>
          <w:szCs w:val="36"/>
        </w:rPr>
        <w:t>采购需求</w:t>
      </w:r>
      <w:r>
        <w:tab/>
      </w:r>
      <w:r>
        <w:fldChar w:fldCharType="begin"/>
      </w:r>
      <w:r>
        <w:instrText xml:space="preserve"> PAGEREF _Toc5072 \h </w:instrText>
      </w:r>
      <w:r>
        <w:fldChar w:fldCharType="separate"/>
      </w:r>
      <w:r>
        <w:t>19</w:t>
      </w:r>
      <w:r>
        <w:fldChar w:fldCharType="end"/>
      </w:r>
      <w:r>
        <w:rPr>
          <w:iCs/>
          <w:szCs w:val="24"/>
        </w:rPr>
        <w:fldChar w:fldCharType="end"/>
      </w:r>
    </w:p>
    <w:p>
      <w:pPr>
        <w:pStyle w:val="21"/>
        <w:tabs>
          <w:tab w:val="right" w:leader="dot" w:pos="9524"/>
        </w:tabs>
      </w:pPr>
      <w:r>
        <w:rPr>
          <w:iCs/>
          <w:szCs w:val="24"/>
        </w:rPr>
        <w:fldChar w:fldCharType="begin"/>
      </w:r>
      <w:r>
        <w:rPr>
          <w:iCs/>
          <w:szCs w:val="24"/>
        </w:rPr>
        <w:instrText xml:space="preserve"> HYPERLINK \l _Toc10522 </w:instrText>
      </w:r>
      <w:r>
        <w:rPr>
          <w:iCs/>
          <w:szCs w:val="24"/>
        </w:rPr>
        <w:fldChar w:fldCharType="separate"/>
      </w:r>
      <w:r>
        <w:rPr>
          <w:rFonts w:hint="eastAsia"/>
          <w:szCs w:val="36"/>
        </w:rPr>
        <w:t>第四章 资格审查</w:t>
      </w:r>
      <w:r>
        <w:tab/>
      </w:r>
      <w:r>
        <w:fldChar w:fldCharType="begin"/>
      </w:r>
      <w:r>
        <w:instrText xml:space="preserve"> PAGEREF _Toc10522 \h </w:instrText>
      </w:r>
      <w:r>
        <w:fldChar w:fldCharType="separate"/>
      </w:r>
      <w:r>
        <w:t>22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_Toc24976 </w:instrText>
      </w:r>
      <w:r>
        <w:rPr>
          <w:iCs/>
          <w:szCs w:val="24"/>
        </w:rPr>
        <w:fldChar w:fldCharType="separate"/>
      </w:r>
      <w:r>
        <w:rPr>
          <w:rFonts w:hint="eastAsia" w:ascii="宋体" w:hAnsi="宋体" w:eastAsia="宋体" w:cs="Times New Roman"/>
          <w:bCs w:val="0"/>
          <w:szCs w:val="28"/>
          <w:lang w:val="zh-CN"/>
        </w:rPr>
        <w:t>一、 资格审查方法</w:t>
      </w:r>
      <w:r>
        <w:tab/>
      </w:r>
      <w:r>
        <w:fldChar w:fldCharType="begin"/>
      </w:r>
      <w:r>
        <w:instrText xml:space="preserve"> PAGEREF _Toc24976 \h </w:instrText>
      </w:r>
      <w:r>
        <w:fldChar w:fldCharType="separate"/>
      </w:r>
      <w:r>
        <w:t>22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_Toc19360 </w:instrText>
      </w:r>
      <w:r>
        <w:rPr>
          <w:iCs/>
          <w:szCs w:val="24"/>
        </w:rPr>
        <w:fldChar w:fldCharType="separate"/>
      </w:r>
      <w:r>
        <w:rPr>
          <w:rFonts w:hint="eastAsia" w:ascii="宋体" w:hAnsi="宋体" w:eastAsia="宋体" w:cs="Times New Roman"/>
          <w:bCs w:val="0"/>
          <w:szCs w:val="28"/>
          <w:lang w:val="zh-CN"/>
        </w:rPr>
        <w:t>二、 资格审查程序</w:t>
      </w:r>
      <w:r>
        <w:tab/>
      </w:r>
      <w:r>
        <w:fldChar w:fldCharType="begin"/>
      </w:r>
      <w:r>
        <w:instrText xml:space="preserve"> PAGEREF _Toc19360 \h </w:instrText>
      </w:r>
      <w:r>
        <w:fldChar w:fldCharType="separate"/>
      </w:r>
      <w:r>
        <w:t>22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_Toc7625 </w:instrText>
      </w:r>
      <w:r>
        <w:rPr>
          <w:iCs/>
          <w:szCs w:val="24"/>
        </w:rPr>
        <w:fldChar w:fldCharType="separate"/>
      </w:r>
      <w:r>
        <w:rPr>
          <w:rFonts w:hint="eastAsia" w:ascii="宋体" w:hAnsi="宋体" w:eastAsia="宋体" w:cs="Times New Roman"/>
          <w:bCs w:val="0"/>
          <w:szCs w:val="28"/>
          <w:lang w:val="zh-CN"/>
        </w:rPr>
        <w:t>三、 资格审查标准</w:t>
      </w:r>
      <w:r>
        <w:tab/>
      </w:r>
      <w:r>
        <w:fldChar w:fldCharType="begin"/>
      </w:r>
      <w:r>
        <w:instrText xml:space="preserve"> PAGEREF _Toc7625 \h </w:instrText>
      </w:r>
      <w:r>
        <w:fldChar w:fldCharType="separate"/>
      </w:r>
      <w:r>
        <w:t>22</w:t>
      </w:r>
      <w:r>
        <w:fldChar w:fldCharType="end"/>
      </w:r>
      <w:r>
        <w:rPr>
          <w:iCs/>
          <w:szCs w:val="24"/>
        </w:rPr>
        <w:fldChar w:fldCharType="end"/>
      </w:r>
    </w:p>
    <w:p>
      <w:pPr>
        <w:pStyle w:val="21"/>
        <w:tabs>
          <w:tab w:val="right" w:leader="dot" w:pos="9524"/>
        </w:tabs>
      </w:pPr>
      <w:r>
        <w:rPr>
          <w:iCs/>
          <w:szCs w:val="24"/>
        </w:rPr>
        <w:fldChar w:fldCharType="begin"/>
      </w:r>
      <w:r>
        <w:rPr>
          <w:iCs/>
          <w:szCs w:val="24"/>
        </w:rPr>
        <w:instrText xml:space="preserve"> HYPERLINK \l _Toc22071 </w:instrText>
      </w:r>
      <w:r>
        <w:rPr>
          <w:iCs/>
          <w:szCs w:val="24"/>
        </w:rPr>
        <w:fldChar w:fldCharType="separate"/>
      </w:r>
      <w:r>
        <w:rPr>
          <w:rFonts w:hint="eastAsia"/>
          <w:szCs w:val="36"/>
        </w:rPr>
        <w:t>第五章 评标办法</w:t>
      </w:r>
      <w:r>
        <w:tab/>
      </w:r>
      <w:r>
        <w:fldChar w:fldCharType="begin"/>
      </w:r>
      <w:r>
        <w:instrText xml:space="preserve"> PAGEREF _Toc22071 \h </w:instrText>
      </w:r>
      <w:r>
        <w:fldChar w:fldCharType="separate"/>
      </w:r>
      <w:r>
        <w:t>25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_Toc16477 </w:instrText>
      </w:r>
      <w:r>
        <w:rPr>
          <w:iCs/>
          <w:szCs w:val="24"/>
        </w:rPr>
        <w:fldChar w:fldCharType="separate"/>
      </w:r>
      <w:r>
        <w:rPr>
          <w:rFonts w:hint="eastAsia" w:ascii="宋体" w:hAnsi="宋体" w:eastAsia="宋体" w:cs="Times New Roman"/>
          <w:bCs w:val="0"/>
          <w:szCs w:val="28"/>
          <w:lang w:val="zh-CN"/>
        </w:rPr>
        <w:t>一、 评标方法</w:t>
      </w:r>
      <w:r>
        <w:tab/>
      </w:r>
      <w:r>
        <w:fldChar w:fldCharType="begin"/>
      </w:r>
      <w:r>
        <w:instrText xml:space="preserve"> PAGEREF _Toc16477 \h </w:instrText>
      </w:r>
      <w:r>
        <w:fldChar w:fldCharType="separate"/>
      </w:r>
      <w:r>
        <w:t>25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_Toc9993 </w:instrText>
      </w:r>
      <w:r>
        <w:rPr>
          <w:iCs/>
          <w:szCs w:val="24"/>
        </w:rPr>
        <w:fldChar w:fldCharType="separate"/>
      </w:r>
      <w:r>
        <w:rPr>
          <w:rFonts w:hint="eastAsia" w:ascii="宋体" w:hAnsi="宋体" w:eastAsia="宋体" w:cs="Times New Roman"/>
          <w:bCs w:val="0"/>
          <w:szCs w:val="28"/>
          <w:lang w:val="zh-CN"/>
        </w:rPr>
        <w:t>二、 评标程序</w:t>
      </w:r>
      <w:r>
        <w:tab/>
      </w:r>
      <w:r>
        <w:fldChar w:fldCharType="begin"/>
      </w:r>
      <w:r>
        <w:instrText xml:space="preserve"> PAGEREF _Toc9993 \h </w:instrText>
      </w:r>
      <w:r>
        <w:fldChar w:fldCharType="separate"/>
      </w:r>
      <w:r>
        <w:t>25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_Toc9566 </w:instrText>
      </w:r>
      <w:r>
        <w:rPr>
          <w:iCs/>
          <w:szCs w:val="24"/>
        </w:rPr>
        <w:fldChar w:fldCharType="separate"/>
      </w:r>
      <w:r>
        <w:rPr>
          <w:rFonts w:hint="eastAsia" w:ascii="宋体" w:hAnsi="宋体" w:eastAsia="宋体" w:cs="Times New Roman"/>
          <w:bCs w:val="0"/>
          <w:szCs w:val="28"/>
          <w:lang w:val="zh-CN"/>
        </w:rPr>
        <w:t>三、 评标标准</w:t>
      </w:r>
      <w:r>
        <w:tab/>
      </w:r>
      <w:r>
        <w:fldChar w:fldCharType="begin"/>
      </w:r>
      <w:r>
        <w:instrText xml:space="preserve"> PAGEREF _Toc9566 \h </w:instrText>
      </w:r>
      <w:r>
        <w:fldChar w:fldCharType="separate"/>
      </w:r>
      <w:r>
        <w:t>28</w:t>
      </w:r>
      <w:r>
        <w:fldChar w:fldCharType="end"/>
      </w:r>
      <w:r>
        <w:rPr>
          <w:iCs/>
          <w:szCs w:val="24"/>
        </w:rPr>
        <w:fldChar w:fldCharType="end"/>
      </w:r>
    </w:p>
    <w:p>
      <w:pPr>
        <w:pStyle w:val="21"/>
        <w:tabs>
          <w:tab w:val="right" w:leader="dot" w:pos="9524"/>
        </w:tabs>
      </w:pPr>
      <w:r>
        <w:rPr>
          <w:iCs/>
          <w:szCs w:val="24"/>
        </w:rPr>
        <w:fldChar w:fldCharType="begin"/>
      </w:r>
      <w:r>
        <w:rPr>
          <w:iCs/>
          <w:szCs w:val="24"/>
        </w:rPr>
        <w:instrText xml:space="preserve"> HYPERLINK \l _Toc28226 </w:instrText>
      </w:r>
      <w:r>
        <w:rPr>
          <w:iCs/>
          <w:szCs w:val="24"/>
        </w:rPr>
        <w:fldChar w:fldCharType="separate"/>
      </w:r>
      <w:r>
        <w:rPr>
          <w:rFonts w:hint="eastAsia"/>
          <w:szCs w:val="36"/>
        </w:rPr>
        <w:t>第六章 合同文本格式（参考）</w:t>
      </w:r>
      <w:r>
        <w:tab/>
      </w:r>
      <w:r>
        <w:fldChar w:fldCharType="begin"/>
      </w:r>
      <w:r>
        <w:instrText xml:space="preserve"> PAGEREF _Toc28226 \h </w:instrText>
      </w:r>
      <w:r>
        <w:fldChar w:fldCharType="separate"/>
      </w:r>
      <w:r>
        <w:t>31</w:t>
      </w:r>
      <w:r>
        <w:fldChar w:fldCharType="end"/>
      </w:r>
      <w:r>
        <w:rPr>
          <w:iCs/>
          <w:szCs w:val="24"/>
        </w:rPr>
        <w:fldChar w:fldCharType="end"/>
      </w:r>
    </w:p>
    <w:p>
      <w:pPr>
        <w:pStyle w:val="21"/>
        <w:tabs>
          <w:tab w:val="right" w:leader="dot" w:pos="9524"/>
        </w:tabs>
      </w:pPr>
      <w:r>
        <w:rPr>
          <w:iCs/>
          <w:szCs w:val="24"/>
        </w:rPr>
        <w:fldChar w:fldCharType="begin"/>
      </w:r>
      <w:r>
        <w:rPr>
          <w:iCs/>
          <w:szCs w:val="24"/>
        </w:rPr>
        <w:instrText xml:space="preserve"> HYPERLINK \l _Toc30495 </w:instrText>
      </w:r>
      <w:r>
        <w:rPr>
          <w:iCs/>
          <w:szCs w:val="24"/>
        </w:rPr>
        <w:fldChar w:fldCharType="separate"/>
      </w:r>
      <w:r>
        <w:rPr>
          <w:rFonts w:hint="eastAsia"/>
          <w:szCs w:val="36"/>
        </w:rPr>
        <w:t>第七章 投标文件格式（参考）</w:t>
      </w:r>
      <w:r>
        <w:tab/>
      </w:r>
      <w:r>
        <w:fldChar w:fldCharType="begin"/>
      </w:r>
      <w:r>
        <w:instrText xml:space="preserve"> PAGEREF _Toc30495 \h </w:instrText>
      </w:r>
      <w:r>
        <w:fldChar w:fldCharType="separate"/>
      </w:r>
      <w:r>
        <w:t>36</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_Toc25690 </w:instrText>
      </w:r>
      <w:r>
        <w:rPr>
          <w:iCs/>
          <w:szCs w:val="24"/>
        </w:rPr>
        <w:fldChar w:fldCharType="separate"/>
      </w:r>
      <w:r>
        <w:rPr>
          <w:rFonts w:hint="eastAsia"/>
          <w:bCs/>
          <w:szCs w:val="36"/>
          <w:lang w:val="zh-CN"/>
        </w:rPr>
        <w:t>目   录</w:t>
      </w:r>
      <w:r>
        <w:tab/>
      </w:r>
      <w:r>
        <w:fldChar w:fldCharType="begin"/>
      </w:r>
      <w:r>
        <w:instrText xml:space="preserve"> PAGEREF _Toc25690 \h </w:instrText>
      </w:r>
      <w:r>
        <w:fldChar w:fldCharType="separate"/>
      </w:r>
      <w:r>
        <w:t>37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_Toc11746 </w:instrText>
      </w:r>
      <w:r>
        <w:rPr>
          <w:iCs/>
          <w:szCs w:val="24"/>
        </w:rPr>
        <w:fldChar w:fldCharType="separate"/>
      </w:r>
      <w:r>
        <w:rPr>
          <w:rFonts w:hint="eastAsia" w:ascii="宋体" w:hAnsi="宋体" w:eastAsia="宋体" w:cs="Times New Roman"/>
          <w:bCs w:val="0"/>
        </w:rPr>
        <w:t>第</w:t>
      </w:r>
      <w:r>
        <w:rPr>
          <w:rFonts w:ascii="宋体" w:hAnsi="宋体" w:eastAsia="宋体" w:cs="Times New Roman"/>
          <w:bCs w:val="0"/>
        </w:rPr>
        <w:t>一部分</w:t>
      </w:r>
      <w:r>
        <w:rPr>
          <w:rFonts w:hint="eastAsia" w:ascii="宋体" w:hAnsi="宋体" w:eastAsia="宋体" w:cs="Times New Roman"/>
          <w:bCs w:val="0"/>
        </w:rPr>
        <w:t xml:space="preserve"> 资格</w:t>
      </w:r>
      <w:r>
        <w:rPr>
          <w:rFonts w:ascii="宋体" w:hAnsi="宋体" w:eastAsia="宋体" w:cs="Times New Roman"/>
          <w:bCs w:val="0"/>
        </w:rPr>
        <w:t>证明文件</w:t>
      </w:r>
      <w:r>
        <w:tab/>
      </w:r>
      <w:r>
        <w:fldChar w:fldCharType="begin"/>
      </w:r>
      <w:r>
        <w:instrText xml:space="preserve"> PAGEREF _Toc11746 \h </w:instrText>
      </w:r>
      <w:r>
        <w:fldChar w:fldCharType="separate"/>
      </w:r>
      <w:r>
        <w:t>38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_Toc25489 </w:instrText>
      </w:r>
      <w:r>
        <w:rPr>
          <w:iCs/>
          <w:szCs w:val="24"/>
        </w:rPr>
        <w:fldChar w:fldCharType="separate"/>
      </w:r>
      <w:r>
        <w:rPr>
          <w:rFonts w:hint="eastAsia" w:ascii="宋体" w:hAnsi="宋体" w:eastAsia="宋体" w:cs="Times New Roman"/>
          <w:bCs w:val="0"/>
          <w:strike w:val="0"/>
          <w:szCs w:val="24"/>
        </w:rPr>
        <w:t xml:space="preserve">一、 </w:t>
      </w:r>
      <w:r>
        <w:rPr>
          <w:rFonts w:hint="eastAsia" w:ascii="宋体" w:hAnsi="宋体" w:eastAsia="宋体" w:cs="Times New Roman"/>
          <w:bCs w:val="0"/>
          <w:szCs w:val="24"/>
        </w:rPr>
        <w:t>资格审查对照表</w:t>
      </w:r>
      <w:r>
        <w:tab/>
      </w:r>
      <w:r>
        <w:fldChar w:fldCharType="begin"/>
      </w:r>
      <w:r>
        <w:instrText xml:space="preserve"> PAGEREF _Toc25489 \h </w:instrText>
      </w:r>
      <w:r>
        <w:fldChar w:fldCharType="separate"/>
      </w:r>
      <w:r>
        <w:t>38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_Toc31201 </w:instrText>
      </w:r>
      <w:r>
        <w:rPr>
          <w:iCs/>
          <w:szCs w:val="24"/>
        </w:rPr>
        <w:fldChar w:fldCharType="separate"/>
      </w:r>
      <w:r>
        <w:rPr>
          <w:rFonts w:hint="eastAsia" w:ascii="宋体" w:hAnsi="宋体" w:eastAsia="宋体" w:cs="Times New Roman"/>
          <w:bCs w:val="0"/>
          <w:strike w:val="0"/>
          <w:szCs w:val="24"/>
        </w:rPr>
        <w:t xml:space="preserve">二、 </w:t>
      </w:r>
      <w:r>
        <w:rPr>
          <w:rFonts w:hint="eastAsia" w:ascii="宋体" w:hAnsi="宋体" w:eastAsia="宋体" w:cs="Times New Roman"/>
          <w:bCs w:val="0"/>
          <w:szCs w:val="24"/>
        </w:rPr>
        <w:t>参加政府采购活动前三年内在经营活动中没有重大违法记录的书面声明函</w:t>
      </w:r>
      <w:r>
        <w:tab/>
      </w:r>
      <w:r>
        <w:fldChar w:fldCharType="begin"/>
      </w:r>
      <w:r>
        <w:instrText xml:space="preserve"> PAGEREF _Toc31201 \h </w:instrText>
      </w:r>
      <w:r>
        <w:fldChar w:fldCharType="separate"/>
      </w:r>
      <w:r>
        <w:t>39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_Toc1606 </w:instrText>
      </w:r>
      <w:r>
        <w:rPr>
          <w:iCs/>
          <w:szCs w:val="24"/>
        </w:rPr>
        <w:fldChar w:fldCharType="separate"/>
      </w:r>
      <w:r>
        <w:rPr>
          <w:rFonts w:hint="eastAsia" w:ascii="宋体" w:hAnsi="宋体" w:eastAsia="宋体" w:cs="Times New Roman"/>
          <w:bCs w:val="0"/>
          <w:strike w:val="0"/>
          <w:szCs w:val="24"/>
        </w:rPr>
        <w:t xml:space="preserve">三、 </w:t>
      </w:r>
      <w:r>
        <w:rPr>
          <w:rFonts w:hint="eastAsia" w:ascii="宋体" w:hAnsi="宋体" w:eastAsia="宋体" w:cs="Times New Roman"/>
          <w:bCs w:val="0"/>
          <w:szCs w:val="24"/>
        </w:rPr>
        <w:t>未与有关系的其它投标人参加同一合同采购活动的声明函</w:t>
      </w:r>
      <w:r>
        <w:tab/>
      </w:r>
      <w:r>
        <w:fldChar w:fldCharType="begin"/>
      </w:r>
      <w:r>
        <w:instrText xml:space="preserve"> PAGEREF _Toc1606 \h </w:instrText>
      </w:r>
      <w:r>
        <w:fldChar w:fldCharType="separate"/>
      </w:r>
      <w:r>
        <w:t>39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_Toc21193 </w:instrText>
      </w:r>
      <w:r>
        <w:rPr>
          <w:iCs/>
          <w:szCs w:val="24"/>
        </w:rPr>
        <w:fldChar w:fldCharType="separate"/>
      </w:r>
      <w:r>
        <w:rPr>
          <w:rFonts w:hint="eastAsia" w:ascii="宋体" w:hAnsi="宋体" w:eastAsia="宋体" w:cs="Times New Roman"/>
          <w:bCs w:val="0"/>
          <w:strike w:val="0"/>
          <w:szCs w:val="24"/>
        </w:rPr>
        <w:t xml:space="preserve">四、 </w:t>
      </w:r>
      <w:r>
        <w:rPr>
          <w:rFonts w:hint="eastAsia" w:ascii="宋体" w:hAnsi="宋体" w:eastAsia="宋体" w:cs="Times New Roman"/>
          <w:bCs w:val="0"/>
          <w:szCs w:val="24"/>
        </w:rPr>
        <w:t>未为本项目提供相关服务的声明函</w:t>
      </w:r>
      <w:r>
        <w:tab/>
      </w:r>
      <w:r>
        <w:fldChar w:fldCharType="begin"/>
      </w:r>
      <w:r>
        <w:instrText xml:space="preserve"> PAGEREF _Toc21193 \h </w:instrText>
      </w:r>
      <w:r>
        <w:fldChar w:fldCharType="separate"/>
      </w:r>
      <w:r>
        <w:t>39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_Toc14614 </w:instrText>
      </w:r>
      <w:r>
        <w:rPr>
          <w:iCs/>
          <w:szCs w:val="24"/>
        </w:rPr>
        <w:fldChar w:fldCharType="separate"/>
      </w:r>
      <w:r>
        <w:rPr>
          <w:rFonts w:hint="eastAsia" w:ascii="宋体" w:hAnsi="宋体" w:cs="Times New Roman"/>
          <w:bCs w:val="0"/>
          <w:strike w:val="0"/>
          <w:szCs w:val="24"/>
        </w:rPr>
        <w:t xml:space="preserve">五、 </w:t>
      </w:r>
      <w:r>
        <w:rPr>
          <w:rFonts w:hint="eastAsia" w:ascii="宋体" w:hAnsi="宋体" w:eastAsia="宋体" w:cs="Times New Roman"/>
          <w:bCs w:val="0"/>
          <w:szCs w:val="24"/>
        </w:rPr>
        <w:t>未被列入违法失信行为记录名单的声明函</w:t>
      </w:r>
      <w:r>
        <w:tab/>
      </w:r>
      <w:r>
        <w:fldChar w:fldCharType="begin"/>
      </w:r>
      <w:r>
        <w:instrText xml:space="preserve"> PAGEREF _Toc14614 \h </w:instrText>
      </w:r>
      <w:r>
        <w:fldChar w:fldCharType="separate"/>
      </w:r>
      <w:r>
        <w:t>40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_Toc32736 </w:instrText>
      </w:r>
      <w:r>
        <w:rPr>
          <w:iCs/>
          <w:szCs w:val="24"/>
        </w:rPr>
        <w:fldChar w:fldCharType="separate"/>
      </w:r>
      <w:r>
        <w:rPr>
          <w:rFonts w:hint="eastAsia" w:ascii="宋体" w:hAnsi="宋体" w:eastAsia="宋体" w:cs="Times New Roman"/>
          <w:bCs w:val="0"/>
          <w:strike w:val="0"/>
          <w:szCs w:val="24"/>
        </w:rPr>
        <w:t xml:space="preserve">六、 </w:t>
      </w:r>
      <w:r>
        <w:rPr>
          <w:rFonts w:hint="eastAsia" w:ascii="宋体" w:hAnsi="宋体" w:eastAsia="宋体" w:cs="Times New Roman"/>
          <w:bCs w:val="0"/>
          <w:szCs w:val="24"/>
        </w:rPr>
        <w:t>落实政府采购政策应提供的资料</w:t>
      </w:r>
      <w:r>
        <w:tab/>
      </w:r>
      <w:r>
        <w:fldChar w:fldCharType="begin"/>
      </w:r>
      <w:r>
        <w:instrText xml:space="preserve"> PAGEREF _Toc32736 \h </w:instrText>
      </w:r>
      <w:r>
        <w:fldChar w:fldCharType="separate"/>
      </w:r>
      <w:r>
        <w:t>41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_Toc26340 </w:instrText>
      </w:r>
      <w:r>
        <w:rPr>
          <w:iCs/>
          <w:szCs w:val="24"/>
        </w:rPr>
        <w:fldChar w:fldCharType="separate"/>
      </w:r>
      <w:r>
        <w:rPr>
          <w:rFonts w:hint="eastAsia" w:ascii="宋体" w:hAnsi="宋体" w:eastAsia="宋体" w:cs="Times New Roman"/>
          <w:strike w:val="0"/>
          <w:szCs w:val="24"/>
          <w:lang w:val="zh-CN"/>
        </w:rPr>
        <w:t xml:space="preserve">七、 </w:t>
      </w:r>
      <w:r>
        <w:rPr>
          <w:rFonts w:hint="eastAsia" w:ascii="宋体" w:hAnsi="宋体" w:eastAsia="宋体" w:cs="Times New Roman"/>
          <w:szCs w:val="24"/>
        </w:rPr>
        <w:t>特定</w:t>
      </w:r>
      <w:r>
        <w:rPr>
          <w:rFonts w:hint="eastAsia" w:ascii="宋体" w:hAnsi="宋体" w:eastAsia="宋体" w:cs="Times New Roman"/>
          <w:szCs w:val="24"/>
          <w:lang w:val="zh-CN"/>
        </w:rPr>
        <w:t>资格要求的证明材料</w:t>
      </w:r>
      <w:r>
        <w:tab/>
      </w:r>
      <w:r>
        <w:fldChar w:fldCharType="begin"/>
      </w:r>
      <w:r>
        <w:instrText xml:space="preserve"> PAGEREF _Toc26340 \h </w:instrText>
      </w:r>
      <w:r>
        <w:fldChar w:fldCharType="separate"/>
      </w:r>
      <w:r>
        <w:t>49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_Toc18016 </w:instrText>
      </w:r>
      <w:r>
        <w:rPr>
          <w:iCs/>
          <w:szCs w:val="24"/>
        </w:rPr>
        <w:fldChar w:fldCharType="separate"/>
      </w:r>
      <w:r>
        <w:rPr>
          <w:rFonts w:hint="eastAsia" w:ascii="宋体" w:hAnsi="宋体" w:eastAsia="宋体" w:cs="Times New Roman"/>
          <w:strike w:val="0"/>
          <w:szCs w:val="24"/>
          <w:lang w:val="zh-CN"/>
        </w:rPr>
        <w:t xml:space="preserve">八、 </w:t>
      </w:r>
      <w:r>
        <w:rPr>
          <w:rFonts w:hint="eastAsia" w:ascii="宋体" w:hAnsi="宋体" w:eastAsia="宋体" w:cs="Courier New"/>
          <w:szCs w:val="24"/>
        </w:rPr>
        <w:t>投标人认为需要的</w:t>
      </w:r>
      <w:r>
        <w:rPr>
          <w:rFonts w:hint="eastAsia" w:ascii="宋体" w:hAnsi="宋体" w:eastAsia="宋体" w:cs="Times New Roman"/>
          <w:szCs w:val="24"/>
          <w:lang w:val="zh-CN"/>
        </w:rPr>
        <w:t>其它</w:t>
      </w:r>
      <w:r>
        <w:rPr>
          <w:rFonts w:hint="eastAsia" w:ascii="宋体" w:hAnsi="宋体" w:eastAsia="宋体" w:cs="Courier New"/>
          <w:szCs w:val="24"/>
        </w:rPr>
        <w:t>资格证明材料</w:t>
      </w:r>
      <w:r>
        <w:tab/>
      </w:r>
      <w:r>
        <w:fldChar w:fldCharType="begin"/>
      </w:r>
      <w:r>
        <w:instrText xml:space="preserve"> PAGEREF _Toc18016 \h </w:instrText>
      </w:r>
      <w:r>
        <w:fldChar w:fldCharType="separate"/>
      </w:r>
      <w:r>
        <w:t>49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_Toc22078 </w:instrText>
      </w:r>
      <w:r>
        <w:rPr>
          <w:iCs/>
          <w:szCs w:val="24"/>
        </w:rPr>
        <w:fldChar w:fldCharType="separate"/>
      </w:r>
      <w:r>
        <w:rPr>
          <w:rFonts w:hint="eastAsia" w:ascii="宋体" w:hAnsi="宋体" w:eastAsia="宋体"/>
        </w:rPr>
        <w:t>第</w:t>
      </w:r>
      <w:r>
        <w:rPr>
          <w:rFonts w:ascii="宋体" w:hAnsi="宋体" w:eastAsia="宋体"/>
        </w:rPr>
        <w:t>二部分</w:t>
      </w:r>
      <w:r>
        <w:rPr>
          <w:rFonts w:hint="eastAsia" w:ascii="宋体" w:hAnsi="宋体" w:eastAsia="宋体"/>
        </w:rPr>
        <w:t xml:space="preserve"> 商务</w:t>
      </w:r>
      <w:r>
        <w:rPr>
          <w:rFonts w:ascii="宋体" w:hAnsi="宋体" w:eastAsia="宋体"/>
        </w:rPr>
        <w:t>技术文件</w:t>
      </w:r>
      <w:r>
        <w:tab/>
      </w:r>
      <w:r>
        <w:fldChar w:fldCharType="begin"/>
      </w:r>
      <w:r>
        <w:instrText xml:space="preserve"> PAGEREF _Toc22078 \h </w:instrText>
      </w:r>
      <w:r>
        <w:fldChar w:fldCharType="separate"/>
      </w:r>
      <w:r>
        <w:t>50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_Toc6113 </w:instrText>
      </w:r>
      <w:r>
        <w:rPr>
          <w:iCs/>
          <w:szCs w:val="24"/>
        </w:rPr>
        <w:fldChar w:fldCharType="separate"/>
      </w:r>
      <w:r>
        <w:rPr>
          <w:rFonts w:hint="eastAsia" w:ascii="宋体" w:hAnsi="宋体" w:eastAsia="宋体"/>
          <w:strike w:val="0"/>
          <w:szCs w:val="24"/>
        </w:rPr>
        <w:t xml:space="preserve">一、 </w:t>
      </w:r>
      <w:r>
        <w:rPr>
          <w:rFonts w:hint="eastAsia" w:ascii="宋体" w:hAnsi="宋体" w:eastAsia="宋体"/>
          <w:szCs w:val="24"/>
        </w:rPr>
        <w:t>符合性审查对照表</w:t>
      </w:r>
      <w:r>
        <w:tab/>
      </w:r>
      <w:r>
        <w:fldChar w:fldCharType="begin"/>
      </w:r>
      <w:r>
        <w:instrText xml:space="preserve"> PAGEREF _Toc6113 \h </w:instrText>
      </w:r>
      <w:r>
        <w:fldChar w:fldCharType="separate"/>
      </w:r>
      <w:r>
        <w:t>50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_Toc10428 </w:instrText>
      </w:r>
      <w:r>
        <w:rPr>
          <w:iCs/>
          <w:szCs w:val="24"/>
        </w:rPr>
        <w:fldChar w:fldCharType="separate"/>
      </w:r>
      <w:r>
        <w:rPr>
          <w:rFonts w:hint="eastAsia" w:ascii="宋体" w:hAnsi="宋体" w:eastAsia="宋体"/>
          <w:strike w:val="0"/>
          <w:szCs w:val="24"/>
        </w:rPr>
        <w:t xml:space="preserve">二、 </w:t>
      </w:r>
      <w:r>
        <w:rPr>
          <w:rFonts w:hint="eastAsia" w:ascii="宋体" w:hAnsi="宋体" w:eastAsia="宋体"/>
          <w:szCs w:val="24"/>
        </w:rPr>
        <w:t>商务</w:t>
      </w:r>
      <w:r>
        <w:rPr>
          <w:rFonts w:hint="eastAsia" w:ascii="宋体" w:hAnsi="宋体" w:eastAsia="宋体" w:cs="Times New Roman"/>
          <w:bCs w:val="0"/>
          <w:szCs w:val="24"/>
        </w:rPr>
        <w:t>要求</w:t>
      </w:r>
      <w:r>
        <w:rPr>
          <w:rFonts w:hint="eastAsia" w:ascii="宋体" w:hAnsi="宋体" w:eastAsia="宋体"/>
          <w:szCs w:val="24"/>
        </w:rPr>
        <w:t>响应偏离说明表</w:t>
      </w:r>
      <w:r>
        <w:tab/>
      </w:r>
      <w:r>
        <w:fldChar w:fldCharType="begin"/>
      </w:r>
      <w:r>
        <w:instrText xml:space="preserve"> PAGEREF _Toc10428 \h </w:instrText>
      </w:r>
      <w:r>
        <w:fldChar w:fldCharType="separate"/>
      </w:r>
      <w:r>
        <w:t>51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_Toc22216 </w:instrText>
      </w:r>
      <w:r>
        <w:rPr>
          <w:iCs/>
          <w:szCs w:val="24"/>
        </w:rPr>
        <w:fldChar w:fldCharType="separate"/>
      </w:r>
      <w:r>
        <w:rPr>
          <w:rFonts w:hint="eastAsia" w:ascii="宋体" w:hAnsi="宋体" w:eastAsia="宋体"/>
          <w:strike w:val="0"/>
          <w:szCs w:val="24"/>
        </w:rPr>
        <w:t xml:space="preserve">三、 </w:t>
      </w:r>
      <w:r>
        <w:rPr>
          <w:rFonts w:hint="eastAsia" w:ascii="宋体" w:hAnsi="宋体" w:eastAsia="宋体"/>
          <w:szCs w:val="24"/>
        </w:rPr>
        <w:t>技术要求</w:t>
      </w:r>
      <w:r>
        <w:rPr>
          <w:rFonts w:hint="eastAsia" w:ascii="宋体" w:hAnsi="宋体" w:eastAsia="宋体" w:cs="Times New Roman"/>
          <w:bCs w:val="0"/>
          <w:szCs w:val="24"/>
        </w:rPr>
        <w:t>响应</w:t>
      </w:r>
      <w:r>
        <w:rPr>
          <w:rFonts w:hint="eastAsia" w:ascii="宋体" w:hAnsi="宋体" w:eastAsia="宋体"/>
          <w:szCs w:val="24"/>
        </w:rPr>
        <w:t>偏离说明表</w:t>
      </w:r>
      <w:r>
        <w:tab/>
      </w:r>
      <w:r>
        <w:fldChar w:fldCharType="begin"/>
      </w:r>
      <w:r>
        <w:instrText xml:space="preserve"> PAGEREF _Toc22216 \h </w:instrText>
      </w:r>
      <w:r>
        <w:fldChar w:fldCharType="separate"/>
      </w:r>
      <w:r>
        <w:t>52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_Toc9434 </w:instrText>
      </w:r>
      <w:r>
        <w:rPr>
          <w:iCs/>
          <w:szCs w:val="24"/>
        </w:rPr>
        <w:fldChar w:fldCharType="separate"/>
      </w:r>
      <w:r>
        <w:rPr>
          <w:rFonts w:hint="eastAsia" w:ascii="宋体" w:hAnsi="宋体" w:eastAsia="宋体"/>
          <w:strike w:val="0"/>
          <w:szCs w:val="24"/>
        </w:rPr>
        <w:t xml:space="preserve">四、 </w:t>
      </w:r>
      <w:r>
        <w:rPr>
          <w:rFonts w:hint="eastAsia" w:ascii="宋体" w:hAnsi="宋体" w:eastAsia="宋体"/>
          <w:szCs w:val="24"/>
        </w:rPr>
        <w:t>商务评分对照表</w:t>
      </w:r>
      <w:r>
        <w:tab/>
      </w:r>
      <w:r>
        <w:fldChar w:fldCharType="begin"/>
      </w:r>
      <w:r>
        <w:instrText xml:space="preserve"> PAGEREF _Toc9434 \h </w:instrText>
      </w:r>
      <w:r>
        <w:fldChar w:fldCharType="separate"/>
      </w:r>
      <w:r>
        <w:t>53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_Toc31162 </w:instrText>
      </w:r>
      <w:r>
        <w:rPr>
          <w:iCs/>
          <w:szCs w:val="24"/>
        </w:rPr>
        <w:fldChar w:fldCharType="separate"/>
      </w:r>
      <w:r>
        <w:rPr>
          <w:rFonts w:hint="eastAsia" w:ascii="宋体" w:hAnsi="宋体" w:eastAsia="宋体"/>
          <w:strike w:val="0"/>
          <w:szCs w:val="24"/>
        </w:rPr>
        <w:t xml:space="preserve">五、 </w:t>
      </w:r>
      <w:r>
        <w:rPr>
          <w:rFonts w:hint="eastAsia" w:ascii="宋体" w:hAnsi="宋体" w:eastAsia="宋体"/>
          <w:szCs w:val="24"/>
        </w:rPr>
        <w:t>技术评分对照表</w:t>
      </w:r>
      <w:r>
        <w:tab/>
      </w:r>
      <w:r>
        <w:fldChar w:fldCharType="begin"/>
      </w:r>
      <w:r>
        <w:instrText xml:space="preserve"> PAGEREF _Toc31162 \h </w:instrText>
      </w:r>
      <w:r>
        <w:fldChar w:fldCharType="separate"/>
      </w:r>
      <w:r>
        <w:t>54</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_Toc21607 </w:instrText>
      </w:r>
      <w:r>
        <w:rPr>
          <w:iCs/>
          <w:szCs w:val="24"/>
        </w:rPr>
        <w:fldChar w:fldCharType="separate"/>
      </w:r>
      <w:r>
        <w:rPr>
          <w:rFonts w:hint="eastAsia" w:ascii="宋体" w:hAnsi="宋体" w:eastAsia="宋体"/>
          <w:strike w:val="0"/>
          <w:szCs w:val="24"/>
        </w:rPr>
        <w:t xml:space="preserve">六、 </w:t>
      </w:r>
      <w:r>
        <w:rPr>
          <w:rFonts w:hint="eastAsia" w:ascii="宋体" w:hAnsi="宋体" w:eastAsia="宋体"/>
          <w:szCs w:val="24"/>
        </w:rPr>
        <w:t>投标书</w:t>
      </w:r>
      <w:r>
        <w:tab/>
      </w:r>
      <w:r>
        <w:fldChar w:fldCharType="begin"/>
      </w:r>
      <w:r>
        <w:instrText xml:space="preserve"> PAGEREF _Toc21607 \h </w:instrText>
      </w:r>
      <w:r>
        <w:fldChar w:fldCharType="separate"/>
      </w:r>
      <w:r>
        <w:t>55</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_Toc28852 </w:instrText>
      </w:r>
      <w:r>
        <w:rPr>
          <w:iCs/>
          <w:szCs w:val="24"/>
        </w:rPr>
        <w:fldChar w:fldCharType="separate"/>
      </w:r>
      <w:r>
        <w:rPr>
          <w:rFonts w:hint="eastAsia" w:ascii="宋体" w:hAnsi="宋体" w:eastAsia="宋体"/>
          <w:strike w:val="0"/>
          <w:szCs w:val="24"/>
        </w:rPr>
        <w:t xml:space="preserve">七、 </w:t>
      </w:r>
      <w:r>
        <w:rPr>
          <w:rFonts w:hint="eastAsia" w:ascii="宋体" w:hAnsi="宋体" w:eastAsia="宋体"/>
          <w:szCs w:val="24"/>
        </w:rPr>
        <w:t>开标</w:t>
      </w:r>
      <w:r>
        <w:rPr>
          <w:rFonts w:hint="eastAsia" w:ascii="宋体" w:hAnsi="宋体" w:eastAsia="宋体" w:cs="Times New Roman"/>
          <w:bCs w:val="0"/>
          <w:szCs w:val="24"/>
        </w:rPr>
        <w:t>一览表</w:t>
      </w:r>
      <w:r>
        <w:tab/>
      </w:r>
      <w:r>
        <w:fldChar w:fldCharType="begin"/>
      </w:r>
      <w:r>
        <w:instrText xml:space="preserve"> PAGEREF _Toc28852 \h </w:instrText>
      </w:r>
      <w:r>
        <w:fldChar w:fldCharType="separate"/>
      </w:r>
      <w:r>
        <w:t>56</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_Toc12932 </w:instrText>
      </w:r>
      <w:r>
        <w:rPr>
          <w:iCs/>
          <w:szCs w:val="24"/>
        </w:rPr>
        <w:fldChar w:fldCharType="separate"/>
      </w:r>
      <w:r>
        <w:rPr>
          <w:rFonts w:hint="eastAsia" w:ascii="宋体" w:hAnsi="宋体" w:cs="Times New Roman"/>
          <w:strike w:val="0"/>
          <w:szCs w:val="24"/>
        </w:rPr>
        <w:t xml:space="preserve">八、 </w:t>
      </w:r>
      <w:r>
        <w:rPr>
          <w:rFonts w:hint="eastAsia" w:ascii="宋体" w:hAnsi="宋体" w:cs="Times New Roman"/>
          <w:szCs w:val="24"/>
        </w:rPr>
        <w:t>投标报价明细表</w:t>
      </w:r>
      <w:r>
        <w:tab/>
      </w:r>
      <w:r>
        <w:fldChar w:fldCharType="begin"/>
      </w:r>
      <w:r>
        <w:instrText xml:space="preserve"> PAGEREF _Toc12932 \h </w:instrText>
      </w:r>
      <w:r>
        <w:fldChar w:fldCharType="separate"/>
      </w:r>
      <w:r>
        <w:t>56</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_Toc5601 </w:instrText>
      </w:r>
      <w:r>
        <w:rPr>
          <w:iCs/>
          <w:szCs w:val="24"/>
        </w:rPr>
        <w:fldChar w:fldCharType="separate"/>
      </w:r>
      <w:r>
        <w:rPr>
          <w:rFonts w:hint="eastAsia" w:ascii="宋体" w:hAnsi="宋体" w:eastAsia="宋体"/>
          <w:strike w:val="0"/>
          <w:szCs w:val="24"/>
        </w:rPr>
        <w:t xml:space="preserve">九、 </w:t>
      </w:r>
      <w:r>
        <w:rPr>
          <w:rFonts w:hint="eastAsia" w:ascii="宋体" w:hAnsi="宋体" w:eastAsia="宋体"/>
          <w:szCs w:val="24"/>
        </w:rPr>
        <w:t>法定代表人身份证明</w:t>
      </w:r>
      <w:r>
        <w:tab/>
      </w:r>
      <w:r>
        <w:fldChar w:fldCharType="begin"/>
      </w:r>
      <w:r>
        <w:instrText xml:space="preserve"> PAGEREF _Toc5601 \h </w:instrText>
      </w:r>
      <w:r>
        <w:fldChar w:fldCharType="separate"/>
      </w:r>
      <w:r>
        <w:t>57</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_Toc27284 </w:instrText>
      </w:r>
      <w:r>
        <w:rPr>
          <w:iCs/>
          <w:szCs w:val="24"/>
        </w:rPr>
        <w:fldChar w:fldCharType="separate"/>
      </w:r>
      <w:r>
        <w:rPr>
          <w:rFonts w:hint="eastAsia" w:ascii="宋体" w:hAnsi="宋体" w:eastAsia="宋体"/>
          <w:strike w:val="0"/>
          <w:szCs w:val="24"/>
        </w:rPr>
        <w:t xml:space="preserve">十、 </w:t>
      </w:r>
      <w:r>
        <w:rPr>
          <w:rFonts w:hint="eastAsia" w:ascii="宋体" w:hAnsi="宋体" w:eastAsia="宋体"/>
          <w:szCs w:val="24"/>
        </w:rPr>
        <w:t>法定代表人授权书</w:t>
      </w:r>
      <w:r>
        <w:tab/>
      </w:r>
      <w:r>
        <w:fldChar w:fldCharType="begin"/>
      </w:r>
      <w:r>
        <w:instrText xml:space="preserve"> PAGEREF _Toc27284 \h </w:instrText>
      </w:r>
      <w:r>
        <w:fldChar w:fldCharType="separate"/>
      </w:r>
      <w:r>
        <w:t>58</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_Toc17547 </w:instrText>
      </w:r>
      <w:r>
        <w:rPr>
          <w:iCs/>
          <w:szCs w:val="24"/>
        </w:rPr>
        <w:fldChar w:fldCharType="separate"/>
      </w:r>
      <w:r>
        <w:rPr>
          <w:rFonts w:hint="eastAsia" w:ascii="宋体" w:hAnsi="宋体" w:eastAsia="宋体"/>
          <w:strike w:val="0"/>
          <w:szCs w:val="24"/>
        </w:rPr>
        <w:t xml:space="preserve">十一、 </w:t>
      </w:r>
      <w:r>
        <w:rPr>
          <w:rFonts w:hint="eastAsia" w:ascii="宋体" w:hAnsi="宋体" w:eastAsia="宋体"/>
          <w:szCs w:val="24"/>
        </w:rPr>
        <w:t>项目负责人、技术负责人简历表</w:t>
      </w:r>
      <w:r>
        <w:tab/>
      </w:r>
      <w:r>
        <w:fldChar w:fldCharType="begin"/>
      </w:r>
      <w:r>
        <w:instrText xml:space="preserve"> PAGEREF _Toc17547 \h </w:instrText>
      </w:r>
      <w:r>
        <w:fldChar w:fldCharType="separate"/>
      </w:r>
      <w:r>
        <w:t>59</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_Toc13271 </w:instrText>
      </w:r>
      <w:r>
        <w:rPr>
          <w:iCs/>
          <w:szCs w:val="24"/>
        </w:rPr>
        <w:fldChar w:fldCharType="separate"/>
      </w:r>
      <w:r>
        <w:rPr>
          <w:rFonts w:hint="eastAsia" w:ascii="宋体" w:hAnsi="宋体" w:eastAsia="宋体"/>
          <w:strike w:val="0"/>
          <w:szCs w:val="24"/>
        </w:rPr>
        <w:t xml:space="preserve">十二、 </w:t>
      </w:r>
      <w:r>
        <w:rPr>
          <w:rFonts w:hint="eastAsia" w:ascii="宋体" w:hAnsi="宋体" w:eastAsia="宋体"/>
          <w:szCs w:val="24"/>
        </w:rPr>
        <w:t>项目班子成员情况表</w:t>
      </w:r>
      <w:r>
        <w:tab/>
      </w:r>
      <w:r>
        <w:fldChar w:fldCharType="begin"/>
      </w:r>
      <w:r>
        <w:instrText xml:space="preserve"> PAGEREF _Toc13271 \h </w:instrText>
      </w:r>
      <w:r>
        <w:fldChar w:fldCharType="separate"/>
      </w:r>
      <w:r>
        <w:t>60</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_Toc420 </w:instrText>
      </w:r>
      <w:r>
        <w:rPr>
          <w:iCs/>
          <w:szCs w:val="24"/>
        </w:rPr>
        <w:fldChar w:fldCharType="separate"/>
      </w:r>
      <w:r>
        <w:rPr>
          <w:rFonts w:hint="eastAsia" w:ascii="宋体" w:hAnsi="宋体" w:eastAsia="宋体"/>
          <w:strike w:val="0"/>
          <w:szCs w:val="24"/>
        </w:rPr>
        <w:t xml:space="preserve">十三、 </w:t>
      </w:r>
      <w:r>
        <w:rPr>
          <w:rFonts w:hint="eastAsia" w:ascii="宋体" w:hAnsi="宋体" w:eastAsia="宋体"/>
          <w:szCs w:val="24"/>
        </w:rPr>
        <w:t>投标人类似项目业绩表</w:t>
      </w:r>
      <w:r>
        <w:tab/>
      </w:r>
      <w:r>
        <w:fldChar w:fldCharType="begin"/>
      </w:r>
      <w:r>
        <w:instrText xml:space="preserve"> PAGEREF _Toc420 \h </w:instrText>
      </w:r>
      <w:r>
        <w:fldChar w:fldCharType="separate"/>
      </w:r>
      <w:r>
        <w:t>61</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_Toc30106 </w:instrText>
      </w:r>
      <w:r>
        <w:rPr>
          <w:iCs/>
          <w:szCs w:val="24"/>
        </w:rPr>
        <w:fldChar w:fldCharType="separate"/>
      </w:r>
      <w:r>
        <w:rPr>
          <w:rFonts w:hint="eastAsia"/>
          <w:strike w:val="0"/>
          <w:szCs w:val="24"/>
        </w:rPr>
        <w:t xml:space="preserve">十四、 </w:t>
      </w:r>
      <w:r>
        <w:rPr>
          <w:rFonts w:hint="eastAsia"/>
          <w:szCs w:val="24"/>
        </w:rPr>
        <w:t>节能</w:t>
      </w:r>
      <w:r>
        <w:rPr>
          <w:szCs w:val="24"/>
        </w:rPr>
        <w:t>、环保、创新产品</w:t>
      </w:r>
      <w:r>
        <w:rPr>
          <w:rFonts w:hint="eastAsia"/>
          <w:szCs w:val="24"/>
        </w:rPr>
        <w:t>明细</w:t>
      </w:r>
      <w:r>
        <w:rPr>
          <w:szCs w:val="24"/>
        </w:rPr>
        <w:t>清单及证明</w:t>
      </w:r>
      <w:r>
        <w:rPr>
          <w:rFonts w:hint="eastAsia"/>
          <w:szCs w:val="24"/>
        </w:rPr>
        <w:t>材料</w:t>
      </w:r>
      <w:r>
        <w:rPr>
          <w:rFonts w:hint="eastAsia" w:ascii="宋体" w:hAnsi="宋体" w:eastAsia="宋体"/>
          <w:szCs w:val="24"/>
        </w:rPr>
        <w:t>（此表非必填项</w:t>
      </w:r>
      <w:r>
        <w:rPr>
          <w:rFonts w:hint="eastAsia" w:ascii="宋体" w:hAnsi="宋体" w:eastAsia="宋体"/>
          <w:szCs w:val="24"/>
          <w:lang w:eastAsia="zh-CN"/>
        </w:rPr>
        <w:t>，</w:t>
      </w:r>
      <w:r>
        <w:rPr>
          <w:rFonts w:hint="eastAsia" w:ascii="宋体" w:hAnsi="宋体" w:eastAsia="宋体"/>
          <w:szCs w:val="24"/>
        </w:rPr>
        <w:t>可选择填写）</w:t>
      </w:r>
      <w:r>
        <w:tab/>
      </w:r>
      <w:r>
        <w:fldChar w:fldCharType="begin"/>
      </w:r>
      <w:r>
        <w:instrText xml:space="preserve"> PAGEREF _Toc30106 \h </w:instrText>
      </w:r>
      <w:r>
        <w:fldChar w:fldCharType="separate"/>
      </w:r>
      <w:r>
        <w:t>62</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_Toc15425 </w:instrText>
      </w:r>
      <w:r>
        <w:rPr>
          <w:iCs/>
          <w:szCs w:val="24"/>
        </w:rPr>
        <w:fldChar w:fldCharType="separate"/>
      </w:r>
      <w:r>
        <w:rPr>
          <w:rFonts w:hint="eastAsia" w:ascii="宋体" w:hAnsi="宋体" w:eastAsia="宋体"/>
          <w:strike w:val="0"/>
          <w:szCs w:val="24"/>
        </w:rPr>
        <w:t xml:space="preserve">十五、 </w:t>
      </w:r>
      <w:r>
        <w:rPr>
          <w:rFonts w:hint="eastAsia" w:ascii="宋体" w:hAnsi="宋体" w:eastAsia="宋体"/>
          <w:szCs w:val="24"/>
        </w:rPr>
        <w:t>享受价格扣除优惠政策应提供的材料</w:t>
      </w:r>
      <w:r>
        <w:tab/>
      </w:r>
      <w:r>
        <w:fldChar w:fldCharType="begin"/>
      </w:r>
      <w:r>
        <w:instrText xml:space="preserve"> PAGEREF _Toc15425 \h </w:instrText>
      </w:r>
      <w:r>
        <w:fldChar w:fldCharType="separate"/>
      </w:r>
      <w:r>
        <w:t>63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_Toc17788 </w:instrText>
      </w:r>
      <w:r>
        <w:rPr>
          <w:iCs/>
          <w:szCs w:val="24"/>
        </w:rPr>
        <w:fldChar w:fldCharType="separate"/>
      </w:r>
      <w:r>
        <w:rPr>
          <w:rFonts w:hint="eastAsia" w:ascii="宋体" w:hAnsi="宋体" w:eastAsia="宋体" w:cs="Times New Roman"/>
          <w:strike w:val="0"/>
          <w:szCs w:val="24"/>
        </w:rPr>
        <w:t xml:space="preserve">十六、 </w:t>
      </w:r>
      <w:r>
        <w:rPr>
          <w:rFonts w:hint="eastAsia" w:ascii="宋体" w:hAnsi="宋体" w:eastAsia="宋体" w:cs="Times New Roman"/>
          <w:szCs w:val="24"/>
        </w:rPr>
        <w:t>投标货物（或服务）介绍，项目建设（服务）方案</w:t>
      </w:r>
      <w:r>
        <w:tab/>
      </w:r>
      <w:r>
        <w:fldChar w:fldCharType="begin"/>
      </w:r>
      <w:r>
        <w:instrText xml:space="preserve"> PAGEREF _Toc17788 \h </w:instrText>
      </w:r>
      <w:r>
        <w:fldChar w:fldCharType="separate"/>
      </w:r>
      <w:r>
        <w:t>63</w:t>
      </w:r>
      <w:r>
        <w:fldChar w:fldCharType="end"/>
      </w:r>
      <w:r>
        <w:rPr>
          <w:iCs/>
          <w:szCs w:val="24"/>
        </w:rPr>
        <w:fldChar w:fldCharType="end"/>
      </w:r>
    </w:p>
    <w:p>
      <w:pPr>
        <w:pStyle w:val="25"/>
        <w:tabs>
          <w:tab w:val="right" w:leader="dot" w:pos="9524"/>
        </w:tabs>
      </w:pPr>
      <w:r>
        <w:rPr>
          <w:iCs/>
          <w:szCs w:val="24"/>
        </w:rPr>
        <w:fldChar w:fldCharType="begin"/>
      </w:r>
      <w:r>
        <w:rPr>
          <w:iCs/>
          <w:szCs w:val="24"/>
        </w:rPr>
        <w:instrText xml:space="preserve"> HYPERLINK \l _Toc13032 </w:instrText>
      </w:r>
      <w:r>
        <w:rPr>
          <w:iCs/>
          <w:szCs w:val="24"/>
        </w:rPr>
        <w:fldChar w:fldCharType="separate"/>
      </w:r>
      <w:r>
        <w:rPr>
          <w:rFonts w:hint="eastAsia" w:ascii="宋体" w:hAnsi="宋体" w:eastAsia="宋体" w:cs="Times New Roman"/>
          <w:strike w:val="0"/>
          <w:szCs w:val="24"/>
        </w:rPr>
        <w:t xml:space="preserve">十七、 </w:t>
      </w:r>
      <w:r>
        <w:rPr>
          <w:rFonts w:hint="eastAsia" w:ascii="宋体" w:hAnsi="宋体" w:eastAsia="宋体" w:cs="Times New Roman"/>
          <w:szCs w:val="24"/>
        </w:rPr>
        <w:t>招标文件要求提供或投标人认为需提供的其它资料</w:t>
      </w:r>
      <w:r>
        <w:tab/>
      </w:r>
      <w:r>
        <w:fldChar w:fldCharType="begin"/>
      </w:r>
      <w:r>
        <w:instrText xml:space="preserve"> PAGEREF _Toc13032 \h </w:instrText>
      </w:r>
      <w:r>
        <w:fldChar w:fldCharType="separate"/>
      </w:r>
      <w:r>
        <w:t>63</w:t>
      </w:r>
      <w:r>
        <w:fldChar w:fldCharType="end"/>
      </w:r>
      <w:r>
        <w:rPr>
          <w:iCs/>
          <w:szCs w:val="24"/>
        </w:rPr>
        <w:fldChar w:fldCharType="end"/>
      </w:r>
    </w:p>
    <w:p>
      <w:pPr>
        <w:pStyle w:val="21"/>
        <w:tabs>
          <w:tab w:val="left" w:pos="1050"/>
          <w:tab w:val="right" w:leader="dot" w:pos="9514"/>
        </w:tabs>
        <w:rPr>
          <w:b w:val="0"/>
          <w:bCs w:val="0"/>
          <w:szCs w:val="24"/>
        </w:rPr>
        <w:sectPr>
          <w:headerReference r:id="rId3" w:type="default"/>
          <w:footerReference r:id="rId4" w:type="default"/>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AndChars" w:linePitch="312" w:charSpace="0"/>
        </w:sectPr>
      </w:pPr>
      <w:r>
        <w:rPr>
          <w:b w:val="0"/>
          <w:iCs/>
          <w:szCs w:val="24"/>
        </w:rPr>
        <w:fldChar w:fldCharType="end"/>
      </w:r>
    </w:p>
    <w:p>
      <w:pPr>
        <w:pStyle w:val="2"/>
        <w:numPr>
          <w:ilvl w:val="0"/>
          <w:numId w:val="1"/>
        </w:numPr>
        <w:tabs>
          <w:tab w:val="left" w:pos="1276"/>
        </w:tabs>
        <w:wordWrap w:val="0"/>
        <w:spacing w:before="120" w:after="120" w:line="360" w:lineRule="auto"/>
        <w:ind w:left="723" w:hanging="720" w:hangingChars="200"/>
        <w:jc w:val="center"/>
        <w:rPr>
          <w:sz w:val="36"/>
          <w:szCs w:val="36"/>
        </w:rPr>
      </w:pPr>
      <w:bookmarkStart w:id="2" w:name="_Toc102056166"/>
      <w:bookmarkStart w:id="3" w:name="_Toc102119799"/>
      <w:bookmarkStart w:id="4" w:name="_Toc102116098"/>
      <w:bookmarkStart w:id="5" w:name="_Toc102115968"/>
      <w:bookmarkStart w:id="6" w:name="_Toc117244347"/>
      <w:bookmarkStart w:id="7" w:name="_Toc102114866"/>
      <w:bookmarkStart w:id="8" w:name="_Toc102057666"/>
      <w:bookmarkStart w:id="9" w:name="_Toc32298"/>
      <w:bookmarkStart w:id="10" w:name="_Toc117244462"/>
      <w:r>
        <w:rPr>
          <w:rFonts w:hint="eastAsia"/>
          <w:sz w:val="36"/>
          <w:szCs w:val="36"/>
        </w:rPr>
        <w:t>投标邀请</w:t>
      </w:r>
      <w:bookmarkEnd w:id="0"/>
      <w:bookmarkEnd w:id="1"/>
      <w:bookmarkEnd w:id="2"/>
      <w:bookmarkEnd w:id="3"/>
      <w:bookmarkEnd w:id="4"/>
      <w:bookmarkEnd w:id="5"/>
      <w:bookmarkEnd w:id="6"/>
      <w:bookmarkEnd w:id="7"/>
      <w:bookmarkEnd w:id="8"/>
      <w:bookmarkEnd w:id="9"/>
      <w:bookmarkEnd w:id="10"/>
    </w:p>
    <w:tbl>
      <w:tblPr>
        <w:tblStyle w:val="30"/>
        <w:tblW w:w="0" w:type="auto"/>
        <w:jc w:val="center"/>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Layout w:type="autofit"/>
        <w:tblCellMar>
          <w:top w:w="0" w:type="dxa"/>
          <w:left w:w="108" w:type="dxa"/>
          <w:bottom w:w="0" w:type="dxa"/>
          <w:right w:w="108" w:type="dxa"/>
        </w:tblCellMar>
      </w:tblPr>
      <w:tblGrid>
        <w:gridCol w:w="9740"/>
      </w:tblGrid>
      <w:tr>
        <w:tblPrEx>
          <w:tblBorders>
            <w:top w:val="single" w:color="auto" w:sz="12" w:space="0"/>
            <w:left w:val="single" w:color="auto" w:sz="12" w:space="0"/>
            <w:bottom w:val="single" w:color="auto" w:sz="12" w:space="0"/>
            <w:right w:val="single" w:color="auto" w:sz="12" w:space="0"/>
            <w:insideH w:val="single" w:color="auto" w:sz="4" w:space="0"/>
            <w:insideV w:val="none" w:color="auto" w:sz="0" w:space="0"/>
          </w:tblBorders>
          <w:tblCellMar>
            <w:top w:w="0" w:type="dxa"/>
            <w:left w:w="108" w:type="dxa"/>
            <w:bottom w:w="0" w:type="dxa"/>
            <w:right w:w="108" w:type="dxa"/>
          </w:tblCellMar>
        </w:tblPrEx>
        <w:trPr>
          <w:trHeight w:val="1830" w:hRule="atLeast"/>
          <w:jc w:val="center"/>
        </w:trPr>
        <w:tc>
          <w:tcPr>
            <w:tcW w:w="9740" w:type="dxa"/>
            <w:tcBorders>
              <w:tl2br w:val="nil"/>
              <w:tr2bl w:val="nil"/>
            </w:tcBorders>
            <w:noWrap w:val="0"/>
            <w:vAlign w:val="top"/>
          </w:tcPr>
          <w:p>
            <w:pPr>
              <w:wordWrap w:val="0"/>
              <w:spacing w:line="360" w:lineRule="auto"/>
              <w:rPr>
                <w:szCs w:val="24"/>
              </w:rPr>
            </w:pPr>
            <w:r>
              <w:rPr>
                <w:rFonts w:hint="eastAsia"/>
                <w:szCs w:val="24"/>
              </w:rPr>
              <w:t>项目概况：</w:t>
            </w:r>
          </w:p>
          <w:p>
            <w:pPr>
              <w:wordWrap w:val="0"/>
              <w:spacing w:line="360" w:lineRule="auto"/>
              <w:ind w:firstLine="480" w:firstLineChars="200"/>
              <w:rPr>
                <w:szCs w:val="24"/>
              </w:rPr>
            </w:pPr>
            <w:r>
              <w:rPr>
                <w:rFonts w:hint="eastAsia"/>
                <w:szCs w:val="24"/>
                <w:u w:val="single"/>
              </w:rPr>
              <w:t>黄冈市国土绿化示范项目碳汇成效监测与潜力评估</w:t>
            </w:r>
            <w:r>
              <w:rPr>
                <w:rFonts w:hint="eastAsia"/>
                <w:szCs w:val="24"/>
              </w:rPr>
              <w:t>的潜在投标人应在</w:t>
            </w:r>
            <w:r>
              <w:rPr>
                <w:rFonts w:hint="eastAsia"/>
                <w:szCs w:val="24"/>
                <w:lang w:val="en-US" w:eastAsia="zh-CN"/>
              </w:rPr>
              <w:t>中国</w:t>
            </w:r>
            <w:r>
              <w:rPr>
                <w:rFonts w:hint="eastAsia"/>
                <w:szCs w:val="24"/>
              </w:rPr>
              <w:t>湖北政府采购网（http://www.ccgp-hubei.gov.cn）或</w:t>
            </w:r>
            <w:r>
              <w:rPr>
                <w:rFonts w:hint="eastAsia"/>
                <w:szCs w:val="24"/>
                <w:lang w:eastAsia="zh-CN"/>
              </w:rPr>
              <w:t>黄冈市</w:t>
            </w:r>
            <w:r>
              <w:rPr>
                <w:rFonts w:hint="eastAsia"/>
                <w:szCs w:val="24"/>
              </w:rPr>
              <w:t>公共资源交易中心网（http://www.hgggzy.com）获取招标文件，并于20</w:t>
            </w:r>
            <w:r>
              <w:rPr>
                <w:rFonts w:hint="eastAsia"/>
                <w:szCs w:val="24"/>
                <w:lang w:val="en-US" w:eastAsia="zh-CN"/>
              </w:rPr>
              <w:t>24</w:t>
            </w:r>
            <w:r>
              <w:rPr>
                <w:rFonts w:hint="eastAsia"/>
                <w:szCs w:val="24"/>
              </w:rPr>
              <w:t>年</w:t>
            </w:r>
            <w:r>
              <w:rPr>
                <w:rFonts w:hint="eastAsia"/>
                <w:szCs w:val="24"/>
                <w:lang w:val="en-US" w:eastAsia="zh-CN"/>
              </w:rPr>
              <w:t xml:space="preserve"> 1 </w:t>
            </w:r>
            <w:r>
              <w:rPr>
                <w:rFonts w:hint="eastAsia"/>
                <w:szCs w:val="24"/>
              </w:rPr>
              <w:t>月</w:t>
            </w:r>
            <w:r>
              <w:rPr>
                <w:rFonts w:hint="eastAsia"/>
                <w:szCs w:val="24"/>
                <w:lang w:val="en-US" w:eastAsia="zh-CN"/>
              </w:rPr>
              <w:t xml:space="preserve"> 16 </w:t>
            </w:r>
            <w:r>
              <w:rPr>
                <w:rFonts w:hint="eastAsia"/>
                <w:szCs w:val="24"/>
              </w:rPr>
              <w:t>日</w:t>
            </w:r>
            <w:r>
              <w:rPr>
                <w:rFonts w:hint="eastAsia" w:cs="宋体"/>
                <w:sz w:val="24"/>
                <w:szCs w:val="24"/>
                <w:lang w:val="en-US" w:eastAsia="zh-CN"/>
              </w:rPr>
              <w:t>9</w:t>
            </w:r>
            <w:r>
              <w:rPr>
                <w:rFonts w:hint="eastAsia"/>
                <w:szCs w:val="24"/>
              </w:rPr>
              <w:t>点</w:t>
            </w:r>
            <w:r>
              <w:rPr>
                <w:rFonts w:hint="eastAsia" w:cs="宋体"/>
                <w:sz w:val="24"/>
                <w:szCs w:val="24"/>
                <w:lang w:val="en-US" w:eastAsia="zh-CN"/>
              </w:rPr>
              <w:t>30</w:t>
            </w:r>
            <w:r>
              <w:rPr>
                <w:rFonts w:hint="eastAsia"/>
                <w:szCs w:val="24"/>
              </w:rPr>
              <w:t>分（北京时间）前递交投标文件。</w:t>
            </w:r>
          </w:p>
        </w:tc>
      </w:tr>
    </w:tbl>
    <w:p>
      <w:pPr>
        <w:spacing w:line="360" w:lineRule="auto"/>
        <w:rPr>
          <w:b/>
          <w:szCs w:val="24"/>
        </w:rPr>
      </w:pPr>
      <w:bookmarkStart w:id="11" w:name="_Toc102116099"/>
      <w:bookmarkStart w:id="12" w:name="_Toc102114867"/>
      <w:bookmarkStart w:id="13" w:name="_Toc102056167"/>
      <w:bookmarkStart w:id="14" w:name="_Toc102115969"/>
      <w:bookmarkStart w:id="15" w:name="_Toc102119800"/>
      <w:bookmarkStart w:id="16" w:name="_Toc102057667"/>
      <w:r>
        <w:rPr>
          <w:rFonts w:hint="eastAsia"/>
          <w:b/>
          <w:szCs w:val="24"/>
        </w:rPr>
        <w:t>一</w:t>
      </w:r>
      <w:r>
        <w:rPr>
          <w:b/>
          <w:szCs w:val="24"/>
        </w:rPr>
        <w:t>、</w:t>
      </w:r>
      <w:r>
        <w:rPr>
          <w:rFonts w:hint="eastAsia"/>
          <w:b/>
          <w:szCs w:val="24"/>
        </w:rPr>
        <w:t>项目基本情况</w:t>
      </w:r>
      <w:bookmarkEnd w:id="11"/>
      <w:bookmarkEnd w:id="12"/>
      <w:bookmarkEnd w:id="13"/>
      <w:bookmarkEnd w:id="14"/>
      <w:bookmarkEnd w:id="15"/>
      <w:bookmarkEnd w:id="16"/>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项目编号：HGFSCG-2023-0048</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政府采购计划备案号：</w:t>
      </w:r>
      <w:r>
        <w:rPr>
          <w:rFonts w:hint="eastAsia"/>
          <w:szCs w:val="24"/>
          <w:lang w:val="en-US" w:eastAsia="zh-CN"/>
        </w:rPr>
        <w:t>421100-2023-05985</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项目名称：黄冈市国土绿化示范项目碳汇成效监测与潜力评估</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采购方式：公开招标</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预算金额：</w:t>
      </w:r>
      <w:r>
        <w:rPr>
          <w:rFonts w:hint="eastAsia" w:cs="宋体"/>
          <w:sz w:val="24"/>
          <w:highlight w:val="none"/>
          <w:lang w:val="en-US" w:eastAsia="zh-CN"/>
        </w:rPr>
        <w:t>200</w:t>
      </w:r>
      <w:r>
        <w:rPr>
          <w:rFonts w:hint="eastAsia" w:ascii="宋体" w:hAnsi="宋体" w:eastAsia="宋体" w:cs="宋体"/>
          <w:sz w:val="24"/>
          <w:highlight w:val="none"/>
          <w:lang w:val="en-US" w:eastAsia="zh-CN"/>
        </w:rPr>
        <w:t>万元</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最高限价：</w:t>
      </w:r>
      <w:r>
        <w:rPr>
          <w:rFonts w:hint="eastAsia" w:cs="宋体"/>
          <w:sz w:val="24"/>
          <w:highlight w:val="none"/>
          <w:lang w:val="en-US" w:eastAsia="zh-CN"/>
        </w:rPr>
        <w:t>200</w:t>
      </w:r>
      <w:r>
        <w:rPr>
          <w:rFonts w:hint="eastAsia" w:ascii="宋体" w:hAnsi="宋体" w:eastAsia="宋体" w:cs="宋体"/>
          <w:sz w:val="24"/>
          <w:highlight w:val="none"/>
          <w:lang w:val="en-US" w:eastAsia="zh-CN"/>
        </w:rPr>
        <w:t>万元</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color w:val="auto"/>
          <w:szCs w:val="24"/>
          <w:highlight w:val="none"/>
        </w:rPr>
      </w:pPr>
      <w:r>
        <w:rPr>
          <w:rFonts w:hint="eastAsia"/>
          <w:color w:val="auto"/>
          <w:szCs w:val="24"/>
          <w:highlight w:val="none"/>
        </w:rPr>
        <w:t>采购需求：黄冈市国土绿化示范项目碳汇成效监测与潜力评估</w:t>
      </w:r>
      <w:r>
        <w:rPr>
          <w:rFonts w:hint="eastAsia"/>
          <w:color w:val="auto"/>
          <w:szCs w:val="24"/>
          <w:highlight w:val="none"/>
          <w:lang w:eastAsia="zh-CN"/>
        </w:rPr>
        <w:t>，</w:t>
      </w:r>
      <w:r>
        <w:rPr>
          <w:rFonts w:hint="eastAsia"/>
          <w:color w:val="auto"/>
          <w:szCs w:val="24"/>
          <w:highlight w:val="none"/>
          <w:lang w:val="en-US" w:eastAsia="zh-CN"/>
        </w:rPr>
        <w:t>详见第三章采购需求</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rFonts w:hint="eastAsia"/>
          <w:color w:val="auto"/>
          <w:szCs w:val="24"/>
          <w:highlight w:val="none"/>
          <w:u w:val="none"/>
        </w:rPr>
      </w:pPr>
      <w:r>
        <w:rPr>
          <w:rFonts w:hint="eastAsia"/>
          <w:color w:val="auto"/>
          <w:szCs w:val="24"/>
          <w:highlight w:val="none"/>
        </w:rPr>
        <w:t>合同履行期限：</w:t>
      </w:r>
      <w:r>
        <w:rPr>
          <w:rFonts w:hint="eastAsia"/>
          <w:color w:val="auto"/>
          <w:szCs w:val="24"/>
          <w:highlight w:val="none"/>
          <w:lang w:val="en-US" w:eastAsia="zh-CN"/>
        </w:rPr>
        <w:t>24个月</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u w:val="none"/>
        </w:rPr>
      </w:pPr>
      <w:r>
        <w:rPr>
          <w:rFonts w:hint="eastAsia"/>
          <w:szCs w:val="24"/>
        </w:rPr>
        <w:t>是否接受联合体投标</w:t>
      </w:r>
      <w:r>
        <w:rPr>
          <w:rFonts w:hint="eastAsia"/>
          <w:szCs w:val="24"/>
          <w:u w:val="none"/>
        </w:rPr>
        <w:t>：否</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u w:val="none"/>
        </w:rPr>
      </w:pPr>
      <w:r>
        <w:rPr>
          <w:rFonts w:hint="eastAsia"/>
          <w:szCs w:val="24"/>
          <w:u w:val="none"/>
        </w:rPr>
        <w:t>是否可采购进口产品：</w:t>
      </w:r>
      <w:r>
        <w:rPr>
          <w:rFonts w:hint="eastAsia"/>
          <w:szCs w:val="24"/>
          <w:u w:val="none"/>
          <w:lang w:eastAsia="zh-CN"/>
        </w:rPr>
        <w:t>否</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u w:val="none"/>
        </w:rPr>
      </w:pPr>
      <w:r>
        <w:rPr>
          <w:rFonts w:hint="eastAsia"/>
          <w:szCs w:val="24"/>
          <w:u w:val="none"/>
        </w:rPr>
        <w:t>是否接受合同分包：</w:t>
      </w:r>
      <w:r>
        <w:rPr>
          <w:rFonts w:hint="eastAsia"/>
          <w:szCs w:val="24"/>
          <w:u w:val="none"/>
          <w:lang w:eastAsia="zh-CN"/>
        </w:rPr>
        <w:t>否</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u w:val="none"/>
        </w:rPr>
      </w:pPr>
      <w:r>
        <w:rPr>
          <w:rFonts w:hint="eastAsia"/>
          <w:szCs w:val="24"/>
        </w:rPr>
        <w:t>是否专门面向中小微企业：</w:t>
      </w:r>
      <w:r>
        <w:rPr>
          <w:rFonts w:hint="eastAsia"/>
          <w:szCs w:val="24"/>
          <w:u w:val="none"/>
          <w:lang w:val="en-US" w:eastAsia="zh-CN"/>
        </w:rPr>
        <w:t>否</w:t>
      </w:r>
    </w:p>
    <w:p>
      <w:pPr>
        <w:keepNext w:val="0"/>
        <w:keepLines w:val="0"/>
        <w:pageBreakBefore w:val="0"/>
        <w:widowControl w:val="0"/>
        <w:numPr>
          <w:ilvl w:val="0"/>
          <w:numId w:val="2"/>
        </w:numPr>
        <w:tabs>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u w:val="none"/>
        </w:rPr>
      </w:pPr>
      <w:r>
        <w:rPr>
          <w:rFonts w:hint="eastAsia"/>
          <w:szCs w:val="24"/>
          <w:u w:val="none"/>
        </w:rPr>
        <w:t>符合条件的小微企业价格扣除优惠为：10%</w:t>
      </w:r>
    </w:p>
    <w:p>
      <w:pPr>
        <w:spacing w:line="360" w:lineRule="auto"/>
        <w:rPr>
          <w:b/>
          <w:szCs w:val="24"/>
        </w:rPr>
      </w:pPr>
      <w:bookmarkStart w:id="17" w:name="_Toc102056168"/>
      <w:bookmarkStart w:id="18" w:name="_Toc102116100"/>
      <w:bookmarkStart w:id="19" w:name="_Toc102057668"/>
      <w:bookmarkStart w:id="20" w:name="_Toc102119801"/>
      <w:bookmarkStart w:id="21" w:name="_Toc102115970"/>
      <w:bookmarkStart w:id="22" w:name="_Toc102114868"/>
      <w:r>
        <w:rPr>
          <w:rFonts w:hint="eastAsia"/>
          <w:b/>
          <w:szCs w:val="24"/>
        </w:rPr>
        <w:t>二</w:t>
      </w:r>
      <w:r>
        <w:rPr>
          <w:b/>
          <w:szCs w:val="24"/>
        </w:rPr>
        <w:t>、</w:t>
      </w:r>
      <w:r>
        <w:rPr>
          <w:rFonts w:hint="eastAsia"/>
          <w:b/>
          <w:szCs w:val="24"/>
        </w:rPr>
        <w:t>投标</w:t>
      </w:r>
      <w:r>
        <w:rPr>
          <w:b/>
          <w:szCs w:val="24"/>
        </w:rPr>
        <w:t>人</w:t>
      </w:r>
      <w:r>
        <w:rPr>
          <w:rFonts w:hint="eastAsia"/>
          <w:b/>
          <w:szCs w:val="24"/>
        </w:rPr>
        <w:t>资格要求</w:t>
      </w:r>
      <w:bookmarkEnd w:id="17"/>
      <w:bookmarkEnd w:id="18"/>
      <w:bookmarkEnd w:id="19"/>
      <w:bookmarkEnd w:id="20"/>
      <w:bookmarkEnd w:id="21"/>
      <w:bookmarkEnd w:id="22"/>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default" w:ascii="宋体" w:hAnsi="宋体" w:eastAsia="宋体" w:cs="Times New Roman"/>
          <w:b w:val="0"/>
          <w:i w:val="0"/>
          <w:strike w:val="0"/>
          <w:color w:val="auto"/>
          <w:sz w:val="24"/>
          <w:szCs w:val="24"/>
          <w:lang w:val="en-US" w:eastAsia="zh-CN" w:bidi="ar-SA"/>
        </w:rPr>
        <w:t>1.</w:t>
      </w:r>
      <w:r>
        <w:rPr>
          <w:rFonts w:hint="eastAsia"/>
          <w:szCs w:val="24"/>
        </w:rPr>
        <w:t>满足《中华人民共和国政府采购法》第二十二条第一款规定，即：</w:t>
      </w:r>
    </w:p>
    <w:p>
      <w:pPr>
        <w:tabs>
          <w:tab w:val="left" w:pos="0"/>
        </w:tabs>
        <w:wordWrap w:val="0"/>
        <w:spacing w:line="360" w:lineRule="auto"/>
        <w:ind w:left="482"/>
        <w:rPr>
          <w:szCs w:val="24"/>
        </w:rPr>
      </w:pPr>
      <w:r>
        <w:rPr>
          <w:rFonts w:hint="eastAsia"/>
          <w:szCs w:val="24"/>
        </w:rPr>
        <w:t>（1）具有独立承担民事责任的能力；</w:t>
      </w:r>
    </w:p>
    <w:p>
      <w:pPr>
        <w:tabs>
          <w:tab w:val="left" w:pos="0"/>
        </w:tabs>
        <w:wordWrap w:val="0"/>
        <w:spacing w:line="360" w:lineRule="auto"/>
        <w:ind w:left="482"/>
        <w:rPr>
          <w:szCs w:val="24"/>
        </w:rPr>
      </w:pPr>
      <w:r>
        <w:rPr>
          <w:rFonts w:hint="eastAsia"/>
          <w:szCs w:val="24"/>
        </w:rPr>
        <w:t>（2）具有良好的商业信誉和健全的财务会计制度；</w:t>
      </w:r>
    </w:p>
    <w:p>
      <w:pPr>
        <w:tabs>
          <w:tab w:val="left" w:pos="0"/>
        </w:tabs>
        <w:wordWrap w:val="0"/>
        <w:spacing w:line="360" w:lineRule="auto"/>
        <w:ind w:left="482"/>
        <w:rPr>
          <w:szCs w:val="24"/>
        </w:rPr>
      </w:pPr>
      <w:r>
        <w:rPr>
          <w:rFonts w:hint="eastAsia"/>
          <w:szCs w:val="24"/>
        </w:rPr>
        <w:t>（3）具有履行合同所必需的设备和专业技术能力；</w:t>
      </w:r>
    </w:p>
    <w:p>
      <w:pPr>
        <w:tabs>
          <w:tab w:val="left" w:pos="0"/>
        </w:tabs>
        <w:wordWrap w:val="0"/>
        <w:spacing w:line="360" w:lineRule="auto"/>
        <w:ind w:left="482"/>
        <w:rPr>
          <w:szCs w:val="24"/>
        </w:rPr>
      </w:pPr>
      <w:r>
        <w:rPr>
          <w:rFonts w:hint="eastAsia"/>
          <w:szCs w:val="24"/>
        </w:rPr>
        <w:t>（4）有依法缴纳税收和社会保障资金的良好记录；</w:t>
      </w:r>
    </w:p>
    <w:p>
      <w:pPr>
        <w:tabs>
          <w:tab w:val="left" w:pos="0"/>
        </w:tabs>
        <w:wordWrap w:val="0"/>
        <w:spacing w:line="360" w:lineRule="auto"/>
        <w:ind w:left="482"/>
        <w:rPr>
          <w:szCs w:val="24"/>
        </w:rPr>
      </w:pPr>
      <w:r>
        <w:rPr>
          <w:rFonts w:hint="eastAsia"/>
          <w:szCs w:val="24"/>
        </w:rPr>
        <w:t>（5）参加政府采购活动前三年内，在经营活动中没有重大违法记录；</w:t>
      </w:r>
    </w:p>
    <w:p>
      <w:pPr>
        <w:tabs>
          <w:tab w:val="left" w:pos="0"/>
        </w:tabs>
        <w:wordWrap w:val="0"/>
        <w:spacing w:line="360" w:lineRule="auto"/>
        <w:ind w:left="482"/>
        <w:rPr>
          <w:szCs w:val="24"/>
        </w:rPr>
      </w:pPr>
      <w:r>
        <w:rPr>
          <w:rFonts w:hint="eastAsia"/>
          <w:szCs w:val="24"/>
        </w:rPr>
        <w:t>（6）法律、行政法规规定的其他条件。</w:t>
      </w:r>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rPr>
      </w:pPr>
      <w:r>
        <w:rPr>
          <w:rFonts w:hint="default" w:ascii="宋体" w:hAnsi="宋体" w:eastAsia="宋体" w:cs="Times New Roman"/>
          <w:b w:val="0"/>
          <w:i w:val="0"/>
          <w:strike w:val="0"/>
          <w:color w:val="auto"/>
          <w:sz w:val="24"/>
          <w:szCs w:val="24"/>
          <w:lang w:val="en-US" w:eastAsia="zh-CN" w:bidi="ar-SA"/>
        </w:rPr>
        <w:t>2.</w:t>
      </w:r>
      <w:r>
        <w:rPr>
          <w:rFonts w:hint="eastAsia"/>
          <w:szCs w:val="24"/>
        </w:rPr>
        <w:t>单位负责人为同一人或者存在直接控股、管理关系的不同投标人，不得参加本项目同一合同项下的政府采购活动。</w:t>
      </w:r>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rPr>
      </w:pPr>
      <w:r>
        <w:rPr>
          <w:rFonts w:hint="default" w:ascii="宋体" w:hAnsi="宋体" w:eastAsia="宋体" w:cs="Times New Roman"/>
          <w:b w:val="0"/>
          <w:i w:val="0"/>
          <w:strike w:val="0"/>
          <w:color w:val="auto"/>
          <w:sz w:val="24"/>
          <w:szCs w:val="24"/>
          <w:lang w:val="en-US" w:eastAsia="zh-CN" w:bidi="ar-SA"/>
        </w:rPr>
        <w:t>3.</w:t>
      </w:r>
      <w:r>
        <w:rPr>
          <w:rFonts w:hint="eastAsia"/>
          <w:szCs w:val="24"/>
        </w:rPr>
        <w:t>为本采购项目提供整体设计、规范编制或者项目管理、监理、检测等服务的，不得再参加本项目的其他招标采购活动。</w:t>
      </w:r>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rPr>
      </w:pPr>
      <w:r>
        <w:rPr>
          <w:rFonts w:hint="default" w:ascii="宋体" w:hAnsi="宋体" w:eastAsia="宋体" w:cs="Times New Roman"/>
          <w:b w:val="0"/>
          <w:i w:val="0"/>
          <w:strike w:val="0"/>
          <w:color w:val="auto"/>
          <w:sz w:val="24"/>
          <w:szCs w:val="24"/>
          <w:lang w:val="en-US" w:eastAsia="zh-CN" w:bidi="ar-SA"/>
        </w:rPr>
        <w:t>4.</w:t>
      </w:r>
      <w:r>
        <w:rPr>
          <w:rFonts w:hint="eastAsia"/>
          <w:szCs w:val="24"/>
        </w:rPr>
        <w:t>未被列入失信被执行人、重大税收违法案件当事人名单，未被列入政府采购严重违法失信行为记录名单。</w:t>
      </w:r>
    </w:p>
    <w:p>
      <w:pPr>
        <w:numPr>
          <w:ilvl w:val="0"/>
          <w:numId w:val="0"/>
        </w:numPr>
        <w:tabs>
          <w:tab w:val="left" w:pos="0"/>
          <w:tab w:val="left" w:pos="851"/>
        </w:tabs>
        <w:wordWrap w:val="0"/>
        <w:spacing w:line="360" w:lineRule="auto"/>
        <w:ind w:firstLine="480" w:firstLineChars="200"/>
        <w:rPr>
          <w:b w:val="0"/>
          <w:bCs w:val="0"/>
          <w:szCs w:val="24"/>
          <w:highlight w:val="none"/>
        </w:rPr>
      </w:pPr>
      <w:r>
        <w:rPr>
          <w:rFonts w:hint="eastAsia"/>
          <w:szCs w:val="24"/>
          <w:lang w:val="en-US" w:eastAsia="zh-CN"/>
        </w:rPr>
        <w:t>5.</w:t>
      </w:r>
      <w:r>
        <w:rPr>
          <w:rFonts w:hint="eastAsia"/>
          <w:szCs w:val="24"/>
        </w:rPr>
        <w:t>落实政府采购政策需满足的资格要求：</w:t>
      </w:r>
      <w:r>
        <w:rPr>
          <w:rFonts w:hint="eastAsia"/>
          <w:b w:val="0"/>
          <w:bCs w:val="0"/>
          <w:szCs w:val="24"/>
          <w:highlight w:val="none"/>
          <w:lang w:eastAsia="zh-CN"/>
        </w:rPr>
        <w:t>本项目</w:t>
      </w:r>
      <w:r>
        <w:rPr>
          <w:rFonts w:hint="eastAsia"/>
          <w:b w:val="0"/>
          <w:bCs w:val="0"/>
          <w:szCs w:val="24"/>
          <w:highlight w:val="none"/>
          <w:lang w:val="en-US" w:eastAsia="zh-CN"/>
        </w:rPr>
        <w:t>非专门面向中小企业，</w:t>
      </w:r>
      <w:r>
        <w:rPr>
          <w:rFonts w:hint="eastAsia"/>
          <w:b w:val="0"/>
          <w:bCs w:val="0"/>
          <w:szCs w:val="24"/>
          <w:highlight w:val="none"/>
          <w:lang w:eastAsia="zh-CN"/>
        </w:rPr>
        <w:t>采购标的对应的中小企业划分标准所属行业为</w:t>
      </w:r>
      <w:r>
        <w:rPr>
          <w:rFonts w:hint="eastAsia"/>
          <w:b w:val="0"/>
          <w:bCs w:val="0"/>
          <w:szCs w:val="24"/>
          <w:highlight w:val="none"/>
          <w:lang w:val="en-US" w:eastAsia="zh-CN"/>
        </w:rPr>
        <w:t>其他未列明行业</w:t>
      </w:r>
      <w:r>
        <w:rPr>
          <w:rFonts w:hint="eastAsia"/>
          <w:b w:val="0"/>
          <w:bCs w:val="0"/>
          <w:szCs w:val="24"/>
          <w:highlight w:val="none"/>
          <w:lang w:eastAsia="zh-CN"/>
        </w:rPr>
        <w:t>。</w:t>
      </w:r>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rFonts w:hint="eastAsia" w:eastAsia="宋体"/>
          <w:szCs w:val="24"/>
          <w:highlight w:val="yellow"/>
          <w:lang w:eastAsia="zh-CN"/>
        </w:rPr>
      </w:pPr>
      <w:r>
        <w:rPr>
          <w:rFonts w:hint="eastAsia"/>
          <w:szCs w:val="24"/>
          <w:lang w:val="en-US" w:eastAsia="zh-CN"/>
        </w:rPr>
        <w:t>6.</w:t>
      </w:r>
      <w:r>
        <w:rPr>
          <w:rFonts w:hint="eastAsia"/>
          <w:szCs w:val="24"/>
        </w:rPr>
        <w:t>特定资格要求：</w:t>
      </w:r>
      <w:bookmarkStart w:id="23" w:name="_Toc102056169"/>
      <w:bookmarkStart w:id="24" w:name="_Toc102057669"/>
      <w:bookmarkStart w:id="25" w:name="_Toc102116101"/>
      <w:bookmarkStart w:id="26" w:name="_Toc102114869"/>
      <w:bookmarkStart w:id="27" w:name="_Toc102115971"/>
      <w:bookmarkStart w:id="28" w:name="_Toc102119802"/>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rPr>
      </w:pPr>
      <w:r>
        <w:rPr>
          <w:rFonts w:hint="eastAsia"/>
          <w:szCs w:val="24"/>
          <w:lang w:eastAsia="zh-CN"/>
        </w:rPr>
        <w:t>（</w:t>
      </w:r>
      <w:r>
        <w:rPr>
          <w:rFonts w:hint="eastAsia"/>
          <w:szCs w:val="24"/>
          <w:lang w:val="en-US" w:eastAsia="zh-CN"/>
        </w:rPr>
        <w:t>1</w:t>
      </w:r>
      <w:r>
        <w:rPr>
          <w:rFonts w:hint="eastAsia"/>
          <w:szCs w:val="24"/>
          <w:lang w:eastAsia="zh-CN"/>
        </w:rPr>
        <w:t>）</w:t>
      </w:r>
      <w:r>
        <w:rPr>
          <w:rFonts w:hint="eastAsia"/>
          <w:szCs w:val="24"/>
        </w:rPr>
        <w:t>在“信用中国”网站（www.creditchina.gov.cn）和中国政府采购网（www.ccgp.gov.cn）上未被列入失信被执行人、重大税收违法案件当事人名单、政府采购严重违法失信行为记录名单等不良行为记录</w:t>
      </w:r>
      <w:r>
        <w:rPr>
          <w:rFonts w:hint="eastAsia"/>
          <w:szCs w:val="24"/>
          <w:lang w:eastAsia="zh-CN"/>
        </w:rPr>
        <w:t>（</w:t>
      </w:r>
      <w:r>
        <w:rPr>
          <w:rFonts w:hint="eastAsia"/>
          <w:szCs w:val="24"/>
          <w:lang w:val="en-US" w:eastAsia="zh-CN"/>
        </w:rPr>
        <w:t>提供承诺书，格式自拟</w:t>
      </w:r>
      <w:r>
        <w:rPr>
          <w:rFonts w:hint="eastAsia"/>
          <w:szCs w:val="24"/>
          <w:lang w:eastAsia="zh-CN"/>
        </w:rPr>
        <w:t>）</w:t>
      </w:r>
      <w:r>
        <w:rPr>
          <w:rFonts w:hint="eastAsia"/>
          <w:szCs w:val="24"/>
        </w:rPr>
        <w:t>；</w:t>
      </w:r>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rFonts w:hint="eastAsia"/>
          <w:szCs w:val="24"/>
          <w:lang w:eastAsia="zh-CN"/>
        </w:rPr>
      </w:pPr>
      <w:r>
        <w:rPr>
          <w:rFonts w:hint="eastAsia"/>
          <w:szCs w:val="24"/>
        </w:rPr>
        <w:t>（</w:t>
      </w:r>
      <w:r>
        <w:rPr>
          <w:rFonts w:hint="eastAsia"/>
          <w:szCs w:val="24"/>
          <w:lang w:val="en-US" w:eastAsia="zh-CN"/>
        </w:rPr>
        <w:t>2</w:t>
      </w:r>
      <w:r>
        <w:rPr>
          <w:rFonts w:hint="eastAsia"/>
          <w:szCs w:val="24"/>
        </w:rPr>
        <w:t>）在“</w:t>
      </w:r>
      <w:r>
        <w:rPr>
          <w:rFonts w:hint="eastAsia"/>
          <w:szCs w:val="24"/>
          <w:lang w:eastAsia="zh-CN"/>
        </w:rPr>
        <w:t>湖北公共资源交易电子服务系统-信用信息平台</w:t>
      </w:r>
      <w:r>
        <w:rPr>
          <w:rFonts w:hint="eastAsia"/>
          <w:szCs w:val="24"/>
        </w:rPr>
        <w:t>”</w:t>
      </w:r>
      <w:r>
        <w:rPr>
          <w:rFonts w:hint="eastAsia"/>
          <w:szCs w:val="24"/>
          <w:lang w:eastAsia="zh-CN"/>
        </w:rPr>
        <w:t>（</w:t>
      </w:r>
      <w:r>
        <w:rPr>
          <w:rFonts w:hint="eastAsia"/>
          <w:szCs w:val="24"/>
        </w:rPr>
        <w:t>http://xypt.hbggzyfwpt.cn</w:t>
      </w:r>
      <w:r>
        <w:rPr>
          <w:rFonts w:hint="eastAsia"/>
          <w:szCs w:val="24"/>
          <w:lang w:eastAsia="zh-CN"/>
        </w:rPr>
        <w:t>）</w:t>
      </w:r>
      <w:r>
        <w:rPr>
          <w:rFonts w:hint="eastAsia"/>
          <w:szCs w:val="24"/>
        </w:rPr>
        <w:t>未被</w:t>
      </w:r>
      <w:r>
        <w:rPr>
          <w:rFonts w:hint="eastAsia"/>
          <w:szCs w:val="24"/>
          <w:lang w:eastAsia="zh-CN"/>
        </w:rPr>
        <w:t>列入重点监管对象（</w:t>
      </w:r>
      <w:r>
        <w:rPr>
          <w:rFonts w:hint="eastAsia"/>
          <w:szCs w:val="24"/>
          <w:lang w:val="en-US" w:eastAsia="zh-CN"/>
        </w:rPr>
        <w:t>提供承诺书，格式自拟</w:t>
      </w:r>
      <w:r>
        <w:rPr>
          <w:rFonts w:hint="eastAsia"/>
          <w:szCs w:val="24"/>
          <w:lang w:eastAsia="zh-CN"/>
        </w:rPr>
        <w:t>）；</w:t>
      </w:r>
    </w:p>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ind w:left="0" w:leftChars="0" w:firstLine="480" w:firstLineChars="200"/>
        <w:textAlignment w:val="auto"/>
        <w:rPr>
          <w:b/>
          <w:szCs w:val="24"/>
        </w:rPr>
      </w:pPr>
      <w:r>
        <w:rPr>
          <w:rFonts w:hint="eastAsia"/>
          <w:b/>
          <w:szCs w:val="24"/>
        </w:rPr>
        <w:t>三</w:t>
      </w:r>
      <w:r>
        <w:rPr>
          <w:b/>
          <w:szCs w:val="24"/>
        </w:rPr>
        <w:t>、</w:t>
      </w:r>
      <w:r>
        <w:rPr>
          <w:rFonts w:hint="eastAsia"/>
          <w:b/>
          <w:szCs w:val="24"/>
        </w:rPr>
        <w:t>获取招标文件</w:t>
      </w:r>
      <w:bookmarkEnd w:id="23"/>
      <w:bookmarkEnd w:id="24"/>
      <w:bookmarkEnd w:id="25"/>
      <w:bookmarkEnd w:id="26"/>
      <w:bookmarkEnd w:id="27"/>
      <w:bookmarkEnd w:id="28"/>
    </w:p>
    <w:p>
      <w:pPr>
        <w:keepNext w:val="0"/>
        <w:keepLines w:val="0"/>
        <w:pageBreakBefore w:val="0"/>
        <w:widowControl w:val="0"/>
        <w:numPr>
          <w:ilvl w:val="0"/>
          <w:numId w:val="3"/>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时间：</w:t>
      </w:r>
      <w:r>
        <w:rPr>
          <w:rFonts w:hint="eastAsia" w:ascii="宋体" w:hAnsi="宋体" w:eastAsia="宋体" w:cs="宋体"/>
          <w:sz w:val="24"/>
          <w:szCs w:val="24"/>
        </w:rPr>
        <w:t>20</w:t>
      </w:r>
      <w:r>
        <w:rPr>
          <w:rFonts w:hint="eastAsia" w:cs="宋体"/>
          <w:sz w:val="24"/>
          <w:szCs w:val="24"/>
          <w:lang w:val="en-US" w:eastAsia="zh-CN"/>
        </w:rPr>
        <w:t>23</w:t>
      </w:r>
      <w:r>
        <w:rPr>
          <w:rFonts w:hint="eastAsia" w:ascii="宋体" w:hAnsi="宋体" w:eastAsia="宋体" w:cs="宋体"/>
          <w:sz w:val="24"/>
          <w:szCs w:val="24"/>
        </w:rPr>
        <w:t>年</w:t>
      </w:r>
      <w:r>
        <w:rPr>
          <w:rFonts w:hint="eastAsia" w:cs="宋体"/>
          <w:sz w:val="24"/>
          <w:szCs w:val="24"/>
          <w:lang w:val="en-US" w:eastAsia="zh-CN"/>
        </w:rPr>
        <w:t xml:space="preserve"> 12 </w:t>
      </w:r>
      <w:r>
        <w:rPr>
          <w:rFonts w:hint="eastAsia" w:ascii="宋体" w:hAnsi="宋体" w:eastAsia="宋体" w:cs="宋体"/>
          <w:sz w:val="24"/>
          <w:szCs w:val="24"/>
        </w:rPr>
        <w:t>月</w:t>
      </w:r>
      <w:r>
        <w:rPr>
          <w:rFonts w:hint="eastAsia" w:cs="宋体"/>
          <w:sz w:val="24"/>
          <w:szCs w:val="24"/>
          <w:lang w:val="en-US" w:eastAsia="zh-CN"/>
        </w:rPr>
        <w:t xml:space="preserve"> 25 </w:t>
      </w:r>
      <w:r>
        <w:rPr>
          <w:rFonts w:hint="eastAsia" w:ascii="宋体" w:hAnsi="宋体" w:eastAsia="宋体" w:cs="宋体"/>
          <w:sz w:val="24"/>
          <w:szCs w:val="24"/>
        </w:rPr>
        <w:t>日至20</w:t>
      </w:r>
      <w:r>
        <w:rPr>
          <w:rFonts w:hint="eastAsia" w:cs="宋体"/>
          <w:sz w:val="24"/>
          <w:szCs w:val="24"/>
          <w:lang w:val="en-US" w:eastAsia="zh-CN"/>
        </w:rPr>
        <w:t>23</w:t>
      </w:r>
      <w:r>
        <w:rPr>
          <w:rFonts w:hint="eastAsia" w:ascii="宋体" w:hAnsi="宋体" w:eastAsia="宋体" w:cs="宋体"/>
          <w:sz w:val="24"/>
          <w:szCs w:val="24"/>
        </w:rPr>
        <w:t>年</w:t>
      </w:r>
      <w:r>
        <w:rPr>
          <w:rFonts w:hint="eastAsia" w:cs="宋体"/>
          <w:sz w:val="24"/>
          <w:szCs w:val="24"/>
          <w:lang w:val="en-US" w:eastAsia="zh-CN"/>
        </w:rPr>
        <w:t xml:space="preserve"> 12 </w:t>
      </w:r>
      <w:r>
        <w:rPr>
          <w:rFonts w:hint="eastAsia" w:ascii="宋体" w:hAnsi="宋体" w:eastAsia="宋体" w:cs="宋体"/>
          <w:sz w:val="24"/>
          <w:szCs w:val="24"/>
        </w:rPr>
        <w:t>月</w:t>
      </w:r>
      <w:r>
        <w:rPr>
          <w:rFonts w:hint="eastAsia" w:cs="宋体"/>
          <w:sz w:val="24"/>
          <w:szCs w:val="24"/>
          <w:lang w:val="en-US" w:eastAsia="zh-CN"/>
        </w:rPr>
        <w:t xml:space="preserve"> 29 </w:t>
      </w:r>
      <w:r>
        <w:rPr>
          <w:rFonts w:hint="eastAsia" w:ascii="宋体" w:hAnsi="宋体" w:eastAsia="宋体" w:cs="宋体"/>
          <w:sz w:val="24"/>
          <w:szCs w:val="24"/>
        </w:rPr>
        <w:t>日，每天上午0</w:t>
      </w:r>
      <w:r>
        <w:rPr>
          <w:rFonts w:hint="eastAsia" w:hAnsi="宋体" w:eastAsia="宋体" w:cs="宋体"/>
          <w:sz w:val="24"/>
          <w:szCs w:val="24"/>
          <w:lang w:val="en-US" w:eastAsia="zh-CN"/>
        </w:rPr>
        <w:t>0</w:t>
      </w:r>
      <w:r>
        <w:rPr>
          <w:rFonts w:hint="eastAsia" w:ascii="宋体" w:hAnsi="宋体" w:eastAsia="宋体" w:cs="宋体"/>
          <w:sz w:val="24"/>
          <w:szCs w:val="24"/>
        </w:rPr>
        <w:t>:</w:t>
      </w:r>
      <w:r>
        <w:rPr>
          <w:rFonts w:hint="eastAsia" w:hAnsi="宋体" w:eastAsia="宋体" w:cs="宋体"/>
          <w:sz w:val="24"/>
          <w:szCs w:val="24"/>
          <w:lang w:val="en-US" w:eastAsia="zh-CN"/>
        </w:rPr>
        <w:t>0</w:t>
      </w:r>
      <w:r>
        <w:rPr>
          <w:rFonts w:hint="eastAsia" w:ascii="宋体" w:hAnsi="宋体" w:eastAsia="宋体" w:cs="宋体"/>
          <w:sz w:val="24"/>
          <w:szCs w:val="24"/>
        </w:rPr>
        <w:t>0至12:00，下午1</w:t>
      </w:r>
      <w:r>
        <w:rPr>
          <w:rFonts w:hint="eastAsia" w:hAnsi="宋体" w:eastAsia="宋体" w:cs="宋体"/>
          <w:sz w:val="24"/>
          <w:szCs w:val="24"/>
          <w:lang w:val="en-US" w:eastAsia="zh-CN"/>
        </w:rPr>
        <w:t>2</w:t>
      </w:r>
      <w:r>
        <w:rPr>
          <w:rFonts w:hint="eastAsia" w:ascii="宋体" w:hAnsi="宋体" w:eastAsia="宋体" w:cs="宋体"/>
          <w:sz w:val="24"/>
          <w:szCs w:val="24"/>
        </w:rPr>
        <w:t>:00至</w:t>
      </w:r>
      <w:r>
        <w:rPr>
          <w:rFonts w:hint="eastAsia" w:hAnsi="宋体" w:eastAsia="宋体" w:cs="宋体"/>
          <w:sz w:val="24"/>
          <w:szCs w:val="24"/>
          <w:lang w:val="en-US" w:eastAsia="zh-CN"/>
        </w:rPr>
        <w:t>24</w:t>
      </w:r>
      <w:r>
        <w:rPr>
          <w:rFonts w:hint="eastAsia" w:ascii="宋体" w:hAnsi="宋体" w:eastAsia="宋体" w:cs="宋体"/>
          <w:sz w:val="24"/>
          <w:szCs w:val="24"/>
        </w:rPr>
        <w:t>:0</w:t>
      </w:r>
      <w:r>
        <w:rPr>
          <w:rFonts w:hint="eastAsia" w:ascii="宋体" w:hAnsi="宋体" w:eastAsia="宋体" w:cs="宋体"/>
          <w:sz w:val="24"/>
          <w:szCs w:val="24"/>
          <w:lang w:val="en-US" w:eastAsia="zh-CN"/>
        </w:rPr>
        <w:t>0（北京时间，法定节假日除外）</w:t>
      </w:r>
    </w:p>
    <w:p>
      <w:pPr>
        <w:keepNext w:val="0"/>
        <w:keepLines w:val="0"/>
        <w:pageBreakBefore w:val="0"/>
        <w:widowControl w:val="0"/>
        <w:numPr>
          <w:ilvl w:val="0"/>
          <w:numId w:val="3"/>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地点：</w:t>
      </w:r>
      <w:r>
        <w:rPr>
          <w:rFonts w:hint="eastAsia"/>
          <w:szCs w:val="24"/>
          <w:lang w:val="en-US" w:eastAsia="zh-CN"/>
        </w:rPr>
        <w:t>中国</w:t>
      </w:r>
      <w:r>
        <w:rPr>
          <w:rFonts w:hint="eastAsia"/>
          <w:szCs w:val="24"/>
        </w:rPr>
        <w:t>湖北政府采购网（http://www.ccgp-hubei.gov.cn）或</w:t>
      </w:r>
      <w:r>
        <w:rPr>
          <w:rFonts w:hint="eastAsia"/>
          <w:szCs w:val="24"/>
          <w:lang w:eastAsia="zh-CN"/>
        </w:rPr>
        <w:t>黄冈市</w:t>
      </w:r>
      <w:r>
        <w:rPr>
          <w:rFonts w:hint="eastAsia"/>
          <w:szCs w:val="24"/>
        </w:rPr>
        <w:t>公共资源交易中心网（http://www.hgggzy.com）采购公告</w:t>
      </w:r>
    </w:p>
    <w:p>
      <w:pPr>
        <w:keepNext w:val="0"/>
        <w:keepLines w:val="0"/>
        <w:pageBreakBefore w:val="0"/>
        <w:widowControl w:val="0"/>
        <w:numPr>
          <w:ilvl w:val="0"/>
          <w:numId w:val="3"/>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方式：</w:t>
      </w:r>
      <w:r>
        <w:rPr>
          <w:rFonts w:hint="eastAsia"/>
          <w:b/>
          <w:bCs/>
          <w:szCs w:val="24"/>
        </w:rPr>
        <w:t>在获取招标文件时间内登陆</w:t>
      </w:r>
      <w:r>
        <w:rPr>
          <w:rFonts w:hint="eastAsia"/>
          <w:b/>
          <w:bCs/>
          <w:szCs w:val="24"/>
          <w:lang w:eastAsia="zh-CN"/>
        </w:rPr>
        <w:t>黄冈市</w:t>
      </w:r>
      <w:r>
        <w:rPr>
          <w:rFonts w:hint="eastAsia"/>
          <w:b/>
          <w:bCs/>
          <w:szCs w:val="24"/>
        </w:rPr>
        <w:t>政府电子采购平台点击</w:t>
      </w:r>
      <w:r>
        <w:rPr>
          <w:rFonts w:hint="eastAsia"/>
          <w:b/>
          <w:szCs w:val="24"/>
        </w:rPr>
        <w:t>项目参与</w:t>
      </w:r>
      <w:r>
        <w:rPr>
          <w:rFonts w:hint="eastAsia"/>
          <w:szCs w:val="24"/>
        </w:rPr>
        <w:t>（未在获取招标文件时间内用CA数字证书登陆</w:t>
      </w:r>
      <w:r>
        <w:rPr>
          <w:rFonts w:hint="eastAsia"/>
          <w:szCs w:val="24"/>
          <w:lang w:eastAsia="zh-CN"/>
        </w:rPr>
        <w:t>黄冈市</w:t>
      </w:r>
      <w:r>
        <w:rPr>
          <w:rFonts w:hint="eastAsia"/>
          <w:szCs w:val="24"/>
        </w:rPr>
        <w:t>政府电子采购平台点击项目参与的投标人将无法提交投标文件）。潜在投标人应是</w:t>
      </w:r>
      <w:r>
        <w:rPr>
          <w:rFonts w:hint="eastAsia"/>
          <w:szCs w:val="24"/>
          <w:lang w:eastAsia="zh-CN"/>
        </w:rPr>
        <w:t>黄冈市</w:t>
      </w:r>
      <w:r>
        <w:rPr>
          <w:szCs w:val="24"/>
        </w:rPr>
        <w:t>政府电子采购平台注册</w:t>
      </w:r>
      <w:r>
        <w:rPr>
          <w:rFonts w:hint="eastAsia"/>
          <w:szCs w:val="24"/>
          <w:lang w:eastAsia="zh-CN"/>
        </w:rPr>
        <w:t>投标人</w:t>
      </w:r>
      <w:r>
        <w:rPr>
          <w:szCs w:val="24"/>
        </w:rPr>
        <w:t>。</w:t>
      </w:r>
      <w:r>
        <w:rPr>
          <w:rFonts w:hint="eastAsia"/>
          <w:szCs w:val="24"/>
        </w:rPr>
        <w:t>注册网站：https：//sso.hubeigp.gov.cn/checkLogin?sourceURL=https%3A%2F%2Fdzcg.hubeigp.gov.cn%2Flogon&amp;cloudid=148，</w:t>
      </w:r>
      <w:r>
        <w:rPr>
          <w:szCs w:val="24"/>
        </w:rPr>
        <w:t>注册咨询</w:t>
      </w:r>
      <w:r>
        <w:rPr>
          <w:rFonts w:hint="eastAsia"/>
          <w:szCs w:val="24"/>
        </w:rPr>
        <w:t>联系</w:t>
      </w:r>
      <w:r>
        <w:rPr>
          <w:szCs w:val="24"/>
        </w:rPr>
        <w:t>电话：</w:t>
      </w:r>
      <w:r>
        <w:rPr>
          <w:rFonts w:hint="eastAsia"/>
          <w:szCs w:val="24"/>
        </w:rPr>
        <w:t>400-9913-966。</w:t>
      </w:r>
    </w:p>
    <w:p>
      <w:pPr>
        <w:spacing w:line="360" w:lineRule="auto"/>
        <w:rPr>
          <w:b/>
          <w:szCs w:val="24"/>
        </w:rPr>
      </w:pPr>
      <w:bookmarkStart w:id="29" w:name="_Toc102119803"/>
      <w:bookmarkStart w:id="30" w:name="_Toc102056170"/>
      <w:bookmarkStart w:id="31" w:name="_Toc102057670"/>
      <w:bookmarkStart w:id="32" w:name="_Toc102115972"/>
      <w:bookmarkStart w:id="33" w:name="_Toc102116102"/>
      <w:bookmarkStart w:id="34" w:name="_Toc102114870"/>
      <w:r>
        <w:rPr>
          <w:rFonts w:hint="eastAsia"/>
          <w:b/>
          <w:szCs w:val="24"/>
        </w:rPr>
        <w:t>四</w:t>
      </w:r>
      <w:r>
        <w:rPr>
          <w:b/>
          <w:szCs w:val="24"/>
        </w:rPr>
        <w:t>、</w:t>
      </w:r>
      <w:r>
        <w:rPr>
          <w:rFonts w:hint="eastAsia"/>
          <w:b/>
          <w:szCs w:val="24"/>
        </w:rPr>
        <w:t>提交投标文件截止时间、开标时间和地点</w:t>
      </w:r>
      <w:bookmarkEnd w:id="29"/>
      <w:bookmarkEnd w:id="30"/>
      <w:bookmarkEnd w:id="31"/>
      <w:bookmarkEnd w:id="32"/>
      <w:bookmarkEnd w:id="33"/>
      <w:bookmarkEnd w:id="34"/>
    </w:p>
    <w:p>
      <w:pPr>
        <w:keepNext w:val="0"/>
        <w:keepLines w:val="0"/>
        <w:pageBreakBefore w:val="0"/>
        <w:widowControl w:val="0"/>
        <w:numPr>
          <w:ilvl w:val="0"/>
          <w:numId w:val="4"/>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提交投标文件开始时间：20</w:t>
      </w:r>
      <w:r>
        <w:rPr>
          <w:rFonts w:hint="eastAsia"/>
          <w:szCs w:val="24"/>
          <w:lang w:val="en-US" w:eastAsia="zh-CN"/>
        </w:rPr>
        <w:t>23</w:t>
      </w:r>
      <w:r>
        <w:rPr>
          <w:rFonts w:hint="eastAsia"/>
          <w:szCs w:val="24"/>
        </w:rPr>
        <w:t>年</w:t>
      </w:r>
      <w:r>
        <w:rPr>
          <w:rFonts w:hint="eastAsia"/>
          <w:szCs w:val="24"/>
          <w:lang w:val="en-US" w:eastAsia="zh-CN"/>
        </w:rPr>
        <w:t xml:space="preserve"> 12 </w:t>
      </w:r>
      <w:r>
        <w:rPr>
          <w:rFonts w:hint="eastAsia"/>
          <w:szCs w:val="24"/>
        </w:rPr>
        <w:t>月</w:t>
      </w:r>
      <w:r>
        <w:rPr>
          <w:rFonts w:hint="eastAsia"/>
          <w:szCs w:val="24"/>
          <w:lang w:val="en-US" w:eastAsia="zh-CN"/>
        </w:rPr>
        <w:t xml:space="preserve"> 29 </w:t>
      </w:r>
      <w:r>
        <w:rPr>
          <w:rFonts w:hint="eastAsia"/>
          <w:szCs w:val="24"/>
        </w:rPr>
        <w:t>日</w:t>
      </w:r>
      <w:r>
        <w:rPr>
          <w:rFonts w:hint="eastAsia" w:cs="宋体"/>
          <w:sz w:val="24"/>
          <w:szCs w:val="24"/>
          <w:lang w:val="en-US" w:eastAsia="zh-CN"/>
        </w:rPr>
        <w:t>9</w:t>
      </w:r>
      <w:r>
        <w:rPr>
          <w:rFonts w:hint="eastAsia"/>
          <w:szCs w:val="24"/>
        </w:rPr>
        <w:t>点</w:t>
      </w:r>
      <w:r>
        <w:rPr>
          <w:rFonts w:hint="eastAsia" w:cs="宋体"/>
          <w:sz w:val="24"/>
          <w:szCs w:val="24"/>
          <w:lang w:val="en-US" w:eastAsia="zh-CN"/>
        </w:rPr>
        <w:t>30</w:t>
      </w:r>
      <w:r>
        <w:rPr>
          <w:rFonts w:hint="eastAsia"/>
          <w:szCs w:val="24"/>
        </w:rPr>
        <w:t>分（北京时间）</w:t>
      </w:r>
    </w:p>
    <w:p>
      <w:pPr>
        <w:keepNext w:val="0"/>
        <w:keepLines w:val="0"/>
        <w:pageBreakBefore w:val="0"/>
        <w:widowControl w:val="0"/>
        <w:numPr>
          <w:ilvl w:val="0"/>
          <w:numId w:val="4"/>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提交投标文件截止时间：20</w:t>
      </w:r>
      <w:r>
        <w:rPr>
          <w:rFonts w:hint="eastAsia"/>
          <w:szCs w:val="24"/>
          <w:lang w:val="en-US" w:eastAsia="zh-CN"/>
        </w:rPr>
        <w:t>24</w:t>
      </w:r>
      <w:r>
        <w:rPr>
          <w:rFonts w:hint="eastAsia"/>
          <w:szCs w:val="24"/>
        </w:rPr>
        <w:t>年</w:t>
      </w:r>
      <w:r>
        <w:rPr>
          <w:rFonts w:hint="eastAsia"/>
          <w:szCs w:val="24"/>
          <w:lang w:val="en-US" w:eastAsia="zh-CN"/>
        </w:rPr>
        <w:t xml:space="preserve"> 1 </w:t>
      </w:r>
      <w:r>
        <w:rPr>
          <w:rFonts w:hint="eastAsia"/>
          <w:szCs w:val="24"/>
        </w:rPr>
        <w:t>月</w:t>
      </w:r>
      <w:r>
        <w:rPr>
          <w:rFonts w:hint="eastAsia"/>
          <w:szCs w:val="24"/>
          <w:lang w:val="en-US" w:eastAsia="zh-CN"/>
        </w:rPr>
        <w:t xml:space="preserve"> 16 </w:t>
      </w:r>
      <w:r>
        <w:rPr>
          <w:rFonts w:hint="eastAsia"/>
          <w:szCs w:val="24"/>
        </w:rPr>
        <w:t>日</w:t>
      </w:r>
      <w:r>
        <w:rPr>
          <w:rFonts w:hint="eastAsia" w:cs="宋体"/>
          <w:sz w:val="24"/>
          <w:szCs w:val="24"/>
          <w:lang w:val="en-US" w:eastAsia="zh-CN"/>
        </w:rPr>
        <w:t>9</w:t>
      </w:r>
      <w:r>
        <w:rPr>
          <w:rFonts w:hint="eastAsia"/>
          <w:szCs w:val="24"/>
        </w:rPr>
        <w:t>点</w:t>
      </w:r>
      <w:r>
        <w:rPr>
          <w:rFonts w:hint="eastAsia" w:cs="宋体"/>
          <w:sz w:val="24"/>
          <w:szCs w:val="24"/>
          <w:lang w:val="en-US" w:eastAsia="zh-CN"/>
        </w:rPr>
        <w:t>30</w:t>
      </w:r>
      <w:r>
        <w:rPr>
          <w:rFonts w:hint="eastAsia"/>
          <w:szCs w:val="24"/>
        </w:rPr>
        <w:t>分（北京时间）</w:t>
      </w:r>
    </w:p>
    <w:p>
      <w:pPr>
        <w:keepNext w:val="0"/>
        <w:keepLines w:val="0"/>
        <w:pageBreakBefore w:val="0"/>
        <w:widowControl w:val="0"/>
        <w:numPr>
          <w:ilvl w:val="0"/>
          <w:numId w:val="4"/>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rPr>
          <w:szCs w:val="24"/>
        </w:rPr>
      </w:pPr>
      <w:r>
        <w:rPr>
          <w:rFonts w:hint="eastAsia"/>
          <w:szCs w:val="24"/>
        </w:rPr>
        <w:t>地点：</w:t>
      </w:r>
      <w:r>
        <w:rPr>
          <w:rFonts w:hint="eastAsia"/>
          <w:szCs w:val="24"/>
          <w:lang w:eastAsia="zh-CN"/>
        </w:rPr>
        <w:t>黄冈市</w:t>
      </w:r>
      <w:r>
        <w:rPr>
          <w:rFonts w:hint="eastAsia"/>
          <w:szCs w:val="24"/>
        </w:rPr>
        <w:t>政府电子采购平台（https：//sso.hubeigp.gov.cn/checkLogin?sourceURL=https%3A%2F%2Fdzcg.hubeigp.gov.cn%2Flogon&amp;cloudid=148）</w:t>
      </w:r>
    </w:p>
    <w:p>
      <w:pPr>
        <w:spacing w:line="360" w:lineRule="auto"/>
        <w:rPr>
          <w:b/>
          <w:szCs w:val="24"/>
        </w:rPr>
      </w:pPr>
      <w:bookmarkStart w:id="35" w:name="_Toc102057671"/>
      <w:bookmarkStart w:id="36" w:name="_Toc102116103"/>
      <w:bookmarkStart w:id="37" w:name="_Toc102056171"/>
      <w:bookmarkStart w:id="38" w:name="_Toc102114871"/>
      <w:bookmarkStart w:id="39" w:name="_Toc102119804"/>
      <w:bookmarkStart w:id="40" w:name="_Toc102115973"/>
      <w:r>
        <w:rPr>
          <w:rFonts w:hint="eastAsia"/>
          <w:b/>
          <w:szCs w:val="24"/>
        </w:rPr>
        <w:t>五</w:t>
      </w:r>
      <w:r>
        <w:rPr>
          <w:b/>
          <w:szCs w:val="24"/>
        </w:rPr>
        <w:t>、</w:t>
      </w:r>
      <w:r>
        <w:rPr>
          <w:rFonts w:hint="eastAsia"/>
          <w:b/>
          <w:szCs w:val="24"/>
        </w:rPr>
        <w:t>公告期限</w:t>
      </w:r>
      <w:bookmarkEnd w:id="35"/>
      <w:bookmarkEnd w:id="36"/>
      <w:bookmarkEnd w:id="37"/>
      <w:bookmarkEnd w:id="38"/>
      <w:bookmarkEnd w:id="39"/>
      <w:bookmarkEnd w:id="40"/>
      <w:bookmarkStart w:id="654" w:name="_GoBack"/>
      <w:bookmarkEnd w:id="654"/>
    </w:p>
    <w:p>
      <w:pPr>
        <w:tabs>
          <w:tab w:val="left" w:pos="896"/>
        </w:tabs>
        <w:wordWrap w:val="0"/>
        <w:spacing w:line="360" w:lineRule="auto"/>
        <w:ind w:firstLine="480" w:firstLineChars="200"/>
        <w:rPr>
          <w:szCs w:val="24"/>
        </w:rPr>
      </w:pPr>
      <w:r>
        <w:rPr>
          <w:rFonts w:hint="eastAsia"/>
          <w:szCs w:val="24"/>
        </w:rPr>
        <w:t>自本公告发布之日起5个工作日。</w:t>
      </w:r>
    </w:p>
    <w:p>
      <w:pPr>
        <w:spacing w:line="360" w:lineRule="auto"/>
        <w:rPr>
          <w:b/>
          <w:szCs w:val="24"/>
        </w:rPr>
      </w:pPr>
      <w:bookmarkStart w:id="41" w:name="_Toc102114872"/>
      <w:bookmarkStart w:id="42" w:name="_Toc102115974"/>
      <w:bookmarkStart w:id="43" w:name="_Toc102056172"/>
      <w:bookmarkStart w:id="44" w:name="_Toc102057672"/>
      <w:bookmarkStart w:id="45" w:name="_Toc102116104"/>
      <w:bookmarkStart w:id="46" w:name="_Toc102119805"/>
      <w:r>
        <w:rPr>
          <w:rFonts w:hint="eastAsia"/>
          <w:b/>
          <w:szCs w:val="24"/>
        </w:rPr>
        <w:t>六</w:t>
      </w:r>
      <w:r>
        <w:rPr>
          <w:b/>
          <w:szCs w:val="24"/>
        </w:rPr>
        <w:t>、</w:t>
      </w:r>
      <w:r>
        <w:rPr>
          <w:rFonts w:hint="eastAsia"/>
          <w:b/>
          <w:szCs w:val="24"/>
        </w:rPr>
        <w:t>其他补充事宜</w:t>
      </w:r>
      <w:bookmarkEnd w:id="41"/>
      <w:bookmarkEnd w:id="42"/>
      <w:bookmarkEnd w:id="43"/>
      <w:bookmarkEnd w:id="44"/>
      <w:bookmarkEnd w:id="45"/>
      <w:bookmarkEnd w:id="46"/>
    </w:p>
    <w:p>
      <w:pPr>
        <w:keepNext w:val="0"/>
        <w:keepLines w:val="0"/>
        <w:pageBreakBefore w:val="0"/>
        <w:widowControl w:val="0"/>
        <w:numPr>
          <w:ilvl w:val="0"/>
          <w:numId w:val="5"/>
        </w:numPr>
        <w:tabs>
          <w:tab w:val="left" w:pos="0"/>
          <w:tab w:val="left" w:pos="851"/>
          <w:tab w:val="clear" w:pos="420"/>
        </w:tabs>
        <w:kinsoku/>
        <w:wordWrap w:val="0"/>
        <w:overflowPunct/>
        <w:topLinePunct w:val="0"/>
        <w:autoSpaceDE/>
        <w:autoSpaceDN/>
        <w:bidi w:val="0"/>
        <w:adjustRightInd/>
        <w:snapToGrid/>
        <w:spacing w:line="360" w:lineRule="auto"/>
        <w:ind w:left="0" w:leftChars="0" w:firstLine="480" w:firstLineChars="200"/>
        <w:textAlignment w:val="auto"/>
      </w:pPr>
      <w:r>
        <w:rPr>
          <w:rFonts w:hint="eastAsia"/>
          <w:szCs w:val="24"/>
          <w:lang w:eastAsia="zh-CN"/>
        </w:rPr>
        <w:t>登录“黄冈市政府电子采购平台”时，请投标人在浏览器直接输入黄冈市政府电子采购平台官方网址https：//sso.hubeigp.gov.cn/checkLogin?sourceURL=https%3A%2F%2Fdzcg.hubeigp.gov.cn%2Flogon&amp;cloudid=148，勿使用搜索引擎查找，以免错误登录其他非官方平台，导致项目参与失败。</w:t>
      </w:r>
    </w:p>
    <w:p>
      <w:pPr>
        <w:spacing w:line="360" w:lineRule="auto"/>
        <w:rPr>
          <w:b/>
          <w:szCs w:val="24"/>
        </w:rPr>
      </w:pPr>
      <w:bookmarkStart w:id="47" w:name="_Toc102056173"/>
      <w:bookmarkStart w:id="48" w:name="_Toc102115975"/>
      <w:bookmarkStart w:id="49" w:name="_Toc102116105"/>
      <w:bookmarkStart w:id="50" w:name="_Toc102119806"/>
      <w:bookmarkStart w:id="51" w:name="_Toc102114873"/>
      <w:bookmarkStart w:id="52" w:name="_Toc102057673"/>
      <w:r>
        <w:rPr>
          <w:rFonts w:hint="eastAsia"/>
          <w:b/>
          <w:szCs w:val="24"/>
        </w:rPr>
        <w:t>七</w:t>
      </w:r>
      <w:r>
        <w:rPr>
          <w:b/>
          <w:szCs w:val="24"/>
        </w:rPr>
        <w:t>、</w:t>
      </w:r>
      <w:r>
        <w:rPr>
          <w:rFonts w:hint="eastAsia"/>
          <w:b/>
          <w:szCs w:val="24"/>
        </w:rPr>
        <w:t>对本次招标提出询问，请按以下方式联系</w:t>
      </w:r>
      <w:bookmarkEnd w:id="47"/>
      <w:bookmarkEnd w:id="48"/>
      <w:bookmarkEnd w:id="49"/>
      <w:bookmarkEnd w:id="50"/>
      <w:bookmarkEnd w:id="51"/>
      <w:bookmarkEnd w:id="52"/>
    </w:p>
    <w:p>
      <w:pPr>
        <w:numPr>
          <w:ilvl w:val="0"/>
          <w:numId w:val="6"/>
        </w:numPr>
        <w:tabs>
          <w:tab w:val="left" w:pos="0"/>
        </w:tabs>
        <w:wordWrap w:val="0"/>
        <w:spacing w:line="360" w:lineRule="auto"/>
        <w:ind w:left="851" w:hanging="369"/>
        <w:rPr>
          <w:szCs w:val="24"/>
        </w:rPr>
      </w:pPr>
      <w:r>
        <w:rPr>
          <w:rFonts w:hint="eastAsia"/>
          <w:szCs w:val="24"/>
        </w:rPr>
        <w:t>采购人信息</w:t>
      </w:r>
    </w:p>
    <w:p>
      <w:pPr>
        <w:tabs>
          <w:tab w:val="left" w:pos="0"/>
        </w:tabs>
        <w:wordWrap w:val="0"/>
        <w:spacing w:line="360" w:lineRule="auto"/>
        <w:ind w:left="851"/>
        <w:rPr>
          <w:rFonts w:hint="eastAsia" w:cs="Times New Roman"/>
          <w:szCs w:val="24"/>
        </w:rPr>
      </w:pPr>
      <w:r>
        <w:rPr>
          <w:rFonts w:hint="eastAsia" w:cs="Times New Roman"/>
          <w:szCs w:val="24"/>
          <w:lang w:val="en-US" w:eastAsia="zh-CN"/>
        </w:rPr>
        <w:t>名称：黄冈市林业局</w:t>
      </w:r>
    </w:p>
    <w:p>
      <w:pPr>
        <w:tabs>
          <w:tab w:val="left" w:pos="0"/>
        </w:tabs>
        <w:wordWrap w:val="0"/>
        <w:spacing w:line="360" w:lineRule="auto"/>
        <w:ind w:left="851"/>
        <w:rPr>
          <w:rFonts w:hint="eastAsia" w:cs="Times New Roman"/>
          <w:szCs w:val="24"/>
          <w:lang w:val="en-US" w:eastAsia="zh-CN"/>
        </w:rPr>
      </w:pPr>
      <w:r>
        <w:rPr>
          <w:rFonts w:hint="eastAsia" w:cs="Times New Roman"/>
          <w:szCs w:val="24"/>
          <w:lang w:val="en-US" w:eastAsia="zh-CN"/>
        </w:rPr>
        <w:t>地址：黄冈市高新技术开发区新港三路9号</w:t>
      </w:r>
    </w:p>
    <w:p>
      <w:pPr>
        <w:tabs>
          <w:tab w:val="left" w:pos="0"/>
        </w:tabs>
        <w:wordWrap w:val="0"/>
        <w:spacing w:line="360" w:lineRule="auto"/>
        <w:ind w:left="851"/>
        <w:rPr>
          <w:rFonts w:hint="eastAsia" w:cs="Times New Roman"/>
          <w:szCs w:val="24"/>
          <w:lang w:val="en-US" w:eastAsia="zh-CN"/>
        </w:rPr>
      </w:pPr>
      <w:r>
        <w:rPr>
          <w:rFonts w:hint="eastAsia" w:cs="Times New Roman"/>
          <w:szCs w:val="24"/>
          <w:lang w:val="en-US" w:eastAsia="zh-CN"/>
        </w:rPr>
        <w:t>联系方式：</w:t>
      </w:r>
      <w:r>
        <w:rPr>
          <w:rFonts w:hint="eastAsia" w:ascii="宋体" w:hAnsi="宋体" w:eastAsia="宋体" w:cs="Times New Roman"/>
          <w:szCs w:val="24"/>
          <w:lang w:val="en-US" w:eastAsia="zh-CN"/>
        </w:rPr>
        <w:t>18671352230</w:t>
      </w:r>
    </w:p>
    <w:p>
      <w:pPr>
        <w:numPr>
          <w:ilvl w:val="0"/>
          <w:numId w:val="6"/>
        </w:numPr>
        <w:tabs>
          <w:tab w:val="left" w:pos="0"/>
        </w:tabs>
        <w:wordWrap w:val="0"/>
        <w:spacing w:line="360" w:lineRule="auto"/>
        <w:ind w:left="851" w:hanging="369"/>
        <w:rPr>
          <w:szCs w:val="24"/>
        </w:rPr>
      </w:pPr>
      <w:r>
        <w:rPr>
          <w:rFonts w:hint="eastAsia"/>
          <w:szCs w:val="24"/>
          <w:lang w:eastAsia="zh-CN"/>
        </w:rPr>
        <w:t>采购代理机构</w:t>
      </w:r>
      <w:r>
        <w:rPr>
          <w:rFonts w:hint="eastAsia"/>
          <w:szCs w:val="24"/>
        </w:rPr>
        <w:t>信息</w:t>
      </w:r>
    </w:p>
    <w:p>
      <w:pPr>
        <w:tabs>
          <w:tab w:val="left" w:pos="0"/>
        </w:tabs>
        <w:wordWrap w:val="0"/>
        <w:spacing w:line="360" w:lineRule="auto"/>
        <w:ind w:left="851"/>
        <w:rPr>
          <w:rFonts w:hint="eastAsia" w:cs="Times New Roman"/>
          <w:szCs w:val="24"/>
          <w:lang w:val="en-US" w:eastAsia="zh-CN"/>
        </w:rPr>
      </w:pPr>
      <w:r>
        <w:rPr>
          <w:rFonts w:hint="eastAsia" w:cs="Times New Roman"/>
          <w:szCs w:val="24"/>
          <w:lang w:val="en-US" w:eastAsia="zh-CN"/>
        </w:rPr>
        <w:t>名称：湖北齐兴会计师事务有限公司</w:t>
      </w:r>
    </w:p>
    <w:p>
      <w:pPr>
        <w:tabs>
          <w:tab w:val="left" w:pos="0"/>
        </w:tabs>
        <w:wordWrap w:val="0"/>
        <w:spacing w:line="360" w:lineRule="auto"/>
        <w:ind w:left="851"/>
        <w:rPr>
          <w:rFonts w:hint="eastAsia" w:cs="Times New Roman"/>
          <w:szCs w:val="24"/>
          <w:lang w:val="en-US" w:eastAsia="zh-CN"/>
        </w:rPr>
      </w:pPr>
      <w:r>
        <w:rPr>
          <w:rFonts w:hint="eastAsia" w:cs="Times New Roman"/>
          <w:szCs w:val="24"/>
          <w:lang w:val="en-US" w:eastAsia="zh-CN"/>
        </w:rPr>
        <w:t>地址：湖北省黄冈市黄州区赤壁大道特3号鑫湖大厦14层</w:t>
      </w:r>
    </w:p>
    <w:p>
      <w:pPr>
        <w:tabs>
          <w:tab w:val="left" w:pos="0"/>
        </w:tabs>
        <w:wordWrap w:val="0"/>
        <w:spacing w:line="360" w:lineRule="auto"/>
        <w:ind w:left="851"/>
        <w:rPr>
          <w:rFonts w:hint="eastAsia" w:cs="Times New Roman"/>
          <w:szCs w:val="24"/>
          <w:lang w:val="en-US" w:eastAsia="zh-CN"/>
        </w:rPr>
      </w:pPr>
      <w:r>
        <w:rPr>
          <w:rFonts w:hint="eastAsia" w:cs="Times New Roman"/>
          <w:szCs w:val="24"/>
          <w:lang w:val="en-US" w:eastAsia="zh-CN"/>
        </w:rPr>
        <w:t xml:space="preserve">联系方式： 0713-8354559  </w:t>
      </w:r>
    </w:p>
    <w:p>
      <w:pPr>
        <w:numPr>
          <w:ilvl w:val="0"/>
          <w:numId w:val="6"/>
        </w:numPr>
        <w:tabs>
          <w:tab w:val="left" w:pos="0"/>
        </w:tabs>
        <w:wordWrap w:val="0"/>
        <w:spacing w:line="360" w:lineRule="auto"/>
        <w:ind w:left="851" w:hanging="369"/>
        <w:rPr>
          <w:szCs w:val="24"/>
        </w:rPr>
      </w:pPr>
      <w:r>
        <w:rPr>
          <w:rFonts w:hint="eastAsia"/>
          <w:szCs w:val="24"/>
        </w:rPr>
        <w:t>项目联系方式</w:t>
      </w:r>
    </w:p>
    <w:p>
      <w:pPr>
        <w:tabs>
          <w:tab w:val="left" w:pos="0"/>
        </w:tabs>
        <w:wordWrap w:val="0"/>
        <w:spacing w:line="360" w:lineRule="auto"/>
        <w:ind w:left="851"/>
        <w:rPr>
          <w:rFonts w:hint="eastAsia"/>
          <w:szCs w:val="24"/>
          <w:lang w:eastAsia="zh-CN"/>
        </w:rPr>
      </w:pPr>
      <w:r>
        <w:rPr>
          <w:rFonts w:hint="eastAsia"/>
          <w:szCs w:val="24"/>
        </w:rPr>
        <w:t>项目联系人：刘女士</w:t>
      </w:r>
    </w:p>
    <w:p>
      <w:pPr>
        <w:tabs>
          <w:tab w:val="left" w:pos="0"/>
        </w:tabs>
        <w:wordWrap w:val="0"/>
        <w:spacing w:line="360" w:lineRule="auto"/>
        <w:ind w:left="851"/>
        <w:rPr>
          <w:rFonts w:hint="default"/>
          <w:b/>
          <w:iCs/>
          <w:szCs w:val="24"/>
          <w:lang w:val="en-US"/>
        </w:rPr>
      </w:pPr>
      <w:r>
        <w:rPr>
          <w:rFonts w:hint="eastAsia"/>
          <w:szCs w:val="24"/>
        </w:rPr>
        <w:t>电话：</w:t>
      </w:r>
      <w:r>
        <w:rPr>
          <w:rFonts w:hint="eastAsia"/>
          <w:szCs w:val="24"/>
          <w:lang w:val="en-US" w:eastAsia="zh-CN"/>
        </w:rPr>
        <w:t xml:space="preserve"> 0713-8354559  </w:t>
      </w:r>
    </w:p>
    <w:p>
      <w:pPr>
        <w:tabs>
          <w:tab w:val="left" w:pos="0"/>
          <w:tab w:val="left" w:pos="5880"/>
        </w:tabs>
        <w:wordWrap w:val="0"/>
        <w:spacing w:line="360" w:lineRule="auto"/>
        <w:ind w:left="851"/>
        <w:rPr>
          <w:b/>
          <w:iCs/>
          <w:szCs w:val="24"/>
        </w:rPr>
      </w:pPr>
      <w:r>
        <w:rPr>
          <w:szCs w:val="24"/>
        </w:rPr>
        <w:tab/>
      </w:r>
    </w:p>
    <w:p>
      <w:pPr>
        <w:pStyle w:val="11"/>
        <w:tabs>
          <w:tab w:val="left" w:pos="5880"/>
        </w:tabs>
        <w:wordWrap w:val="0"/>
        <w:spacing w:line="360" w:lineRule="auto"/>
        <w:rPr>
          <w:sz w:val="21"/>
          <w:szCs w:val="21"/>
        </w:rPr>
        <w:sectPr>
          <w:footerReference r:id="rId5" w:type="default"/>
          <w:pgSz w:w="11906" w:h="16838"/>
          <w:pgMar w:top="1134" w:right="1191" w:bottom="1134" w:left="1191" w:header="851" w:footer="992" w:gutter="0"/>
          <w:pgBorders>
            <w:top w:val="none" w:sz="0" w:space="0"/>
            <w:left w:val="none" w:sz="0" w:space="0"/>
            <w:bottom w:val="none" w:sz="0" w:space="0"/>
            <w:right w:val="none" w:sz="0" w:space="0"/>
          </w:pgBorders>
          <w:pgNumType w:start="1"/>
          <w:cols w:space="720" w:num="1"/>
          <w:docGrid w:type="linesAndChars" w:linePitch="312" w:charSpace="0"/>
        </w:sectPr>
      </w:pPr>
      <w:r>
        <w:rPr>
          <w:sz w:val="21"/>
          <w:szCs w:val="21"/>
        </w:rPr>
        <w:tab/>
      </w: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53" w:name="_Toc24763"/>
      <w:r>
        <w:rPr>
          <w:rFonts w:hint="eastAsia"/>
          <w:sz w:val="36"/>
          <w:szCs w:val="36"/>
        </w:rPr>
        <w:t>投标人须知</w:t>
      </w:r>
      <w:bookmarkEnd w:id="53"/>
    </w:p>
    <w:p>
      <w:pPr>
        <w:tabs>
          <w:tab w:val="left" w:pos="476"/>
        </w:tabs>
        <w:wordWrap w:val="0"/>
        <w:spacing w:line="360" w:lineRule="auto"/>
        <w:ind w:firstLine="560" w:firstLineChars="200"/>
        <w:jc w:val="center"/>
        <w:outlineLvl w:val="1"/>
        <w:rPr>
          <w:sz w:val="28"/>
          <w:szCs w:val="28"/>
          <w:lang w:val="zh-CN"/>
        </w:rPr>
      </w:pPr>
      <w:bookmarkStart w:id="54" w:name="_Toc117244349"/>
      <w:bookmarkStart w:id="55" w:name="_Toc102116107"/>
      <w:bookmarkStart w:id="56" w:name="_Toc102114875"/>
      <w:bookmarkStart w:id="57" w:name="_Toc102115977"/>
      <w:bookmarkStart w:id="58" w:name="_Toc102057675"/>
      <w:bookmarkStart w:id="59" w:name="_Toc117244464"/>
      <w:bookmarkStart w:id="60" w:name="_Toc511894494"/>
      <w:bookmarkStart w:id="61" w:name="_Toc102119808"/>
      <w:bookmarkStart w:id="62" w:name="_Toc3143"/>
      <w:bookmarkStart w:id="63" w:name="_Toc511889416"/>
      <w:bookmarkStart w:id="64" w:name="_Toc102056175"/>
      <w:bookmarkStart w:id="65" w:name="_Toc102116108"/>
      <w:bookmarkStart w:id="66" w:name="_Toc100579891"/>
      <w:bookmarkStart w:id="67" w:name="_Toc102119809"/>
      <w:bookmarkStart w:id="68" w:name="_Toc102056176"/>
      <w:bookmarkStart w:id="69" w:name="_Toc102057676"/>
      <w:bookmarkStart w:id="70" w:name="_Toc102114876"/>
      <w:bookmarkStart w:id="71" w:name="_Toc102115978"/>
      <w:r>
        <w:rPr>
          <w:sz w:val="28"/>
          <w:szCs w:val="28"/>
          <w:lang w:val="zh-CN"/>
        </w:rPr>
        <w:t>投标人须知前附表</w:t>
      </w:r>
      <w:bookmarkEnd w:id="54"/>
      <w:bookmarkEnd w:id="55"/>
      <w:bookmarkEnd w:id="56"/>
      <w:bookmarkEnd w:id="57"/>
      <w:bookmarkEnd w:id="58"/>
      <w:bookmarkEnd w:id="59"/>
      <w:bookmarkEnd w:id="60"/>
      <w:bookmarkEnd w:id="61"/>
      <w:bookmarkEnd w:id="62"/>
      <w:bookmarkEnd w:id="63"/>
      <w:bookmarkEnd w:id="64"/>
    </w:p>
    <w:tbl>
      <w:tblPr>
        <w:tblStyle w:val="29"/>
        <w:tblW w:w="9740"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Layout w:type="fixed"/>
        <w:tblCellMar>
          <w:top w:w="0" w:type="dxa"/>
          <w:left w:w="108" w:type="dxa"/>
          <w:bottom w:w="0" w:type="dxa"/>
          <w:right w:w="108" w:type="dxa"/>
        </w:tblCellMar>
      </w:tblPr>
      <w:tblGrid>
        <w:gridCol w:w="959"/>
        <w:gridCol w:w="1730"/>
        <w:gridCol w:w="7051"/>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tblHeader/>
          <w:jc w:val="center"/>
        </w:trPr>
        <w:tc>
          <w:tcPr>
            <w:tcW w:w="959" w:type="dxa"/>
            <w:tcBorders>
              <w:tl2br w:val="nil"/>
              <w:tr2bl w:val="nil"/>
            </w:tcBorders>
            <w:shd w:val="pct10" w:color="C3BD96" w:fill="DDD9C4"/>
            <w:noWrap w:val="0"/>
            <w:vAlign w:val="center"/>
          </w:tcPr>
          <w:p>
            <w:pPr>
              <w:wordWrap w:val="0"/>
              <w:spacing w:line="360" w:lineRule="auto"/>
              <w:ind w:left="-74" w:leftChars="-31" w:right="-91" w:rightChars="-38"/>
              <w:jc w:val="center"/>
              <w:rPr>
                <w:b/>
                <w:szCs w:val="24"/>
              </w:rPr>
            </w:pPr>
            <w:r>
              <w:rPr>
                <w:rFonts w:hint="eastAsia"/>
                <w:b/>
                <w:szCs w:val="24"/>
              </w:rPr>
              <w:t>条款</w:t>
            </w:r>
            <w:r>
              <w:rPr>
                <w:b/>
                <w:szCs w:val="24"/>
              </w:rPr>
              <w:t>号</w:t>
            </w:r>
          </w:p>
        </w:tc>
        <w:tc>
          <w:tcPr>
            <w:tcW w:w="1730" w:type="dxa"/>
            <w:tcBorders>
              <w:tl2br w:val="nil"/>
              <w:tr2bl w:val="nil"/>
            </w:tcBorders>
            <w:shd w:val="pct10" w:color="C3BD96" w:fill="DDD9C4"/>
            <w:noWrap w:val="0"/>
            <w:vAlign w:val="center"/>
          </w:tcPr>
          <w:p>
            <w:pPr>
              <w:wordWrap w:val="0"/>
              <w:spacing w:line="360" w:lineRule="auto"/>
              <w:ind w:right="-11"/>
              <w:jc w:val="center"/>
              <w:rPr>
                <w:b/>
                <w:szCs w:val="24"/>
              </w:rPr>
            </w:pPr>
            <w:r>
              <w:rPr>
                <w:rFonts w:hint="eastAsia"/>
                <w:b/>
                <w:szCs w:val="24"/>
              </w:rPr>
              <w:t>条款名称</w:t>
            </w:r>
          </w:p>
        </w:tc>
        <w:tc>
          <w:tcPr>
            <w:tcW w:w="7051" w:type="dxa"/>
            <w:tcBorders>
              <w:tl2br w:val="nil"/>
              <w:tr2bl w:val="nil"/>
            </w:tcBorders>
            <w:shd w:val="pct10" w:color="C3BD96" w:fill="DDD9C4"/>
            <w:noWrap w:val="0"/>
            <w:vAlign w:val="center"/>
          </w:tcPr>
          <w:p>
            <w:pPr>
              <w:wordWrap w:val="0"/>
              <w:spacing w:line="360" w:lineRule="auto"/>
              <w:ind w:right="57"/>
              <w:jc w:val="center"/>
              <w:rPr>
                <w:b/>
                <w:szCs w:val="24"/>
              </w:rPr>
            </w:pPr>
            <w:r>
              <w:rPr>
                <w:rFonts w:hint="eastAsia"/>
                <w:b/>
                <w:szCs w:val="24"/>
              </w:rPr>
              <w:t>编列</w:t>
            </w:r>
            <w:r>
              <w:rPr>
                <w:b/>
                <w:szCs w:val="24"/>
              </w:rPr>
              <w:t>内容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wordWrap w:val="0"/>
              <w:spacing w:line="360" w:lineRule="auto"/>
              <w:rPr>
                <w:rFonts w:cs="宋体"/>
                <w:szCs w:val="24"/>
              </w:rPr>
            </w:pPr>
            <w:r>
              <w:rPr>
                <w:rFonts w:hint="eastAsia" w:cs="宋体"/>
                <w:szCs w:val="24"/>
              </w:rPr>
              <w:t>一、总则</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3.1</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监管部门</w:t>
            </w:r>
          </w:p>
        </w:tc>
        <w:tc>
          <w:tcPr>
            <w:tcW w:w="7051" w:type="dxa"/>
            <w:tcBorders>
              <w:tl2br w:val="nil"/>
              <w:tr2bl w:val="nil"/>
            </w:tcBorders>
            <w:noWrap w:val="0"/>
            <w:vAlign w:val="center"/>
          </w:tcPr>
          <w:p>
            <w:pPr>
              <w:wordWrap w:val="0"/>
              <w:spacing w:line="360" w:lineRule="auto"/>
              <w:rPr>
                <w:rFonts w:hint="default"/>
                <w:szCs w:val="24"/>
                <w:lang w:val="en-US"/>
              </w:rPr>
            </w:pPr>
            <w:r>
              <w:rPr>
                <w:rFonts w:hint="eastAsia"/>
                <w:szCs w:val="24"/>
                <w:lang w:eastAsia="zh-CN"/>
              </w:rPr>
              <w:t>黄冈市财政局</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4.1</w:t>
            </w:r>
          </w:p>
        </w:tc>
        <w:tc>
          <w:tcPr>
            <w:tcW w:w="1730" w:type="dxa"/>
            <w:tcBorders>
              <w:tl2br w:val="nil"/>
              <w:tr2bl w:val="nil"/>
            </w:tcBorders>
            <w:noWrap w:val="0"/>
            <w:vAlign w:val="center"/>
          </w:tcPr>
          <w:p>
            <w:pPr>
              <w:wordWrap w:val="0"/>
              <w:spacing w:line="360" w:lineRule="auto"/>
              <w:jc w:val="center"/>
              <w:rPr>
                <w:rFonts w:cs="宋体"/>
                <w:szCs w:val="24"/>
              </w:rPr>
            </w:pPr>
            <w:r>
              <w:rPr>
                <w:rFonts w:hint="eastAsia" w:cs="宋体"/>
                <w:szCs w:val="24"/>
              </w:rPr>
              <w:t>项目属性</w:t>
            </w:r>
          </w:p>
        </w:tc>
        <w:tc>
          <w:tcPr>
            <w:tcW w:w="7051" w:type="dxa"/>
            <w:tcBorders>
              <w:tl2br w:val="nil"/>
              <w:tr2bl w:val="nil"/>
            </w:tcBorders>
            <w:noWrap w:val="0"/>
            <w:vAlign w:val="center"/>
          </w:tcPr>
          <w:p>
            <w:pPr>
              <w:pStyle w:val="11"/>
              <w:spacing w:line="360" w:lineRule="auto"/>
              <w:rPr>
                <w:i/>
              </w:rPr>
            </w:pPr>
            <w:r>
              <w:rPr>
                <w:rFonts w:hint="eastAsia" w:ascii="宋体" w:hAnsi="宋体" w:eastAsia="宋体" w:cs="Times New Roman"/>
                <w:sz w:val="24"/>
                <w:szCs w:val="24"/>
                <w:lang w:val="en-US" w:eastAsia="zh-CN" w:bidi="ar-SA"/>
              </w:rPr>
              <w:t>服务</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rFonts w:hint="default" w:eastAsia="宋体"/>
                <w:szCs w:val="24"/>
                <w:lang w:val="en-US" w:eastAsia="zh-CN"/>
              </w:rPr>
            </w:pPr>
            <w:r>
              <w:rPr>
                <w:rFonts w:hint="eastAsia"/>
                <w:szCs w:val="24"/>
                <w:lang w:val="en-US" w:eastAsia="zh-CN"/>
              </w:rPr>
              <w:t>4.3</w:t>
            </w:r>
          </w:p>
        </w:tc>
        <w:tc>
          <w:tcPr>
            <w:tcW w:w="1730" w:type="dxa"/>
            <w:tcBorders>
              <w:tl2br w:val="nil"/>
              <w:tr2bl w:val="nil"/>
            </w:tcBorders>
            <w:noWrap w:val="0"/>
            <w:vAlign w:val="center"/>
          </w:tcPr>
          <w:p>
            <w:pPr>
              <w:wordWrap w:val="0"/>
              <w:spacing w:line="360" w:lineRule="auto"/>
              <w:jc w:val="center"/>
              <w:rPr>
                <w:rFonts w:hint="eastAsia" w:eastAsia="宋体" w:cs="宋体"/>
                <w:szCs w:val="24"/>
                <w:lang w:eastAsia="zh-CN"/>
              </w:rPr>
            </w:pPr>
            <w:r>
              <w:rPr>
                <w:rFonts w:hint="eastAsia" w:cs="宋体"/>
                <w:szCs w:val="24"/>
                <w:lang w:eastAsia="zh-CN"/>
              </w:rPr>
              <w:t>所属行业</w:t>
            </w:r>
          </w:p>
        </w:tc>
        <w:tc>
          <w:tcPr>
            <w:tcW w:w="7051" w:type="dxa"/>
            <w:tcBorders>
              <w:tl2br w:val="nil"/>
              <w:tr2bl w:val="nil"/>
            </w:tcBorders>
            <w:noWrap w:val="0"/>
            <w:vAlign w:val="center"/>
          </w:tcPr>
          <w:p>
            <w:pPr>
              <w:pStyle w:val="11"/>
              <w:spacing w:line="360" w:lineRule="auto"/>
              <w:rPr>
                <w:rFonts w:hint="eastAsia" w:ascii="宋体" w:hAnsi="宋体" w:eastAsia="宋体" w:cs="Times New Roman"/>
                <w:sz w:val="24"/>
                <w:szCs w:val="24"/>
                <w:lang w:val="en-US" w:eastAsia="zh-CN" w:bidi="ar-SA"/>
              </w:rPr>
            </w:pPr>
            <w:r>
              <w:rPr>
                <w:rFonts w:hint="eastAsia" w:ascii="宋体" w:hAnsi="宋体" w:eastAsia="宋体" w:cs="Times New Roman"/>
                <w:sz w:val="24"/>
                <w:szCs w:val="24"/>
                <w:lang w:val="en-US" w:eastAsia="zh-CN" w:bidi="ar-SA"/>
              </w:rPr>
              <w:t>其他未列明行业</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5.3</w:t>
            </w:r>
          </w:p>
        </w:tc>
        <w:tc>
          <w:tcPr>
            <w:tcW w:w="1730" w:type="dxa"/>
            <w:tcBorders>
              <w:tl2br w:val="nil"/>
              <w:tr2bl w:val="nil"/>
            </w:tcBorders>
            <w:noWrap w:val="0"/>
            <w:vAlign w:val="center"/>
          </w:tcPr>
          <w:p>
            <w:pPr>
              <w:wordWrap w:val="0"/>
              <w:spacing w:line="360" w:lineRule="auto"/>
              <w:jc w:val="center"/>
              <w:rPr>
                <w:rFonts w:cs="宋体"/>
                <w:szCs w:val="24"/>
              </w:rPr>
            </w:pPr>
            <w:r>
              <w:rPr>
                <w:rFonts w:hint="eastAsia" w:cs="宋体"/>
                <w:szCs w:val="24"/>
              </w:rPr>
              <w:t>分支机构</w:t>
            </w:r>
          </w:p>
        </w:tc>
        <w:tc>
          <w:tcPr>
            <w:tcW w:w="7051" w:type="dxa"/>
            <w:tcBorders>
              <w:tl2br w:val="nil"/>
              <w:tr2bl w:val="nil"/>
            </w:tcBorders>
            <w:noWrap w:val="0"/>
            <w:vAlign w:val="center"/>
          </w:tcPr>
          <w:p>
            <w:pPr>
              <w:pStyle w:val="11"/>
              <w:spacing w:line="360" w:lineRule="auto"/>
            </w:pPr>
            <w:r>
              <w:rPr>
                <w:rFonts w:hint="eastAsia"/>
              </w:rPr>
              <w:t>采购项目属于电信</w:t>
            </w:r>
            <w:r>
              <w:rPr>
                <w:rFonts w:hint="eastAsia"/>
                <w:lang w:eastAsia="zh-CN"/>
              </w:rPr>
              <w:t>（</w:t>
            </w:r>
            <w:r>
              <w:t>基础电信服务</w:t>
            </w:r>
            <w:r>
              <w:rPr>
                <w:rFonts w:hint="eastAsia"/>
                <w:lang w:eastAsia="zh-CN"/>
              </w:rPr>
              <w:t>）</w:t>
            </w:r>
            <w:r>
              <w:t>、银行、保险、石油石化、电力等行业的，上述企业分支机构无须总公司授权可以直接参加相应项目的投标，但其授权代表应获得总公司法定代表人有效授权。</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5.4</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资格预审</w:t>
            </w:r>
          </w:p>
        </w:tc>
        <w:tc>
          <w:tcPr>
            <w:tcW w:w="7051" w:type="dxa"/>
            <w:tcBorders>
              <w:tl2br w:val="nil"/>
              <w:tr2bl w:val="nil"/>
            </w:tcBorders>
            <w:noWrap w:val="0"/>
            <w:vAlign w:val="center"/>
          </w:tcPr>
          <w:p>
            <w:pPr>
              <w:wordWrap w:val="0"/>
              <w:spacing w:line="360" w:lineRule="auto"/>
              <w:rPr>
                <w:szCs w:val="24"/>
              </w:rPr>
            </w:pPr>
            <w:r>
              <w:rPr>
                <w:rFonts w:hint="eastAsia" w:ascii="宋体" w:hAnsi="宋体" w:eastAsia="宋体" w:cs="Times New Roman"/>
                <w:sz w:val="24"/>
                <w:lang w:val="en-US" w:eastAsia="zh-CN" w:bidi="ar-SA"/>
              </w:rPr>
              <w:t>未进行</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9.1</w:t>
            </w:r>
          </w:p>
        </w:tc>
        <w:tc>
          <w:tcPr>
            <w:tcW w:w="1730" w:type="dxa"/>
            <w:tcBorders>
              <w:tl2br w:val="nil"/>
              <w:tr2bl w:val="nil"/>
            </w:tcBorders>
            <w:noWrap w:val="0"/>
            <w:vAlign w:val="center"/>
          </w:tcPr>
          <w:p>
            <w:pPr>
              <w:snapToGrid w:val="0"/>
              <w:jc w:val="center"/>
              <w:rPr>
                <w:szCs w:val="24"/>
              </w:rPr>
            </w:pPr>
            <w:r>
              <w:rPr>
                <w:rFonts w:hint="eastAsia" w:ascii="宋体" w:hAnsi="宋体" w:cs="宋体"/>
                <w:sz w:val="24"/>
                <w:szCs w:val="24"/>
                <w:highlight w:val="none"/>
              </w:rPr>
              <w:t>采购代理服务费</w:t>
            </w:r>
          </w:p>
        </w:tc>
        <w:tc>
          <w:tcPr>
            <w:tcW w:w="7051" w:type="dxa"/>
            <w:tcBorders>
              <w:tl2br w:val="nil"/>
              <w:tr2bl w:val="nil"/>
            </w:tcBorders>
            <w:noWrap w:val="0"/>
            <w:vAlign w:val="center"/>
          </w:tcPr>
          <w:p>
            <w:pPr>
              <w:pStyle w:val="8"/>
              <w:snapToGrid w:val="0"/>
              <w:ind w:firstLine="0"/>
              <w:rPr>
                <w:rFonts w:hint="eastAsia" w:ascii="宋体" w:hAnsi="宋体" w:cs="宋体"/>
                <w:sz w:val="24"/>
                <w:szCs w:val="24"/>
                <w:highlight w:val="none"/>
              </w:rPr>
            </w:pPr>
            <w:r>
              <w:rPr>
                <w:rFonts w:hint="eastAsia" w:ascii="宋体" w:hAnsi="宋体" w:cs="宋体"/>
                <w:sz w:val="24"/>
                <w:szCs w:val="24"/>
                <w:highlight w:val="none"/>
              </w:rPr>
              <w:t>□采购代理服务费由招标人（招标（采购）人）支付</w:t>
            </w:r>
          </w:p>
          <w:p>
            <w:pPr>
              <w:pStyle w:val="8"/>
              <w:snapToGrid w:val="0"/>
              <w:ind w:firstLine="0"/>
              <w:rPr>
                <w:rFonts w:hint="eastAsia" w:ascii="宋体" w:hAnsi="宋体" w:cs="宋体"/>
                <w:sz w:val="24"/>
                <w:szCs w:val="24"/>
                <w:highlight w:val="none"/>
              </w:rPr>
            </w:pPr>
            <w:r>
              <w:rPr>
                <w:rFonts w:hint="eastAsia" w:ascii="宋体" w:hAnsi="宋体" w:cs="宋体"/>
                <w:sz w:val="24"/>
                <w:szCs w:val="24"/>
                <w:highlight w:val="none"/>
              </w:rPr>
              <w:sym w:font="Wingdings 2" w:char="0052"/>
            </w:r>
            <w:r>
              <w:rPr>
                <w:rFonts w:hint="eastAsia" w:ascii="宋体" w:hAnsi="宋体" w:cs="宋体"/>
                <w:sz w:val="24"/>
                <w:szCs w:val="24"/>
                <w:highlight w:val="none"/>
              </w:rPr>
              <w:t>采购代理服务费由中标人支付，具体标准及办理方式如下：</w:t>
            </w:r>
          </w:p>
          <w:p>
            <w:pPr>
              <w:snapToGrid w:val="0"/>
              <w:spacing w:line="360" w:lineRule="auto"/>
              <w:rPr>
                <w:i/>
                <w:szCs w:val="24"/>
              </w:rPr>
            </w:pPr>
            <w:r>
              <w:rPr>
                <w:rFonts w:hint="eastAsia" w:ascii="宋体" w:hAnsi="宋体" w:cs="宋体"/>
                <w:sz w:val="24"/>
                <w:szCs w:val="24"/>
                <w:highlight w:val="none"/>
              </w:rPr>
              <w:t>本次采购的采购代理服务费由中标单位在领取中标通知书前向招标（采购）代理机构交纳，具体交纳标准为：根据湖北省住房和城乡建设厅关于印发《湖北省招标代理服务费收费参考标准(试行)》的通知(鄂建文(2023)35号)文规定的标准，由中标人在领取中标通知书时向代理机构一次性支付代理服务费(差额定率累进法计算)。</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10.2</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采购信息获取</w:t>
            </w:r>
          </w:p>
        </w:tc>
        <w:tc>
          <w:tcPr>
            <w:tcW w:w="7051" w:type="dxa"/>
            <w:tcBorders>
              <w:tl2br w:val="nil"/>
              <w:tr2bl w:val="nil"/>
            </w:tcBorders>
            <w:noWrap w:val="0"/>
            <w:vAlign w:val="center"/>
          </w:tcPr>
          <w:p>
            <w:pPr>
              <w:wordWrap w:val="0"/>
              <w:spacing w:line="360" w:lineRule="auto"/>
              <w:rPr>
                <w:rFonts w:hint="eastAsia" w:eastAsia="宋体" w:cs="宋体"/>
                <w:szCs w:val="24"/>
                <w:lang w:eastAsia="zh-CN"/>
              </w:rPr>
            </w:pPr>
            <w:r>
              <w:rPr>
                <w:rFonts w:hint="eastAsia"/>
                <w:szCs w:val="24"/>
              </w:rPr>
              <w:t>应自行在</w:t>
            </w:r>
            <w:r>
              <w:rPr>
                <w:rFonts w:hint="eastAsia"/>
                <w:szCs w:val="24"/>
                <w:lang w:val="en-US" w:eastAsia="zh-CN"/>
              </w:rPr>
              <w:t>中国</w:t>
            </w:r>
            <w:r>
              <w:rPr>
                <w:rFonts w:hint="eastAsia"/>
                <w:szCs w:val="24"/>
              </w:rPr>
              <w:t>湖北政府采购网</w:t>
            </w:r>
            <w:r>
              <w:rPr>
                <w:rFonts w:hint="eastAsia"/>
                <w:szCs w:val="24"/>
                <w:lang w:eastAsia="zh-CN"/>
              </w:rPr>
              <w:t>、黄冈市公共资源交易中心网</w:t>
            </w:r>
            <w:r>
              <w:rPr>
                <w:rFonts w:hint="eastAsia"/>
                <w:szCs w:val="24"/>
              </w:rPr>
              <w:t>和</w:t>
            </w:r>
            <w:r>
              <w:rPr>
                <w:rFonts w:hint="eastAsia"/>
                <w:szCs w:val="24"/>
                <w:lang w:eastAsia="zh-CN"/>
              </w:rPr>
              <w:t>黄冈市</w:t>
            </w:r>
            <w:r>
              <w:rPr>
                <w:rFonts w:hint="eastAsia"/>
                <w:szCs w:val="24"/>
              </w:rPr>
              <w:t>政府电子采购平台（以下简称电子采购平台）上获取</w:t>
            </w:r>
            <w:r>
              <w:rPr>
                <w:rFonts w:hint="eastAsia"/>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11.</w:t>
            </w:r>
            <w:r>
              <w:rPr>
                <w:szCs w:val="24"/>
              </w:rPr>
              <w:t>2</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电子采购平台操作手册</w:t>
            </w:r>
          </w:p>
        </w:tc>
        <w:tc>
          <w:tcPr>
            <w:tcW w:w="7051" w:type="dxa"/>
            <w:tcBorders>
              <w:tl2br w:val="nil"/>
              <w:tr2bl w:val="nil"/>
            </w:tcBorders>
            <w:noWrap w:val="0"/>
            <w:vAlign w:val="center"/>
          </w:tcPr>
          <w:p>
            <w:pPr>
              <w:wordWrap w:val="0"/>
              <w:spacing w:line="360" w:lineRule="auto"/>
            </w:pPr>
            <w:r>
              <w:rPr>
                <w:rFonts w:hint="eastAsia" w:cs="宋体"/>
                <w:szCs w:val="24"/>
                <w:highlight w:val="none"/>
              </w:rPr>
              <w:t>下载地址：</w:t>
            </w:r>
            <w:r>
              <w:rPr>
                <w:highlight w:val="none"/>
              </w:rPr>
              <w:fldChar w:fldCharType="begin"/>
            </w:r>
            <w:r>
              <w:rPr>
                <w:highlight w:val="none"/>
              </w:rPr>
              <w:instrText xml:space="preserve"> HYPERLINK "https://dzcg.hubeigp.gov.cn/assets/special/100/yptpic/gyssc.zip" </w:instrText>
            </w:r>
            <w:r>
              <w:rPr>
                <w:highlight w:val="none"/>
              </w:rPr>
              <w:fldChar w:fldCharType="separate"/>
            </w:r>
            <w:r>
              <w:rPr>
                <w:rStyle w:val="34"/>
                <w:rFonts w:hint="eastAsia" w:cs="宋体"/>
                <w:color w:val="auto"/>
                <w:szCs w:val="24"/>
                <w:highlight w:val="none"/>
              </w:rPr>
              <w:t>https://dzcg.hubeigp.gov.cn/assets/special/100/yptpic/gyssc.zip</w:t>
            </w:r>
            <w:r>
              <w:rPr>
                <w:rStyle w:val="34"/>
                <w:rFonts w:hint="eastAsia" w:cs="宋体"/>
                <w:color w:val="auto"/>
                <w:szCs w:val="24"/>
                <w:highlight w:val="none"/>
              </w:rPr>
              <w:fldChar w:fldCharType="end"/>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11.</w:t>
            </w:r>
            <w:r>
              <w:rPr>
                <w:szCs w:val="24"/>
              </w:rPr>
              <w:t>3</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电子采购平台咨询</w:t>
            </w:r>
          </w:p>
        </w:tc>
        <w:tc>
          <w:tcPr>
            <w:tcW w:w="7051" w:type="dxa"/>
            <w:tcBorders>
              <w:tl2br w:val="nil"/>
              <w:tr2bl w:val="nil"/>
            </w:tcBorders>
            <w:noWrap w:val="0"/>
            <w:vAlign w:val="center"/>
          </w:tcPr>
          <w:p>
            <w:pPr>
              <w:pStyle w:val="11"/>
              <w:wordWrap w:val="0"/>
              <w:spacing w:line="360" w:lineRule="auto"/>
              <w:rPr>
                <w:rFonts w:hint="eastAsia" w:eastAsia="宋体"/>
                <w:szCs w:val="24"/>
                <w:lang w:eastAsia="zh-CN"/>
              </w:rPr>
            </w:pPr>
            <w:r>
              <w:rPr>
                <w:rFonts w:hint="eastAsia"/>
                <w:szCs w:val="24"/>
              </w:rPr>
              <w:t>如有问题，应在提交投标文件截止时间</w:t>
            </w:r>
            <w:r>
              <w:rPr>
                <w:rFonts w:hint="eastAsia"/>
                <w:b/>
                <w:szCs w:val="24"/>
              </w:rPr>
              <w:t>48小时前</w:t>
            </w:r>
            <w:r>
              <w:rPr>
                <w:rFonts w:hint="eastAsia"/>
                <w:szCs w:val="24"/>
              </w:rPr>
              <w:t>咨询电子采购平台</w:t>
            </w:r>
            <w:r>
              <w:rPr>
                <w:rFonts w:hint="eastAsia"/>
                <w:szCs w:val="24"/>
                <w:lang w:eastAsia="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11.</w:t>
            </w:r>
            <w:r>
              <w:rPr>
                <w:szCs w:val="24"/>
              </w:rPr>
              <w:t>4</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电子采购平台联系方式</w:t>
            </w:r>
          </w:p>
        </w:tc>
        <w:tc>
          <w:tcPr>
            <w:tcW w:w="7051" w:type="dxa"/>
            <w:tcBorders>
              <w:tl2br w:val="nil"/>
              <w:tr2bl w:val="nil"/>
            </w:tcBorders>
            <w:noWrap w:val="0"/>
            <w:vAlign w:val="center"/>
          </w:tcPr>
          <w:p>
            <w:pPr>
              <w:pStyle w:val="11"/>
              <w:wordWrap w:val="0"/>
              <w:spacing w:line="360" w:lineRule="auto"/>
              <w:rPr>
                <w:szCs w:val="24"/>
              </w:rPr>
            </w:pPr>
            <w:r>
              <w:rPr>
                <w:rFonts w:hint="eastAsia"/>
                <w:szCs w:val="24"/>
              </w:rPr>
              <w:t>QQ群：463671735，966545752</w:t>
            </w:r>
          </w:p>
          <w:p>
            <w:pPr>
              <w:pStyle w:val="11"/>
              <w:wordWrap w:val="0"/>
              <w:spacing w:line="360" w:lineRule="auto"/>
              <w:rPr>
                <w:szCs w:val="24"/>
              </w:rPr>
            </w:pPr>
            <w:r>
              <w:rPr>
                <w:rFonts w:hint="eastAsia"/>
                <w:szCs w:val="24"/>
              </w:rPr>
              <w:t>电话：400-9913-966</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pStyle w:val="11"/>
              <w:wordWrap w:val="0"/>
              <w:spacing w:line="360" w:lineRule="auto"/>
              <w:rPr>
                <w:szCs w:val="24"/>
              </w:rPr>
            </w:pPr>
            <w:r>
              <w:rPr>
                <w:rFonts w:hint="eastAsia"/>
                <w:szCs w:val="24"/>
              </w:rPr>
              <w:t>二、招标文件</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13.1</w:t>
            </w:r>
          </w:p>
        </w:tc>
        <w:tc>
          <w:tcPr>
            <w:tcW w:w="1730" w:type="dxa"/>
            <w:tcBorders>
              <w:tl2br w:val="nil"/>
              <w:tr2bl w:val="nil"/>
            </w:tcBorders>
            <w:noWrap w:val="0"/>
            <w:vAlign w:val="center"/>
          </w:tcPr>
          <w:p>
            <w:pPr>
              <w:wordWrap w:val="0"/>
              <w:spacing w:line="360" w:lineRule="auto"/>
              <w:ind w:right="-120" w:rightChars="-50"/>
              <w:jc w:val="center"/>
              <w:rPr>
                <w:rFonts w:hint="eastAsia" w:cs="宋体"/>
                <w:szCs w:val="24"/>
              </w:rPr>
            </w:pPr>
            <w:r>
              <w:rPr>
                <w:rFonts w:hint="eastAsia" w:cs="宋体"/>
                <w:szCs w:val="24"/>
              </w:rPr>
              <w:t>实物样品</w:t>
            </w:r>
          </w:p>
        </w:tc>
        <w:tc>
          <w:tcPr>
            <w:tcW w:w="7051" w:type="dxa"/>
            <w:tcBorders>
              <w:tl2br w:val="nil"/>
              <w:tr2bl w:val="nil"/>
            </w:tcBorders>
            <w:noWrap w:val="0"/>
            <w:vAlign w:val="center"/>
          </w:tcPr>
          <w:p>
            <w:pPr>
              <w:wordWrap w:val="0"/>
              <w:spacing w:line="360" w:lineRule="auto"/>
              <w:ind w:right="-120" w:rightChars="-50"/>
              <w:rPr>
                <w:rFonts w:hint="eastAsia" w:cs="宋体"/>
                <w:szCs w:val="24"/>
              </w:rPr>
            </w:pPr>
            <w:r>
              <w:rPr>
                <w:rFonts w:hint="eastAsia" w:cs="宋体"/>
                <w:szCs w:val="24"/>
              </w:rPr>
              <w:t>不提供</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14.1</w:t>
            </w:r>
          </w:p>
        </w:tc>
        <w:tc>
          <w:tcPr>
            <w:tcW w:w="1730" w:type="dxa"/>
            <w:tcBorders>
              <w:tl2br w:val="nil"/>
              <w:tr2bl w:val="nil"/>
            </w:tcBorders>
            <w:noWrap w:val="0"/>
            <w:vAlign w:val="center"/>
          </w:tcPr>
          <w:p>
            <w:pPr>
              <w:wordWrap w:val="0"/>
              <w:spacing w:line="360" w:lineRule="auto"/>
              <w:ind w:right="-120" w:rightChars="-50"/>
              <w:jc w:val="center"/>
              <w:rPr>
                <w:rFonts w:hint="eastAsia" w:cs="宋体"/>
                <w:szCs w:val="24"/>
              </w:rPr>
            </w:pPr>
            <w:r>
              <w:rPr>
                <w:rFonts w:hint="eastAsia" w:cs="宋体"/>
                <w:szCs w:val="24"/>
              </w:rPr>
              <w:t>项目演示</w:t>
            </w:r>
          </w:p>
        </w:tc>
        <w:tc>
          <w:tcPr>
            <w:tcW w:w="7051" w:type="dxa"/>
            <w:tcBorders>
              <w:tl2br w:val="nil"/>
              <w:tr2bl w:val="nil"/>
            </w:tcBorders>
            <w:noWrap w:val="0"/>
            <w:vAlign w:val="center"/>
          </w:tcPr>
          <w:p>
            <w:pPr>
              <w:wordWrap w:val="0"/>
              <w:spacing w:line="360" w:lineRule="auto"/>
              <w:ind w:right="-120" w:rightChars="-50"/>
              <w:rPr>
                <w:rFonts w:hint="eastAsia" w:cs="宋体"/>
                <w:szCs w:val="24"/>
                <w:lang w:val="zh-CN"/>
              </w:rPr>
            </w:pPr>
            <w:r>
              <w:rPr>
                <w:rFonts w:hint="eastAsia" w:cs="宋体"/>
                <w:szCs w:val="24"/>
              </w:rPr>
              <w:t>不进行</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1</w:t>
            </w:r>
            <w:r>
              <w:rPr>
                <w:szCs w:val="24"/>
              </w:rPr>
              <w:t>6</w:t>
            </w:r>
            <w:r>
              <w:rPr>
                <w:rFonts w:hint="eastAsia"/>
                <w:szCs w:val="24"/>
              </w:rPr>
              <w:t>.1</w:t>
            </w:r>
          </w:p>
        </w:tc>
        <w:tc>
          <w:tcPr>
            <w:tcW w:w="1730" w:type="dxa"/>
            <w:tcBorders>
              <w:tl2br w:val="nil"/>
              <w:tr2bl w:val="nil"/>
            </w:tcBorders>
            <w:noWrap w:val="0"/>
            <w:vAlign w:val="center"/>
          </w:tcPr>
          <w:p>
            <w:pPr>
              <w:wordWrap w:val="0"/>
              <w:spacing w:line="360" w:lineRule="auto"/>
              <w:jc w:val="center"/>
              <w:rPr>
                <w:rFonts w:cs="宋体"/>
                <w:szCs w:val="24"/>
              </w:rPr>
            </w:pPr>
            <w:r>
              <w:rPr>
                <w:rFonts w:hint="eastAsia" w:cs="宋体"/>
                <w:szCs w:val="24"/>
              </w:rPr>
              <w:t>澄清或修改</w:t>
            </w:r>
          </w:p>
        </w:tc>
        <w:tc>
          <w:tcPr>
            <w:tcW w:w="7051" w:type="dxa"/>
            <w:tcBorders>
              <w:tl2br w:val="nil"/>
              <w:tr2bl w:val="nil"/>
            </w:tcBorders>
            <w:noWrap w:val="0"/>
            <w:vAlign w:val="center"/>
          </w:tcPr>
          <w:p>
            <w:pPr>
              <w:wordWrap w:val="0"/>
              <w:spacing w:line="360" w:lineRule="auto"/>
              <w:ind w:right="-120" w:rightChars="-50"/>
              <w:rPr>
                <w:szCs w:val="24"/>
              </w:rPr>
            </w:pPr>
            <w:r>
              <w:rPr>
                <w:rFonts w:hint="eastAsia" w:cs="宋体"/>
                <w:szCs w:val="24"/>
              </w:rPr>
              <w:t>获取招标文件的潜在投标人应自行在中国湖北政府采购网</w:t>
            </w:r>
            <w:r>
              <w:rPr>
                <w:rFonts w:hint="eastAsia"/>
                <w:szCs w:val="24"/>
                <w:lang w:eastAsia="zh-CN"/>
              </w:rPr>
              <w:t>、黄冈市公共资源交易中心网</w:t>
            </w:r>
            <w:r>
              <w:rPr>
                <w:rFonts w:hint="eastAsia" w:cs="宋体"/>
                <w:szCs w:val="24"/>
              </w:rPr>
              <w:t>上关注更正公告并下载澄清或修改的内容，采购人、</w:t>
            </w:r>
            <w:r>
              <w:rPr>
                <w:rFonts w:hint="eastAsia" w:cs="宋体"/>
                <w:szCs w:val="24"/>
                <w:lang w:eastAsia="zh-CN"/>
              </w:rPr>
              <w:t>采购代理机构</w:t>
            </w:r>
            <w:r>
              <w:rPr>
                <w:rFonts w:hint="eastAsia" w:cs="宋体"/>
                <w:b/>
                <w:szCs w:val="24"/>
              </w:rPr>
              <w:t>不再书面通知</w:t>
            </w:r>
            <w:r>
              <w:rPr>
                <w:rFonts w:hint="eastAsia" w:cs="宋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1</w:t>
            </w:r>
            <w:r>
              <w:rPr>
                <w:szCs w:val="24"/>
              </w:rPr>
              <w:t>7</w:t>
            </w:r>
            <w:r>
              <w:rPr>
                <w:rFonts w:hint="eastAsia"/>
                <w:szCs w:val="24"/>
              </w:rPr>
              <w:t>.1</w:t>
            </w:r>
          </w:p>
        </w:tc>
        <w:tc>
          <w:tcPr>
            <w:tcW w:w="1730" w:type="dxa"/>
            <w:tcBorders>
              <w:tl2br w:val="nil"/>
              <w:tr2bl w:val="nil"/>
            </w:tcBorders>
            <w:noWrap w:val="0"/>
            <w:vAlign w:val="center"/>
          </w:tcPr>
          <w:p>
            <w:pPr>
              <w:wordWrap w:val="0"/>
              <w:spacing w:line="360" w:lineRule="auto"/>
              <w:ind w:right="-120" w:rightChars="-50"/>
              <w:jc w:val="center"/>
              <w:rPr>
                <w:rFonts w:hint="eastAsia" w:cs="宋体"/>
                <w:szCs w:val="24"/>
              </w:rPr>
            </w:pPr>
            <w:r>
              <w:rPr>
                <w:rFonts w:hint="eastAsia" w:cs="宋体"/>
                <w:szCs w:val="24"/>
              </w:rPr>
              <w:t>现场考察或</w:t>
            </w:r>
            <w:r>
              <w:rPr>
                <w:rFonts w:hint="eastAsia" w:cs="宋体"/>
                <w:szCs w:val="24"/>
                <w:lang w:val="zh-CN"/>
              </w:rPr>
              <w:t>开标前答疑会</w:t>
            </w:r>
          </w:p>
        </w:tc>
        <w:tc>
          <w:tcPr>
            <w:tcW w:w="7051" w:type="dxa"/>
            <w:tcBorders>
              <w:tl2br w:val="nil"/>
              <w:tr2bl w:val="nil"/>
            </w:tcBorders>
            <w:noWrap w:val="0"/>
            <w:vAlign w:val="center"/>
          </w:tcPr>
          <w:p>
            <w:pPr>
              <w:wordWrap w:val="0"/>
              <w:spacing w:line="360" w:lineRule="auto"/>
              <w:ind w:right="-120" w:rightChars="-50"/>
              <w:rPr>
                <w:rFonts w:hint="eastAsia" w:cs="宋体"/>
                <w:szCs w:val="24"/>
              </w:rPr>
            </w:pPr>
            <w:r>
              <w:rPr>
                <w:rFonts w:hint="eastAsia" w:cs="宋体"/>
                <w:szCs w:val="24"/>
              </w:rPr>
              <w:t>不组织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wordWrap w:val="0"/>
              <w:spacing w:line="360" w:lineRule="auto"/>
              <w:ind w:right="-120" w:rightChars="-50"/>
              <w:rPr>
                <w:szCs w:val="24"/>
              </w:rPr>
            </w:pPr>
            <w:r>
              <w:rPr>
                <w:rFonts w:hint="eastAsia"/>
                <w:szCs w:val="24"/>
              </w:rPr>
              <w:t>三、投标文件</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szCs w:val="24"/>
              </w:rPr>
              <w:t>20</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投标</w:t>
            </w:r>
            <w:r>
              <w:rPr>
                <w:szCs w:val="24"/>
              </w:rPr>
              <w:t>文件</w:t>
            </w:r>
            <w:r>
              <w:rPr>
                <w:rFonts w:hint="eastAsia"/>
                <w:szCs w:val="24"/>
              </w:rPr>
              <w:t>数量</w:t>
            </w:r>
          </w:p>
        </w:tc>
        <w:tc>
          <w:tcPr>
            <w:tcW w:w="7051" w:type="dxa"/>
            <w:tcBorders>
              <w:tl2br w:val="nil"/>
              <w:tr2bl w:val="nil"/>
            </w:tcBorders>
            <w:noWrap w:val="0"/>
            <w:vAlign w:val="center"/>
          </w:tcPr>
          <w:p>
            <w:pPr>
              <w:wordWrap w:val="0"/>
              <w:spacing w:line="360" w:lineRule="auto"/>
              <w:rPr>
                <w:szCs w:val="24"/>
              </w:rPr>
            </w:pPr>
            <w:r>
              <w:rPr>
                <w:rFonts w:hint="eastAsia"/>
                <w:b/>
                <w:szCs w:val="24"/>
                <w:u w:val="single"/>
              </w:rPr>
              <w:t xml:space="preserve"> 1</w:t>
            </w:r>
            <w:r>
              <w:rPr>
                <w:rFonts w:hint="eastAsia"/>
                <w:szCs w:val="24"/>
                <w:u w:val="single"/>
              </w:rPr>
              <w:t xml:space="preserve"> </w:t>
            </w:r>
            <w:r>
              <w:rPr>
                <w:rFonts w:hint="eastAsia"/>
                <w:szCs w:val="24"/>
              </w:rPr>
              <w:t>份（包括投标</w:t>
            </w:r>
            <w:r>
              <w:rPr>
                <w:szCs w:val="24"/>
              </w:rPr>
              <w:t>文件</w:t>
            </w:r>
            <w:r>
              <w:rPr>
                <w:rFonts w:hint="eastAsia"/>
                <w:szCs w:val="24"/>
              </w:rPr>
              <w:t>&lt;</w:t>
            </w:r>
            <w:r>
              <w:rPr>
                <w:szCs w:val="24"/>
              </w:rPr>
              <w:t>PDF格式</w:t>
            </w:r>
            <w:r>
              <w:rPr>
                <w:rFonts w:hint="eastAsia"/>
                <w:szCs w:val="24"/>
              </w:rPr>
              <w:t>&gt;</w:t>
            </w:r>
            <w:r>
              <w:rPr>
                <w:szCs w:val="24"/>
              </w:rPr>
              <w:t>和投标数据文件</w:t>
            </w:r>
            <w:r>
              <w:rPr>
                <w:rFonts w:hint="eastAsia"/>
                <w:szCs w:val="24"/>
              </w:rPr>
              <w:t>&lt;</w:t>
            </w:r>
            <w:r>
              <w:rPr>
                <w:szCs w:val="24"/>
              </w:rPr>
              <w:t>PDF格式</w:t>
            </w:r>
            <w:r>
              <w:rPr>
                <w:rFonts w:hint="eastAsia"/>
                <w:szCs w:val="24"/>
              </w:rPr>
              <w:t>&gt;</w:t>
            </w:r>
            <w:r>
              <w:rPr>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22</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备选方案</w:t>
            </w:r>
          </w:p>
        </w:tc>
        <w:tc>
          <w:tcPr>
            <w:tcW w:w="7051" w:type="dxa"/>
            <w:tcBorders>
              <w:tl2br w:val="nil"/>
              <w:tr2bl w:val="nil"/>
            </w:tcBorders>
            <w:noWrap w:val="0"/>
            <w:vAlign w:val="center"/>
          </w:tcPr>
          <w:p>
            <w:pPr>
              <w:wordWrap w:val="0"/>
              <w:spacing w:line="360" w:lineRule="auto"/>
              <w:rPr>
                <w:szCs w:val="24"/>
              </w:rPr>
            </w:pPr>
            <w:r>
              <w:rPr>
                <w:rFonts w:hint="eastAsia"/>
                <w:szCs w:val="24"/>
              </w:rPr>
              <w:t>不允许</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23.1</w:t>
            </w:r>
          </w:p>
        </w:tc>
        <w:tc>
          <w:tcPr>
            <w:tcW w:w="1730" w:type="dxa"/>
            <w:tcBorders>
              <w:tl2br w:val="nil"/>
              <w:tr2bl w:val="nil"/>
            </w:tcBorders>
            <w:noWrap w:val="0"/>
            <w:vAlign w:val="center"/>
          </w:tcPr>
          <w:p>
            <w:pPr>
              <w:wordWrap w:val="0"/>
              <w:spacing w:line="360" w:lineRule="auto"/>
              <w:jc w:val="center"/>
              <w:rPr>
                <w:szCs w:val="24"/>
              </w:rPr>
            </w:pPr>
            <w:r>
              <w:rPr>
                <w:szCs w:val="24"/>
              </w:rPr>
              <w:t>投标有效期</w:t>
            </w:r>
          </w:p>
        </w:tc>
        <w:tc>
          <w:tcPr>
            <w:tcW w:w="7051" w:type="dxa"/>
            <w:tcBorders>
              <w:tl2br w:val="nil"/>
              <w:tr2bl w:val="nil"/>
            </w:tcBorders>
            <w:noWrap w:val="0"/>
            <w:vAlign w:val="center"/>
          </w:tcPr>
          <w:p>
            <w:pPr>
              <w:wordWrap w:val="0"/>
              <w:spacing w:line="360" w:lineRule="auto"/>
              <w:rPr>
                <w:szCs w:val="24"/>
              </w:rPr>
            </w:pPr>
            <w:r>
              <w:rPr>
                <w:rFonts w:hint="eastAsia" w:cs="宋体"/>
                <w:szCs w:val="24"/>
              </w:rPr>
              <w:t>提交投标文件截止之日起</w:t>
            </w:r>
            <w:r>
              <w:rPr>
                <w:rFonts w:hint="eastAsia" w:cs="宋体"/>
                <w:b/>
                <w:szCs w:val="24"/>
                <w:u w:val="single"/>
              </w:rPr>
              <w:t>90</w:t>
            </w:r>
            <w:r>
              <w:rPr>
                <w:rFonts w:hint="eastAsia" w:cs="宋体"/>
                <w:szCs w:val="24"/>
              </w:rPr>
              <w:t>日历日</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wordWrap w:val="0"/>
              <w:spacing w:line="360" w:lineRule="auto"/>
              <w:rPr>
                <w:rFonts w:cs="宋体"/>
                <w:szCs w:val="24"/>
              </w:rPr>
            </w:pPr>
            <w:r>
              <w:rPr>
                <w:rFonts w:hint="eastAsia" w:cs="宋体"/>
                <w:szCs w:val="24"/>
              </w:rPr>
              <w:t>四、开标与评标</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28.</w:t>
            </w:r>
            <w:r>
              <w:rPr>
                <w:szCs w:val="24"/>
              </w:rPr>
              <w:t>2</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投标文件解密</w:t>
            </w:r>
          </w:p>
        </w:tc>
        <w:tc>
          <w:tcPr>
            <w:tcW w:w="7051" w:type="dxa"/>
            <w:tcBorders>
              <w:tl2br w:val="nil"/>
              <w:tr2bl w:val="nil"/>
            </w:tcBorders>
            <w:noWrap w:val="0"/>
            <w:vAlign w:val="center"/>
          </w:tcPr>
          <w:p>
            <w:pPr>
              <w:wordWrap w:val="0"/>
              <w:spacing w:line="360" w:lineRule="auto"/>
              <w:ind w:right="-120" w:rightChars="-50"/>
              <w:rPr>
                <w:szCs w:val="24"/>
              </w:rPr>
            </w:pPr>
            <w:r>
              <w:rPr>
                <w:rFonts w:hint="eastAsia"/>
                <w:szCs w:val="24"/>
              </w:rPr>
              <w:t>文件解密时间：无特殊情况，</w:t>
            </w:r>
            <w:r>
              <w:rPr>
                <w:rFonts w:hint="eastAsia"/>
                <w:b/>
                <w:szCs w:val="24"/>
              </w:rPr>
              <w:t>30分钟内</w:t>
            </w:r>
          </w:p>
          <w:p>
            <w:pPr>
              <w:wordWrap w:val="0"/>
              <w:spacing w:line="360" w:lineRule="auto"/>
              <w:ind w:right="-120" w:rightChars="-50"/>
              <w:rPr>
                <w:szCs w:val="24"/>
              </w:rPr>
            </w:pPr>
            <w:r>
              <w:rPr>
                <w:rFonts w:hint="eastAsia"/>
                <w:szCs w:val="24"/>
              </w:rPr>
              <w:t>密码输入：</w:t>
            </w:r>
            <w:r>
              <w:rPr>
                <w:rFonts w:hint="eastAsia"/>
                <w:b/>
                <w:szCs w:val="24"/>
              </w:rPr>
              <w:t>5次机会</w:t>
            </w:r>
            <w:r>
              <w:rPr>
                <w:rFonts w:hint="eastAsia" w:ascii="楷体" w:hAnsi="楷体" w:eastAsia="楷体"/>
                <w:szCs w:val="24"/>
              </w:rPr>
              <w:t>（</w:t>
            </w:r>
            <w:r>
              <w:rPr>
                <w:rFonts w:ascii="楷体" w:hAnsi="楷体" w:eastAsia="楷体"/>
                <w:szCs w:val="24"/>
              </w:rPr>
              <w:t>若忘记密码，在</w:t>
            </w:r>
            <w:r>
              <w:rPr>
                <w:rFonts w:hint="eastAsia" w:ascii="楷体" w:hAnsi="楷体" w:eastAsia="楷体"/>
                <w:szCs w:val="24"/>
              </w:rPr>
              <w:t>5次输入</w:t>
            </w:r>
            <w:r>
              <w:rPr>
                <w:rFonts w:ascii="楷体" w:hAnsi="楷体" w:eastAsia="楷体"/>
                <w:szCs w:val="24"/>
              </w:rPr>
              <w:t>机会未使用完前可</w:t>
            </w:r>
            <w:r>
              <w:rPr>
                <w:rFonts w:hint="eastAsia" w:ascii="楷体" w:hAnsi="楷体" w:eastAsia="楷体"/>
                <w:szCs w:val="24"/>
              </w:rPr>
              <w:t>使</w:t>
            </w:r>
            <w:r>
              <w:rPr>
                <w:rFonts w:ascii="楷体" w:hAnsi="楷体" w:eastAsia="楷体"/>
                <w:szCs w:val="24"/>
              </w:rPr>
              <w:t>用密码找回</w:t>
            </w:r>
            <w:r>
              <w:rPr>
                <w:rFonts w:hint="eastAsia" w:ascii="楷体" w:hAnsi="楷体" w:eastAsia="楷体"/>
                <w:szCs w:val="24"/>
              </w:rPr>
              <w:t>功能找回</w:t>
            </w:r>
            <w:r>
              <w:rPr>
                <w:rFonts w:ascii="楷体" w:hAnsi="楷体" w:eastAsia="楷体"/>
                <w:szCs w:val="24"/>
              </w:rPr>
              <w:t>密码</w:t>
            </w:r>
            <w:r>
              <w:rPr>
                <w:rFonts w:hint="eastAsia" w:ascii="楷体" w:hAnsi="楷体" w:eastAsia="楷体"/>
                <w:szCs w:val="24"/>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wordWrap w:val="0"/>
              <w:spacing w:line="360" w:lineRule="auto"/>
              <w:ind w:right="-120" w:rightChars="-50"/>
              <w:rPr>
                <w:szCs w:val="24"/>
              </w:rPr>
            </w:pPr>
            <w:r>
              <w:rPr>
                <w:rFonts w:hint="eastAsia"/>
                <w:szCs w:val="24"/>
              </w:rPr>
              <w:t>五、中标和合同</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34.1</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中</w:t>
            </w:r>
            <w:r>
              <w:rPr>
                <w:szCs w:val="24"/>
              </w:rPr>
              <w:t>标通知书</w:t>
            </w:r>
          </w:p>
          <w:p>
            <w:pPr>
              <w:wordWrap w:val="0"/>
              <w:spacing w:line="360" w:lineRule="auto"/>
              <w:jc w:val="center"/>
              <w:rPr>
                <w:szCs w:val="24"/>
              </w:rPr>
            </w:pPr>
            <w:r>
              <w:rPr>
                <w:rFonts w:hint="eastAsia"/>
                <w:szCs w:val="24"/>
              </w:rPr>
              <w:t>领取方式</w:t>
            </w:r>
          </w:p>
        </w:tc>
        <w:tc>
          <w:tcPr>
            <w:tcW w:w="7051" w:type="dxa"/>
            <w:tcBorders>
              <w:tl2br w:val="nil"/>
              <w:tr2bl w:val="nil"/>
            </w:tcBorders>
            <w:noWrap w:val="0"/>
            <w:vAlign w:val="center"/>
          </w:tcPr>
          <w:p>
            <w:pPr>
              <w:wordWrap w:val="0"/>
              <w:spacing w:line="360" w:lineRule="auto"/>
              <w:rPr>
                <w:rFonts w:cs="宋体"/>
                <w:szCs w:val="24"/>
              </w:rPr>
            </w:pPr>
            <w:r>
              <w:rPr>
                <w:rFonts w:hint="eastAsia" w:cs="宋体"/>
                <w:szCs w:val="24"/>
              </w:rPr>
              <w:t>自行</w:t>
            </w:r>
            <w:r>
              <w:rPr>
                <w:rFonts w:cs="宋体"/>
                <w:szCs w:val="24"/>
              </w:rPr>
              <w:t>在电子采购平台上下载打印</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130"/>
              </w:tabs>
              <w:wordWrap w:val="0"/>
              <w:spacing w:line="360" w:lineRule="auto"/>
              <w:ind w:right="57"/>
              <w:jc w:val="center"/>
              <w:rPr>
                <w:szCs w:val="24"/>
              </w:rPr>
            </w:pPr>
            <w:r>
              <w:rPr>
                <w:rFonts w:hint="eastAsia"/>
                <w:szCs w:val="24"/>
              </w:rPr>
              <w:t>37</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合同融资</w:t>
            </w:r>
          </w:p>
          <w:p>
            <w:pPr>
              <w:wordWrap w:val="0"/>
              <w:spacing w:line="360" w:lineRule="auto"/>
              <w:jc w:val="center"/>
              <w:rPr>
                <w:szCs w:val="24"/>
              </w:rPr>
            </w:pPr>
            <w:r>
              <w:rPr>
                <w:rFonts w:hint="eastAsia"/>
                <w:szCs w:val="24"/>
              </w:rPr>
              <w:t>（</w:t>
            </w:r>
            <w:r>
              <w:rPr>
                <w:rFonts w:hint="eastAsia"/>
                <w:b/>
                <w:szCs w:val="24"/>
              </w:rPr>
              <w:t>政采贷</w:t>
            </w:r>
            <w:r>
              <w:rPr>
                <w:rFonts w:hint="eastAsia"/>
                <w:szCs w:val="24"/>
              </w:rPr>
              <w:t>）</w:t>
            </w:r>
          </w:p>
        </w:tc>
        <w:tc>
          <w:tcPr>
            <w:tcW w:w="7051" w:type="dxa"/>
            <w:tcBorders>
              <w:tl2br w:val="nil"/>
              <w:tr2bl w:val="nil"/>
            </w:tcBorders>
            <w:noWrap w:val="0"/>
            <w:vAlign w:val="center"/>
          </w:tcPr>
          <w:p>
            <w:pPr>
              <w:wordWrap w:val="0"/>
              <w:spacing w:line="360" w:lineRule="auto"/>
              <w:rPr>
                <w:rFonts w:cs="宋体"/>
                <w:szCs w:val="24"/>
              </w:rPr>
            </w:pPr>
            <w:r>
              <w:rPr>
                <w:rFonts w:hint="eastAsia" w:cs="宋体"/>
                <w:szCs w:val="24"/>
                <w:lang w:eastAsia="zh-CN"/>
              </w:rPr>
              <w:t>黄冈市</w:t>
            </w:r>
            <w:r>
              <w:rPr>
                <w:rFonts w:hint="eastAsia" w:cs="宋体"/>
                <w:szCs w:val="24"/>
              </w:rPr>
              <w:t>政府采购合同融资平台http://58.51.104.17:8888/</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wordWrap w:val="0"/>
              <w:spacing w:line="360" w:lineRule="auto"/>
              <w:rPr>
                <w:rFonts w:cs="宋体"/>
                <w:szCs w:val="24"/>
              </w:rPr>
            </w:pPr>
            <w:r>
              <w:rPr>
                <w:rFonts w:hint="eastAsia" w:cs="宋体"/>
                <w:szCs w:val="24"/>
              </w:rPr>
              <w:t>六、询问及质疑</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38.2</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询问联系方式</w:t>
            </w:r>
          </w:p>
        </w:tc>
        <w:tc>
          <w:tcPr>
            <w:tcW w:w="7051" w:type="dxa"/>
            <w:tcBorders>
              <w:tl2br w:val="nil"/>
              <w:tr2bl w:val="nil"/>
            </w:tcBorders>
            <w:noWrap w:val="0"/>
            <w:vAlign w:val="center"/>
          </w:tcPr>
          <w:p>
            <w:pPr>
              <w:pStyle w:val="11"/>
              <w:wordWrap w:val="0"/>
              <w:spacing w:line="360" w:lineRule="auto"/>
              <w:rPr>
                <w:szCs w:val="24"/>
              </w:rPr>
            </w:pPr>
            <w:r>
              <w:rPr>
                <w:rFonts w:hint="eastAsia"/>
                <w:szCs w:val="24"/>
              </w:rPr>
              <w:t>采购人联系方式详见“第一章</w:t>
            </w:r>
            <w:r>
              <w:rPr>
                <w:rFonts w:hint="eastAsia"/>
                <w:szCs w:val="24"/>
                <w:lang w:val="en-US" w:eastAsia="zh-CN"/>
              </w:rPr>
              <w:t xml:space="preserve"> </w:t>
            </w:r>
            <w:r>
              <w:rPr>
                <w:rFonts w:hint="eastAsia"/>
                <w:szCs w:val="24"/>
              </w:rPr>
              <w:t>投标邀请”</w:t>
            </w:r>
          </w:p>
          <w:p>
            <w:pPr>
              <w:pStyle w:val="11"/>
              <w:wordWrap w:val="0"/>
              <w:spacing w:line="360" w:lineRule="auto"/>
              <w:rPr>
                <w:rFonts w:hint="default" w:eastAsia="宋体"/>
                <w:szCs w:val="24"/>
                <w:lang w:val="en-US" w:eastAsia="zh-CN"/>
              </w:rPr>
            </w:pPr>
            <w:r>
              <w:rPr>
                <w:rFonts w:hint="eastAsia"/>
                <w:szCs w:val="24"/>
              </w:rPr>
              <w:t>招标文件联系方式详见“第一章</w:t>
            </w:r>
            <w:r>
              <w:rPr>
                <w:rFonts w:hint="eastAsia"/>
                <w:szCs w:val="24"/>
                <w:lang w:val="en-US" w:eastAsia="zh-CN"/>
              </w:rPr>
              <w:t xml:space="preserve"> </w:t>
            </w:r>
            <w:r>
              <w:rPr>
                <w:rFonts w:hint="eastAsia"/>
                <w:szCs w:val="24"/>
              </w:rPr>
              <w:t>投标邀请”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59" w:type="dxa"/>
            <w:tcBorders>
              <w:tl2br w:val="nil"/>
              <w:tr2bl w:val="nil"/>
            </w:tcBorders>
            <w:noWrap w:val="0"/>
            <w:vAlign w:val="center"/>
          </w:tcPr>
          <w:p>
            <w:pPr>
              <w:tabs>
                <w:tab w:val="left" w:pos="242"/>
              </w:tabs>
              <w:wordWrap w:val="0"/>
              <w:spacing w:line="360" w:lineRule="auto"/>
              <w:ind w:right="57"/>
              <w:jc w:val="center"/>
              <w:rPr>
                <w:szCs w:val="24"/>
              </w:rPr>
            </w:pPr>
            <w:r>
              <w:rPr>
                <w:rFonts w:hint="eastAsia"/>
                <w:szCs w:val="24"/>
              </w:rPr>
              <w:t>39.3</w:t>
            </w:r>
          </w:p>
        </w:tc>
        <w:tc>
          <w:tcPr>
            <w:tcW w:w="1730" w:type="dxa"/>
            <w:tcBorders>
              <w:tl2br w:val="nil"/>
              <w:tr2bl w:val="nil"/>
            </w:tcBorders>
            <w:noWrap w:val="0"/>
            <w:vAlign w:val="center"/>
          </w:tcPr>
          <w:p>
            <w:pPr>
              <w:wordWrap w:val="0"/>
              <w:spacing w:line="360" w:lineRule="auto"/>
              <w:jc w:val="center"/>
              <w:rPr>
                <w:szCs w:val="24"/>
              </w:rPr>
            </w:pPr>
            <w:r>
              <w:rPr>
                <w:rFonts w:hint="eastAsia"/>
                <w:szCs w:val="24"/>
              </w:rPr>
              <w:t>质疑联系方式</w:t>
            </w:r>
          </w:p>
        </w:tc>
        <w:tc>
          <w:tcPr>
            <w:tcW w:w="7051" w:type="dxa"/>
            <w:tcBorders>
              <w:tl2br w:val="nil"/>
              <w:tr2bl w:val="nil"/>
            </w:tcBorders>
            <w:noWrap w:val="0"/>
            <w:vAlign w:val="center"/>
          </w:tcPr>
          <w:p>
            <w:pPr>
              <w:pStyle w:val="11"/>
              <w:wordWrap w:val="0"/>
              <w:spacing w:line="360" w:lineRule="auto"/>
              <w:rPr>
                <w:rFonts w:hint="default" w:eastAsia="宋体"/>
                <w:szCs w:val="24"/>
                <w:lang w:val="en-US" w:eastAsia="zh-CN"/>
              </w:rPr>
            </w:pPr>
            <w:r>
              <w:rPr>
                <w:rFonts w:hint="eastAsia"/>
                <w:szCs w:val="24"/>
              </w:rPr>
              <w:t>联系人：</w:t>
            </w:r>
            <w:r>
              <w:rPr>
                <w:rFonts w:hint="eastAsia"/>
                <w:szCs w:val="24"/>
                <w:lang w:val="en-US" w:eastAsia="zh-CN"/>
              </w:rPr>
              <w:t>刘女士</w:t>
            </w:r>
            <w:r>
              <w:rPr>
                <w:rFonts w:hint="eastAsia"/>
                <w:szCs w:val="24"/>
                <w:lang w:eastAsia="zh-CN"/>
              </w:rPr>
              <w:t>；</w:t>
            </w:r>
            <w:r>
              <w:rPr>
                <w:rFonts w:hint="eastAsia"/>
                <w:szCs w:val="24"/>
              </w:rPr>
              <w:t>电话：</w:t>
            </w:r>
            <w:r>
              <w:rPr>
                <w:rFonts w:hint="eastAsia"/>
                <w:szCs w:val="24"/>
                <w:lang w:val="en-US" w:eastAsia="zh-CN"/>
              </w:rPr>
              <w:t xml:space="preserve">0713-8354559 </w:t>
            </w:r>
          </w:p>
          <w:p>
            <w:pPr>
              <w:pStyle w:val="11"/>
              <w:wordWrap w:val="0"/>
              <w:spacing w:line="360" w:lineRule="auto"/>
              <w:rPr>
                <w:rFonts w:hint="eastAsia" w:eastAsia="宋体"/>
                <w:szCs w:val="24"/>
                <w:lang w:eastAsia="zh-CN"/>
              </w:rPr>
            </w:pPr>
            <w:r>
              <w:rPr>
                <w:rFonts w:hint="eastAsia"/>
                <w:szCs w:val="24"/>
              </w:rPr>
              <w:t xml:space="preserve">地址：湖北省黄冈市黄州区赤壁大道特3号鑫湖大厦14层 </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4" w:space="0"/>
          </w:tblBorders>
          <w:tblCellMar>
            <w:top w:w="0" w:type="dxa"/>
            <w:left w:w="108" w:type="dxa"/>
            <w:bottom w:w="0" w:type="dxa"/>
            <w:right w:w="108" w:type="dxa"/>
          </w:tblCellMar>
        </w:tblPrEx>
        <w:trPr>
          <w:trHeight w:val="170" w:hRule="atLeast"/>
          <w:jc w:val="center"/>
        </w:trPr>
        <w:tc>
          <w:tcPr>
            <w:tcW w:w="9740" w:type="dxa"/>
            <w:gridSpan w:val="3"/>
            <w:tcBorders>
              <w:tl2br w:val="nil"/>
              <w:tr2bl w:val="nil"/>
            </w:tcBorders>
            <w:noWrap w:val="0"/>
            <w:vAlign w:val="center"/>
          </w:tcPr>
          <w:p>
            <w:pPr>
              <w:pStyle w:val="11"/>
              <w:wordWrap w:val="0"/>
              <w:spacing w:line="360" w:lineRule="auto"/>
              <w:rPr>
                <w:szCs w:val="24"/>
              </w:rPr>
            </w:pPr>
            <w:r>
              <w:rPr>
                <w:szCs w:val="24"/>
              </w:rPr>
              <w:t>1</w:t>
            </w:r>
            <w:r>
              <w:rPr>
                <w:rFonts w:hint="eastAsia"/>
                <w:szCs w:val="24"/>
              </w:rPr>
              <w:t>、本招标文件所称的“以上”、“以下”、“内”、“以内”，包括本数；所称的“不足”，不包括本数。</w:t>
            </w:r>
          </w:p>
          <w:p>
            <w:pPr>
              <w:pStyle w:val="11"/>
              <w:wordWrap w:val="0"/>
              <w:spacing w:line="360" w:lineRule="auto"/>
              <w:rPr>
                <w:szCs w:val="24"/>
              </w:rPr>
            </w:pPr>
            <w:r>
              <w:rPr>
                <w:szCs w:val="24"/>
              </w:rPr>
              <w:t>2</w:t>
            </w:r>
            <w:r>
              <w:rPr>
                <w:rFonts w:hint="eastAsia"/>
                <w:szCs w:val="24"/>
              </w:rPr>
              <w:t>、</w:t>
            </w:r>
            <w:r>
              <w:rPr>
                <w:szCs w:val="24"/>
              </w:rPr>
              <w:t>若招标文件前后不一致的，</w:t>
            </w:r>
            <w:r>
              <w:rPr>
                <w:rFonts w:hint="eastAsia"/>
                <w:szCs w:val="24"/>
              </w:rPr>
              <w:t>以“</w:t>
            </w:r>
            <w:r>
              <w:rPr>
                <w:szCs w:val="24"/>
              </w:rPr>
              <w:t>第一章</w:t>
            </w:r>
            <w:r>
              <w:rPr>
                <w:rFonts w:hint="eastAsia"/>
                <w:szCs w:val="24"/>
              </w:rPr>
              <w:t xml:space="preserve"> 投标</w:t>
            </w:r>
            <w:r>
              <w:rPr>
                <w:szCs w:val="24"/>
              </w:rPr>
              <w:t>邀请</w:t>
            </w:r>
            <w:r>
              <w:rPr>
                <w:rFonts w:hint="eastAsia"/>
                <w:szCs w:val="24"/>
              </w:rPr>
              <w:t>”</w:t>
            </w:r>
            <w:r>
              <w:rPr>
                <w:szCs w:val="24"/>
              </w:rPr>
              <w:t>和此表的内容为准</w:t>
            </w:r>
            <w:r>
              <w:rPr>
                <w:rFonts w:hint="eastAsia"/>
                <w:szCs w:val="24"/>
              </w:rPr>
              <w:t>。</w:t>
            </w:r>
          </w:p>
        </w:tc>
      </w:tr>
    </w:tbl>
    <w:p>
      <w:pPr>
        <w:pStyle w:val="11"/>
        <w:wordWrap w:val="0"/>
        <w:spacing w:line="360" w:lineRule="auto"/>
      </w:pPr>
      <w:r>
        <w:br w:type="page"/>
      </w:r>
    </w:p>
    <w:bookmarkEnd w:id="65"/>
    <w:bookmarkEnd w:id="66"/>
    <w:bookmarkEnd w:id="67"/>
    <w:bookmarkEnd w:id="68"/>
    <w:bookmarkEnd w:id="69"/>
    <w:bookmarkEnd w:id="70"/>
    <w:bookmarkEnd w:id="71"/>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72" w:name="_Toc30105"/>
      <w:bookmarkStart w:id="73" w:name="_Toc117244465"/>
      <w:bookmarkStart w:id="74" w:name="_Toc117244350"/>
      <w:r>
        <w:rPr>
          <w:rFonts w:hint="eastAsia" w:ascii="宋体" w:hAnsi="宋体" w:eastAsia="宋体" w:cs="Times New Roman"/>
          <w:bCs w:val="0"/>
          <w:sz w:val="28"/>
          <w:szCs w:val="28"/>
          <w:lang w:val="zh-CN"/>
        </w:rPr>
        <w:t>总  则</w:t>
      </w:r>
      <w:bookmarkEnd w:id="72"/>
      <w:bookmarkEnd w:id="73"/>
      <w:bookmarkEnd w:id="74"/>
    </w:p>
    <w:p>
      <w:pPr>
        <w:pStyle w:val="54"/>
        <w:numPr>
          <w:ilvl w:val="0"/>
          <w:numId w:val="8"/>
        </w:numPr>
        <w:spacing w:line="360" w:lineRule="auto"/>
        <w:ind w:left="284" w:hanging="284" w:firstLineChars="0"/>
        <w:rPr>
          <w:b/>
          <w:szCs w:val="24"/>
          <w:lang w:val="zh-CN"/>
        </w:rPr>
      </w:pPr>
      <w:bookmarkStart w:id="75" w:name="_Toc102114877"/>
      <w:bookmarkStart w:id="76" w:name="_Toc102056177"/>
      <w:bookmarkStart w:id="77" w:name="_Toc102057677"/>
      <w:bookmarkStart w:id="78" w:name="_Toc102115979"/>
      <w:bookmarkStart w:id="79" w:name="_Toc102116109"/>
      <w:bookmarkStart w:id="80" w:name="_Toc102119810"/>
      <w:r>
        <w:rPr>
          <w:rFonts w:hint="eastAsia"/>
          <w:b/>
          <w:szCs w:val="24"/>
          <w:lang w:val="zh-CN"/>
        </w:rPr>
        <w:t>适用</w:t>
      </w:r>
      <w:bookmarkEnd w:id="75"/>
      <w:bookmarkEnd w:id="76"/>
      <w:bookmarkEnd w:id="77"/>
      <w:bookmarkEnd w:id="78"/>
      <w:bookmarkEnd w:id="79"/>
      <w:bookmarkEnd w:id="80"/>
      <w:r>
        <w:rPr>
          <w:rFonts w:hint="eastAsia"/>
          <w:b/>
          <w:szCs w:val="24"/>
          <w:lang w:val="zh-CN"/>
        </w:rPr>
        <w:t>范围</w:t>
      </w:r>
    </w:p>
    <w:p>
      <w:pPr>
        <w:wordWrap w:val="0"/>
        <w:adjustRightInd w:val="0"/>
        <w:snapToGrid w:val="0"/>
        <w:spacing w:line="360" w:lineRule="auto"/>
        <w:ind w:firstLine="480" w:firstLineChars="200"/>
        <w:rPr>
          <w:lang w:val="zh-CN"/>
        </w:rPr>
      </w:pPr>
      <w:r>
        <w:rPr>
          <w:rFonts w:hint="eastAsia"/>
          <w:szCs w:val="24"/>
          <w:lang w:val="zh-CN"/>
        </w:rPr>
        <w:t>本招标文件仅适用于“第一章 投标邀请”中所述的采购项目。</w:t>
      </w:r>
    </w:p>
    <w:p>
      <w:pPr>
        <w:pStyle w:val="54"/>
        <w:numPr>
          <w:ilvl w:val="0"/>
          <w:numId w:val="8"/>
        </w:numPr>
        <w:spacing w:line="360" w:lineRule="auto"/>
        <w:ind w:left="284" w:hanging="284" w:firstLineChars="0"/>
        <w:rPr>
          <w:b/>
          <w:szCs w:val="24"/>
          <w:lang w:val="zh-CN"/>
        </w:rPr>
      </w:pPr>
      <w:bookmarkStart w:id="81" w:name="_Toc102056180"/>
      <w:bookmarkStart w:id="82" w:name="_Toc102114881"/>
      <w:bookmarkStart w:id="83" w:name="_Toc102115983"/>
      <w:bookmarkStart w:id="84" w:name="_Toc102116113"/>
      <w:bookmarkStart w:id="85" w:name="_Toc102119814"/>
      <w:bookmarkStart w:id="86" w:name="_Toc102057680"/>
      <w:bookmarkStart w:id="87" w:name="_Toc102057679"/>
      <w:bookmarkStart w:id="88" w:name="_Toc102119812"/>
      <w:bookmarkStart w:id="89" w:name="_Toc102116111"/>
      <w:bookmarkStart w:id="90" w:name="_Toc102115981"/>
      <w:bookmarkStart w:id="91" w:name="_Toc102114879"/>
      <w:bookmarkStart w:id="92" w:name="_Toc102056179"/>
      <w:r>
        <w:rPr>
          <w:rFonts w:hint="eastAsia"/>
          <w:b/>
          <w:szCs w:val="24"/>
          <w:lang w:val="zh-CN"/>
        </w:rPr>
        <w:t>基本定义</w:t>
      </w:r>
    </w:p>
    <w:p>
      <w:pPr>
        <w:keepNext w:val="0"/>
        <w:keepLines w:val="0"/>
        <w:pageBreakBefore w:val="0"/>
        <w:widowControl w:val="0"/>
        <w:numPr>
          <w:ilvl w:val="0"/>
          <w:numId w:val="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“电子采购平台”是指：</w:t>
      </w:r>
      <w:r>
        <w:rPr>
          <w:rFonts w:hint="eastAsia" w:cs="宋体"/>
          <w:b/>
          <w:bCs/>
          <w:szCs w:val="24"/>
          <w:lang w:val="zh-CN"/>
        </w:rPr>
        <w:t>黄冈市政府电子采购平台（https：//sso.hubeigp.gov.cn/checkLogin?sourceURL=https%3A%2F%2Fdzcg.hubeigp.gov.cn%2Flogon&amp;cloudid=148）</w:t>
      </w:r>
      <w:r>
        <w:rPr>
          <w:rFonts w:hint="eastAsia" w:cs="宋体"/>
          <w:szCs w:val="24"/>
          <w:lang w:val="zh-CN"/>
        </w:rPr>
        <w:t>。</w:t>
      </w:r>
    </w:p>
    <w:p>
      <w:pPr>
        <w:keepNext w:val="0"/>
        <w:keepLines w:val="0"/>
        <w:pageBreakBefore w:val="0"/>
        <w:widowControl w:val="0"/>
        <w:numPr>
          <w:ilvl w:val="0"/>
          <w:numId w:val="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“采购人”：详见“第一章 投标邀请”。</w:t>
      </w:r>
    </w:p>
    <w:p>
      <w:pPr>
        <w:keepNext w:val="0"/>
        <w:keepLines w:val="0"/>
        <w:pageBreakBefore w:val="0"/>
        <w:widowControl w:val="0"/>
        <w:numPr>
          <w:ilvl w:val="0"/>
          <w:numId w:val="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“采购代理机构”是指：</w:t>
      </w:r>
      <w:r>
        <w:rPr>
          <w:rFonts w:hint="eastAsia" w:cs="宋体"/>
          <w:szCs w:val="24"/>
          <w:lang w:val="en-US" w:eastAsia="zh-CN"/>
        </w:rPr>
        <w:t>湖北齐兴会计师事务有限公司</w:t>
      </w:r>
      <w:r>
        <w:rPr>
          <w:rFonts w:hint="eastAsia" w:cs="宋体"/>
          <w:szCs w:val="24"/>
          <w:lang w:val="zh-CN"/>
        </w:rPr>
        <w:t>。</w:t>
      </w:r>
    </w:p>
    <w:p>
      <w:pPr>
        <w:keepNext w:val="0"/>
        <w:keepLines w:val="0"/>
        <w:pageBreakBefore w:val="0"/>
        <w:widowControl w:val="0"/>
        <w:numPr>
          <w:ilvl w:val="0"/>
          <w:numId w:val="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“投标人”是指：通过招标公告的方式邀请的，响应招标、参加投标竞争的法人、其他组织或者自然人，应在电子采购平台注册办理CA数字证书及电子签章。</w:t>
      </w:r>
    </w:p>
    <w:p>
      <w:pPr>
        <w:keepNext w:val="0"/>
        <w:keepLines w:val="0"/>
        <w:pageBreakBefore w:val="0"/>
        <w:widowControl w:val="0"/>
        <w:numPr>
          <w:ilvl w:val="0"/>
          <w:numId w:val="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“中标人”是指：经评标委员会评审，授予合同的投标人。</w:t>
      </w:r>
    </w:p>
    <w:p>
      <w:pPr>
        <w:keepNext w:val="0"/>
        <w:keepLines w:val="0"/>
        <w:pageBreakBefore w:val="0"/>
        <w:widowControl w:val="0"/>
        <w:numPr>
          <w:ilvl w:val="0"/>
          <w:numId w:val="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进口产品”是指：符合《政府采购进口产品管理办法》（财库〔2007〕119号）和《关于政府采购进口产品管理有关问题的通知》（财办库〔2008〕248号）文件规定的产品。招标文件未规定采购进口产品的，拒绝进口产品参加投标。招标文件规定可采购进口产品的，不得限制满足招标文件要求的国内产品参与投标竞争。</w:t>
      </w:r>
    </w:p>
    <w:p>
      <w:pPr>
        <w:pStyle w:val="54"/>
        <w:numPr>
          <w:ilvl w:val="0"/>
          <w:numId w:val="8"/>
        </w:numPr>
        <w:spacing w:line="360" w:lineRule="auto"/>
        <w:ind w:left="284" w:hanging="284" w:firstLineChars="0"/>
        <w:rPr>
          <w:b/>
          <w:szCs w:val="24"/>
          <w:lang w:val="zh-CN"/>
        </w:rPr>
      </w:pPr>
      <w:r>
        <w:rPr>
          <w:rFonts w:hint="eastAsia"/>
          <w:b/>
          <w:szCs w:val="24"/>
          <w:lang w:val="zh-CN"/>
        </w:rPr>
        <w:t>监管部门</w:t>
      </w:r>
    </w:p>
    <w:p>
      <w:pPr>
        <w:keepNext w:val="0"/>
        <w:keepLines w:val="0"/>
        <w:pageBreakBefore w:val="0"/>
        <w:widowControl w:val="0"/>
        <w:numPr>
          <w:ilvl w:val="0"/>
          <w:numId w:val="1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监管部门：详见“</w:t>
      </w:r>
      <w:r>
        <w:rPr>
          <w:rFonts w:hint="eastAsia" w:cs="宋体"/>
          <w:b/>
          <w:bCs/>
          <w:szCs w:val="24"/>
          <w:lang w:val="zh-CN"/>
        </w:rPr>
        <w:t>投标人须知前附表</w:t>
      </w:r>
      <w:r>
        <w:rPr>
          <w:rFonts w:hint="eastAsia" w:cs="宋体"/>
          <w:szCs w:val="24"/>
          <w:lang w:val="zh-CN"/>
        </w:rPr>
        <w:t>”。</w:t>
      </w:r>
    </w:p>
    <w:p>
      <w:pPr>
        <w:keepNext w:val="0"/>
        <w:keepLines w:val="0"/>
        <w:pageBreakBefore w:val="0"/>
        <w:widowControl w:val="0"/>
        <w:numPr>
          <w:ilvl w:val="0"/>
          <w:numId w:val="1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跨区域联合采购项目，采购人所属预算级次相同的，采购代理机构所在地的财政部门为政府采购监管部门；采购人所属预算级次不同的，由预算级次最高的财政部门为政府采购监管部门。</w:t>
      </w:r>
    </w:p>
    <w:p>
      <w:pPr>
        <w:pStyle w:val="54"/>
        <w:numPr>
          <w:ilvl w:val="0"/>
          <w:numId w:val="8"/>
        </w:numPr>
        <w:spacing w:line="360" w:lineRule="auto"/>
        <w:ind w:left="284" w:hanging="284" w:firstLineChars="0"/>
        <w:rPr>
          <w:b/>
          <w:szCs w:val="24"/>
          <w:lang w:val="zh-CN"/>
        </w:rPr>
      </w:pPr>
      <w:r>
        <w:rPr>
          <w:rFonts w:hint="eastAsia"/>
          <w:b/>
          <w:szCs w:val="24"/>
          <w:lang w:val="zh-CN"/>
        </w:rPr>
        <w:t>项目属性</w:t>
      </w:r>
      <w:bookmarkEnd w:id="81"/>
      <w:bookmarkEnd w:id="82"/>
      <w:bookmarkEnd w:id="83"/>
      <w:bookmarkEnd w:id="84"/>
      <w:bookmarkEnd w:id="85"/>
      <w:bookmarkEnd w:id="86"/>
    </w:p>
    <w:p>
      <w:pPr>
        <w:keepNext w:val="0"/>
        <w:keepLines w:val="0"/>
        <w:pageBreakBefore w:val="0"/>
        <w:widowControl w:val="0"/>
        <w:numPr>
          <w:ilvl w:val="0"/>
          <w:numId w:val="1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项目属性：详见“</w:t>
      </w:r>
      <w:r>
        <w:rPr>
          <w:rFonts w:hint="eastAsia" w:cs="宋体"/>
          <w:b/>
          <w:bCs/>
          <w:szCs w:val="24"/>
          <w:lang w:val="zh-CN"/>
        </w:rPr>
        <w:t>投标人须知前附表</w:t>
      </w:r>
      <w:r>
        <w:rPr>
          <w:rFonts w:hint="eastAsia" w:cs="宋体"/>
          <w:szCs w:val="24"/>
          <w:lang w:val="zh-CN"/>
        </w:rPr>
        <w:t>”。</w:t>
      </w:r>
    </w:p>
    <w:p>
      <w:pPr>
        <w:keepNext w:val="0"/>
        <w:keepLines w:val="0"/>
        <w:pageBreakBefore w:val="0"/>
        <w:widowControl w:val="0"/>
        <w:numPr>
          <w:ilvl w:val="0"/>
          <w:numId w:val="1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采购人应当按照财政部制定的《政府采购品目分类目录》确定采购项目属性。按照《政府采购品目分类目录》无法确定的，按照有利于采购项目实施的原则确定。</w:t>
      </w:r>
    </w:p>
    <w:p>
      <w:pPr>
        <w:keepNext w:val="0"/>
        <w:keepLines w:val="0"/>
        <w:pageBreakBefore w:val="0"/>
        <w:widowControl w:val="0"/>
        <w:numPr>
          <w:ilvl w:val="0"/>
          <w:numId w:val="1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所属行业：详见</w:t>
      </w:r>
      <w:r>
        <w:rPr>
          <w:rFonts w:hint="eastAsia" w:cs="宋体"/>
          <w:b/>
          <w:bCs/>
          <w:szCs w:val="24"/>
          <w:lang w:val="zh-CN"/>
        </w:rPr>
        <w:t>“投标人须知前附表”</w:t>
      </w:r>
      <w:r>
        <w:rPr>
          <w:rFonts w:hint="eastAsia" w:cs="宋体"/>
          <w:szCs w:val="24"/>
          <w:lang w:val="zh-CN"/>
        </w:rPr>
        <w:t>。</w:t>
      </w:r>
    </w:p>
    <w:bookmarkEnd w:id="87"/>
    <w:bookmarkEnd w:id="88"/>
    <w:bookmarkEnd w:id="89"/>
    <w:bookmarkEnd w:id="90"/>
    <w:bookmarkEnd w:id="91"/>
    <w:bookmarkEnd w:id="92"/>
    <w:p>
      <w:pPr>
        <w:pStyle w:val="54"/>
        <w:numPr>
          <w:ilvl w:val="0"/>
          <w:numId w:val="8"/>
        </w:numPr>
        <w:spacing w:line="360" w:lineRule="auto"/>
        <w:ind w:left="284" w:hanging="284" w:firstLineChars="0"/>
        <w:rPr>
          <w:b/>
          <w:szCs w:val="24"/>
          <w:lang w:val="zh-CN"/>
        </w:rPr>
      </w:pPr>
      <w:bookmarkStart w:id="93" w:name="_Toc102116116"/>
      <w:bookmarkStart w:id="94" w:name="_Toc102056183"/>
      <w:bookmarkStart w:id="95" w:name="_Toc102119817"/>
      <w:bookmarkStart w:id="96" w:name="_Toc102057683"/>
      <w:bookmarkStart w:id="97" w:name="_Toc102115986"/>
      <w:bookmarkStart w:id="98" w:name="_Toc102114884"/>
      <w:r>
        <w:rPr>
          <w:rFonts w:hint="eastAsia"/>
          <w:b/>
          <w:szCs w:val="24"/>
          <w:lang w:val="zh-CN"/>
        </w:rPr>
        <w:t>投标人资格要求</w:t>
      </w:r>
    </w:p>
    <w:p>
      <w:pPr>
        <w:keepNext w:val="0"/>
        <w:keepLines w:val="0"/>
        <w:pageBreakBefore w:val="0"/>
        <w:widowControl w:val="0"/>
        <w:numPr>
          <w:ilvl w:val="0"/>
          <w:numId w:val="1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应当符合“第一章 投标邀请”中投标人资格要求的规定。</w:t>
      </w:r>
    </w:p>
    <w:p>
      <w:pPr>
        <w:keepNext w:val="0"/>
        <w:keepLines w:val="0"/>
        <w:pageBreakBefore w:val="0"/>
        <w:widowControl w:val="0"/>
        <w:numPr>
          <w:ilvl w:val="0"/>
          <w:numId w:val="1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bookmarkStart w:id="99" w:name="_Toc102119831"/>
      <w:bookmarkStart w:id="100" w:name="_Toc102057696"/>
      <w:bookmarkStart w:id="101" w:name="_Toc102116130"/>
      <w:bookmarkStart w:id="102" w:name="_Toc102056196"/>
      <w:bookmarkStart w:id="103" w:name="_Toc102116000"/>
      <w:bookmarkStart w:id="104" w:name="_Toc102114898"/>
      <w:r>
        <w:rPr>
          <w:rFonts w:hint="eastAsia" w:cs="宋体"/>
          <w:szCs w:val="24"/>
          <w:lang w:val="zh-CN"/>
        </w:rPr>
        <w:t>联合体</w:t>
      </w:r>
      <w:bookmarkEnd w:id="99"/>
      <w:bookmarkEnd w:id="100"/>
      <w:bookmarkEnd w:id="101"/>
      <w:bookmarkEnd w:id="102"/>
      <w:bookmarkEnd w:id="103"/>
      <w:bookmarkEnd w:id="104"/>
    </w:p>
    <w:p>
      <w:pPr>
        <w:pStyle w:val="11"/>
        <w:tabs>
          <w:tab w:val="left" w:pos="1701"/>
        </w:tabs>
        <w:wordWrap w:val="0"/>
        <w:adjustRightInd w:val="0"/>
        <w:snapToGrid w:val="0"/>
        <w:spacing w:line="360" w:lineRule="auto"/>
        <w:ind w:firstLine="480" w:firstLineChars="200"/>
        <w:rPr>
          <w:szCs w:val="24"/>
          <w:lang w:val="zh-CN"/>
        </w:rPr>
      </w:pPr>
      <w:r>
        <w:rPr>
          <w:rFonts w:hint="eastAsia"/>
          <w:szCs w:val="24"/>
          <w:lang w:val="zh-CN"/>
        </w:rPr>
        <w:t>（1）两个以上自然人、</w:t>
      </w:r>
      <w:r>
        <w:rPr>
          <w:rFonts w:hint="eastAsia"/>
          <w:lang w:val="zh-CN"/>
        </w:rPr>
        <w:t>法人</w:t>
      </w:r>
      <w:r>
        <w:rPr>
          <w:rFonts w:hint="eastAsia"/>
          <w:szCs w:val="24"/>
          <w:lang w:val="zh-CN"/>
        </w:rPr>
        <w:t>、或者其它组织可以组成联合体，以一个投标人身份共同参加投标；接受或要求联合体的，详见“第一章 投标邀请”；</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（2）以联合体形式进行</w:t>
      </w:r>
      <w:r>
        <w:rPr>
          <w:rFonts w:hint="eastAsia" w:cs="宋体"/>
          <w:bCs/>
          <w:szCs w:val="24"/>
          <w:lang w:val="zh-CN"/>
        </w:rPr>
        <w:t>投标</w:t>
      </w:r>
      <w:r>
        <w:rPr>
          <w:rFonts w:hint="eastAsia" w:cs="宋体"/>
          <w:szCs w:val="24"/>
          <w:lang w:val="zh-CN"/>
        </w:rPr>
        <w:t>的，应由组成联合体的任意一方办理参与项目的相关手续，联合体各方之间应签订联合协议书，联合体各方均应当符合《政府采购法》第二十二条第一款规定的条件；</w:t>
      </w:r>
    </w:p>
    <w:p>
      <w:pPr>
        <w:pStyle w:val="11"/>
        <w:tabs>
          <w:tab w:val="left" w:pos="1701"/>
        </w:tabs>
        <w:wordWrap w:val="0"/>
        <w:adjustRightInd w:val="0"/>
        <w:snapToGrid w:val="0"/>
        <w:spacing w:line="360" w:lineRule="auto"/>
        <w:ind w:firstLine="480" w:firstLineChars="200"/>
        <w:rPr>
          <w:rFonts w:hint="eastAsia" w:cs="宋体"/>
          <w:szCs w:val="24"/>
          <w:lang w:val="zh-CN"/>
        </w:rPr>
      </w:pPr>
      <w:r>
        <w:rPr>
          <w:rFonts w:hint="eastAsia" w:cs="宋体"/>
          <w:szCs w:val="24"/>
          <w:lang w:val="zh-CN"/>
        </w:rPr>
        <w:t>（</w:t>
      </w:r>
      <w:r>
        <w:rPr>
          <w:rFonts w:hint="eastAsia" w:cs="宋体"/>
          <w:szCs w:val="24"/>
          <w:lang w:val="en-US" w:eastAsia="zh-CN"/>
        </w:rPr>
        <w:t>3</w:t>
      </w:r>
      <w:r>
        <w:rPr>
          <w:rFonts w:hint="eastAsia" w:cs="宋体"/>
          <w:szCs w:val="24"/>
          <w:lang w:val="zh-CN"/>
        </w:rPr>
        <w:t>）采取联合体形式投标的，联合体各方不得再单独参加或者与其他投标人另外组成联合体参加同一合同项下的政府采购活动。</w:t>
      </w:r>
    </w:p>
    <w:p>
      <w:pPr>
        <w:pStyle w:val="11"/>
        <w:tabs>
          <w:tab w:val="left" w:pos="1701"/>
        </w:tabs>
        <w:wordWrap w:val="0"/>
        <w:adjustRightInd w:val="0"/>
        <w:snapToGrid w:val="0"/>
        <w:spacing w:line="360" w:lineRule="auto"/>
        <w:ind w:firstLine="480" w:firstLineChars="200"/>
        <w:rPr>
          <w:rFonts w:hint="eastAsia" w:cs="宋体"/>
          <w:szCs w:val="24"/>
          <w:lang w:val="zh-CN"/>
        </w:rPr>
      </w:pPr>
      <w:r>
        <w:rPr>
          <w:rFonts w:hint="eastAsia" w:cs="宋体"/>
          <w:szCs w:val="24"/>
          <w:lang w:val="zh-CN"/>
        </w:rPr>
        <w:t>（</w:t>
      </w:r>
      <w:r>
        <w:rPr>
          <w:rFonts w:hint="eastAsia" w:cs="宋体"/>
          <w:szCs w:val="24"/>
          <w:lang w:val="en-US" w:eastAsia="zh-CN"/>
        </w:rPr>
        <w:t>4</w:t>
      </w:r>
      <w:r>
        <w:rPr>
          <w:rFonts w:hint="eastAsia" w:cs="宋体"/>
          <w:szCs w:val="24"/>
          <w:lang w:val="zh-CN"/>
        </w:rPr>
        <w:t>）采取联合体形式投标的，其投标文件应由联合体所有成员或其各自正式书面授权的代表签署（盖章），以便对所有成员作为整体及作为个体均具有法律约束力。为避免无法完成电子签章，建议除牵头人外，其他联合体成员同时在电子采购平台上注册并获得平台安全证书（CA锁）及电子签章。</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w:t>
      </w:r>
      <w:r>
        <w:rPr>
          <w:rFonts w:hint="eastAsia" w:cs="宋体"/>
          <w:szCs w:val="24"/>
          <w:lang w:val="en-US" w:eastAsia="zh-CN"/>
        </w:rPr>
        <w:t>5</w:t>
      </w:r>
      <w:r>
        <w:rPr>
          <w:rFonts w:hint="eastAsia" w:cs="宋体"/>
          <w:szCs w:val="24"/>
          <w:lang w:val="zh-CN"/>
        </w:rPr>
        <w:t>）联合体中有同类资质的投标人按照联合体分工承担相同工作的，应当按照资质等级较低的投标人确定资质等级；</w:t>
      </w:r>
    </w:p>
    <w:p>
      <w:pPr>
        <w:pStyle w:val="11"/>
        <w:tabs>
          <w:tab w:val="left" w:pos="1701"/>
        </w:tabs>
        <w:wordWrap w:val="0"/>
        <w:adjustRightInd w:val="0"/>
        <w:snapToGrid w:val="0"/>
        <w:spacing w:line="360" w:lineRule="auto"/>
        <w:ind w:firstLine="480" w:firstLineChars="200"/>
        <w:rPr>
          <w:rFonts w:cs="宋体"/>
          <w:szCs w:val="24"/>
          <w:lang w:val="zh-CN"/>
        </w:rPr>
      </w:pPr>
      <w:r>
        <w:rPr>
          <w:rFonts w:hint="eastAsia" w:cs="宋体"/>
          <w:szCs w:val="24"/>
          <w:lang w:val="zh-CN"/>
        </w:rPr>
        <w:t>（</w:t>
      </w:r>
      <w:r>
        <w:rPr>
          <w:rFonts w:hint="eastAsia" w:cs="宋体"/>
          <w:szCs w:val="24"/>
          <w:lang w:val="en-US" w:eastAsia="zh-CN"/>
        </w:rPr>
        <w:t>6</w:t>
      </w:r>
      <w:r>
        <w:rPr>
          <w:rFonts w:hint="eastAsia" w:cs="宋体"/>
          <w:szCs w:val="24"/>
          <w:lang w:val="zh-CN"/>
        </w:rPr>
        <w:t>）联合体中标的，联合体各方应当共同与采购人签订采购合同，</w:t>
      </w:r>
      <w:r>
        <w:rPr>
          <w:rFonts w:hint="eastAsia" w:cs="宋体"/>
          <w:szCs w:val="24"/>
        </w:rPr>
        <w:t>就采购合同约定的事项对采购人承担</w:t>
      </w:r>
      <w:r>
        <w:rPr>
          <w:rFonts w:hint="eastAsia" w:cs="宋体"/>
          <w:szCs w:val="24"/>
          <w:lang w:val="zh-CN"/>
        </w:rPr>
        <w:t>连带责任</w:t>
      </w:r>
      <w:r>
        <w:rPr>
          <w:rFonts w:hint="eastAsia" w:cs="宋体"/>
          <w:szCs w:val="24"/>
        </w:rPr>
        <w:t>，</w:t>
      </w:r>
      <w:r>
        <w:rPr>
          <w:rFonts w:hint="eastAsia" w:cs="宋体"/>
          <w:szCs w:val="24"/>
          <w:lang w:val="zh-CN"/>
        </w:rPr>
        <w:t>联合体主体负主要责任。</w:t>
      </w:r>
    </w:p>
    <w:p>
      <w:pPr>
        <w:keepNext w:val="0"/>
        <w:keepLines w:val="0"/>
        <w:pageBreakBefore w:val="0"/>
        <w:widowControl w:val="0"/>
        <w:numPr>
          <w:ilvl w:val="0"/>
          <w:numId w:val="1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bookmarkStart w:id="105" w:name="_Toc102119832"/>
      <w:bookmarkStart w:id="106" w:name="_Toc102116001"/>
      <w:bookmarkStart w:id="107" w:name="_Toc102056197"/>
      <w:bookmarkStart w:id="108" w:name="_Toc102116131"/>
      <w:bookmarkStart w:id="109" w:name="_Toc102114899"/>
      <w:bookmarkStart w:id="110" w:name="_Toc102057697"/>
      <w:r>
        <w:rPr>
          <w:rFonts w:hint="eastAsia" w:cs="宋体"/>
          <w:szCs w:val="24"/>
          <w:lang w:val="zh-CN"/>
        </w:rPr>
        <w:t>分支机构</w:t>
      </w:r>
      <w:bookmarkEnd w:id="105"/>
      <w:bookmarkEnd w:id="106"/>
      <w:bookmarkEnd w:id="107"/>
      <w:bookmarkEnd w:id="108"/>
      <w:bookmarkEnd w:id="109"/>
      <w:bookmarkEnd w:id="110"/>
      <w:r>
        <w:rPr>
          <w:rFonts w:hint="eastAsia" w:cs="宋体"/>
          <w:szCs w:val="24"/>
          <w:lang w:val="zh-CN"/>
        </w:rPr>
        <w:t>：根据财政部《政府采购法实施条例》释义中关于投标人资格条件的解释，对于分支机构投标详见“</w:t>
      </w:r>
      <w:r>
        <w:rPr>
          <w:rFonts w:hint="eastAsia" w:cs="宋体"/>
          <w:b/>
          <w:bCs/>
          <w:szCs w:val="24"/>
          <w:lang w:val="zh-CN"/>
        </w:rPr>
        <w:t>投标人须知前附表</w:t>
      </w:r>
      <w:r>
        <w:rPr>
          <w:rFonts w:hint="eastAsia" w:cs="宋体"/>
          <w:szCs w:val="24"/>
          <w:lang w:val="zh-CN"/>
        </w:rPr>
        <w:t>”的规定。</w:t>
      </w:r>
    </w:p>
    <w:p>
      <w:pPr>
        <w:keepNext w:val="0"/>
        <w:keepLines w:val="0"/>
        <w:pageBreakBefore w:val="0"/>
        <w:widowControl w:val="0"/>
        <w:numPr>
          <w:ilvl w:val="0"/>
          <w:numId w:val="1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资格预审：详见“</w:t>
      </w:r>
      <w:r>
        <w:rPr>
          <w:rFonts w:hint="eastAsia" w:cs="宋体"/>
          <w:b/>
          <w:bCs/>
          <w:szCs w:val="24"/>
          <w:lang w:val="zh-CN"/>
        </w:rPr>
        <w:t>投标人须知前附表</w:t>
      </w:r>
      <w:r>
        <w:rPr>
          <w:rFonts w:hint="eastAsia" w:cs="宋体"/>
          <w:szCs w:val="24"/>
          <w:lang w:val="zh-CN"/>
        </w:rPr>
        <w:t>”。</w:t>
      </w:r>
    </w:p>
    <w:p>
      <w:pPr>
        <w:pStyle w:val="54"/>
        <w:numPr>
          <w:ilvl w:val="0"/>
          <w:numId w:val="8"/>
        </w:numPr>
        <w:spacing w:line="360" w:lineRule="auto"/>
        <w:ind w:left="284" w:hanging="284" w:firstLineChars="0"/>
        <w:rPr>
          <w:b/>
          <w:szCs w:val="24"/>
          <w:lang w:val="zh-CN"/>
        </w:rPr>
      </w:pPr>
      <w:r>
        <w:rPr>
          <w:rFonts w:hint="eastAsia"/>
          <w:b/>
          <w:szCs w:val="24"/>
          <w:lang w:val="zh-CN"/>
        </w:rPr>
        <w:t>语言文字</w:t>
      </w:r>
      <w:bookmarkEnd w:id="93"/>
      <w:bookmarkEnd w:id="94"/>
      <w:bookmarkEnd w:id="95"/>
      <w:bookmarkEnd w:id="96"/>
      <w:bookmarkEnd w:id="97"/>
      <w:bookmarkEnd w:id="98"/>
    </w:p>
    <w:p>
      <w:pPr>
        <w:wordWrap w:val="0"/>
        <w:adjustRightInd w:val="0"/>
        <w:snapToGrid w:val="0"/>
        <w:spacing w:line="360" w:lineRule="auto"/>
        <w:ind w:firstLine="480" w:firstLineChars="200"/>
        <w:rPr>
          <w:rFonts w:cs="宋体"/>
          <w:szCs w:val="24"/>
          <w:lang w:val="zh-CN"/>
        </w:rPr>
      </w:pPr>
      <w:r>
        <w:rPr>
          <w:rFonts w:hint="eastAsia" w:cs="宋体"/>
          <w:szCs w:val="24"/>
          <w:lang w:val="zh-CN"/>
        </w:rPr>
        <w:t>招标投标文件、与招标投标有关的所有来往函电、文书使用的语言文字均为简体中文。提交的相关证明文件、资料或文献可以用另一种语言，但相应内容应附有中文翻译本，在解释投标文件的相关内容时以中文翻译本为准。</w:t>
      </w:r>
    </w:p>
    <w:p>
      <w:pPr>
        <w:pStyle w:val="54"/>
        <w:numPr>
          <w:ilvl w:val="0"/>
          <w:numId w:val="8"/>
        </w:numPr>
        <w:spacing w:line="360" w:lineRule="auto"/>
        <w:ind w:left="284" w:hanging="284" w:firstLineChars="0"/>
        <w:rPr>
          <w:b/>
          <w:szCs w:val="24"/>
          <w:lang w:val="zh-CN"/>
        </w:rPr>
      </w:pPr>
      <w:bookmarkStart w:id="111" w:name="_Toc102115987"/>
      <w:bookmarkStart w:id="112" w:name="_Toc102116117"/>
      <w:bookmarkStart w:id="113" w:name="_Toc102119818"/>
      <w:bookmarkStart w:id="114" w:name="_Toc102057684"/>
      <w:bookmarkStart w:id="115" w:name="_Toc102114885"/>
      <w:bookmarkStart w:id="116" w:name="_Toc102056184"/>
      <w:r>
        <w:rPr>
          <w:rFonts w:hint="eastAsia"/>
          <w:b/>
          <w:szCs w:val="24"/>
          <w:lang w:val="zh-CN"/>
        </w:rPr>
        <w:t>计量单位</w:t>
      </w:r>
      <w:bookmarkEnd w:id="111"/>
      <w:bookmarkEnd w:id="112"/>
      <w:bookmarkEnd w:id="113"/>
      <w:bookmarkEnd w:id="114"/>
      <w:bookmarkEnd w:id="115"/>
      <w:bookmarkEnd w:id="116"/>
    </w:p>
    <w:p>
      <w:pPr>
        <w:wordWrap w:val="0"/>
        <w:adjustRightInd w:val="0"/>
        <w:snapToGrid w:val="0"/>
        <w:spacing w:line="360" w:lineRule="auto"/>
        <w:ind w:firstLine="480" w:firstLineChars="200"/>
        <w:rPr>
          <w:szCs w:val="24"/>
          <w:lang w:val="zh-CN"/>
        </w:rPr>
      </w:pPr>
      <w:r>
        <w:rPr>
          <w:rFonts w:hint="eastAsia"/>
          <w:szCs w:val="24"/>
          <w:lang w:val="zh-CN"/>
        </w:rPr>
        <w:t>招标投标文件中所使用的计量单位，应采用中华人民共和国法定计量单位。</w:t>
      </w:r>
    </w:p>
    <w:p>
      <w:pPr>
        <w:pStyle w:val="54"/>
        <w:numPr>
          <w:ilvl w:val="0"/>
          <w:numId w:val="8"/>
        </w:numPr>
        <w:spacing w:line="360" w:lineRule="auto"/>
        <w:ind w:left="284" w:hanging="284" w:firstLineChars="0"/>
        <w:rPr>
          <w:b/>
          <w:szCs w:val="24"/>
          <w:lang w:val="zh-CN"/>
        </w:rPr>
      </w:pPr>
      <w:bookmarkStart w:id="117" w:name="_Toc102116118"/>
      <w:bookmarkStart w:id="118" w:name="_Toc102056185"/>
      <w:bookmarkStart w:id="119" w:name="_Toc102119819"/>
      <w:bookmarkStart w:id="120" w:name="_Toc102114886"/>
      <w:bookmarkStart w:id="121" w:name="_Toc102057685"/>
      <w:bookmarkStart w:id="122" w:name="_Toc102115988"/>
      <w:r>
        <w:rPr>
          <w:rFonts w:hint="eastAsia"/>
          <w:b/>
          <w:szCs w:val="24"/>
          <w:lang w:val="zh-CN"/>
        </w:rPr>
        <w:t>保密要求</w:t>
      </w:r>
    </w:p>
    <w:p>
      <w:pPr>
        <w:wordWrap w:val="0"/>
        <w:adjustRightInd w:val="0"/>
        <w:snapToGrid w:val="0"/>
        <w:spacing w:line="360" w:lineRule="auto"/>
        <w:ind w:firstLine="480" w:firstLineChars="200"/>
        <w:rPr>
          <w:szCs w:val="24"/>
          <w:lang w:val="zh-CN"/>
        </w:rPr>
      </w:pPr>
      <w:r>
        <w:rPr>
          <w:rFonts w:hint="eastAsia"/>
          <w:szCs w:val="24"/>
          <w:lang w:val="zh-CN"/>
        </w:rPr>
        <w:t>参与政府采购活动的相关人员不得泄露参与政府采购过程中获悉的国家秘密、商业秘密以及可能影响公平、公正性的相关采购信息。</w:t>
      </w:r>
    </w:p>
    <w:p>
      <w:pPr>
        <w:pStyle w:val="54"/>
        <w:numPr>
          <w:ilvl w:val="0"/>
          <w:numId w:val="8"/>
        </w:numPr>
        <w:spacing w:line="360" w:lineRule="auto"/>
        <w:ind w:left="284" w:hanging="284" w:firstLineChars="0"/>
        <w:rPr>
          <w:b/>
          <w:szCs w:val="24"/>
          <w:lang w:val="zh-CN"/>
        </w:rPr>
      </w:pPr>
      <w:r>
        <w:rPr>
          <w:rFonts w:hint="eastAsia"/>
          <w:b/>
          <w:szCs w:val="24"/>
          <w:lang w:val="zh-CN"/>
        </w:rPr>
        <w:t>费用承担</w:t>
      </w:r>
      <w:bookmarkEnd w:id="117"/>
      <w:bookmarkEnd w:id="118"/>
      <w:bookmarkEnd w:id="119"/>
      <w:bookmarkEnd w:id="120"/>
      <w:bookmarkEnd w:id="121"/>
      <w:bookmarkEnd w:id="122"/>
    </w:p>
    <w:p>
      <w:pPr>
        <w:keepNext w:val="0"/>
        <w:keepLines w:val="0"/>
        <w:pageBreakBefore w:val="0"/>
        <w:widowControl w:val="0"/>
        <w:numPr>
          <w:ilvl w:val="0"/>
          <w:numId w:val="13"/>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投标费用：详见“</w:t>
      </w:r>
      <w:r>
        <w:rPr>
          <w:rFonts w:hint="eastAsia" w:cs="宋体"/>
          <w:b/>
          <w:bCs/>
          <w:szCs w:val="24"/>
          <w:lang w:val="zh-CN"/>
        </w:rPr>
        <w:t>投标人须知前附表</w:t>
      </w:r>
      <w:r>
        <w:rPr>
          <w:rFonts w:hint="eastAsia" w:cs="宋体"/>
          <w:szCs w:val="24"/>
          <w:lang w:val="zh-CN"/>
        </w:rPr>
        <w:t>”。</w:t>
      </w:r>
    </w:p>
    <w:p>
      <w:pPr>
        <w:keepNext w:val="0"/>
        <w:keepLines w:val="0"/>
        <w:pageBreakBefore w:val="0"/>
        <w:widowControl w:val="0"/>
        <w:numPr>
          <w:ilvl w:val="0"/>
          <w:numId w:val="13"/>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投标人应承担所有与准备和参加投标有关的费用。不论投标的结果如何，采购代理机构和采购人均无义务和责任承担这些费用。</w:t>
      </w:r>
    </w:p>
    <w:p>
      <w:pPr>
        <w:pStyle w:val="54"/>
        <w:numPr>
          <w:ilvl w:val="0"/>
          <w:numId w:val="8"/>
        </w:numPr>
        <w:spacing w:line="360" w:lineRule="auto"/>
        <w:ind w:left="284" w:hanging="284" w:firstLineChars="0"/>
        <w:rPr>
          <w:b/>
          <w:szCs w:val="24"/>
          <w:lang w:val="zh-CN"/>
        </w:rPr>
      </w:pPr>
      <w:r>
        <w:rPr>
          <w:rFonts w:hint="eastAsia"/>
          <w:b/>
          <w:szCs w:val="24"/>
          <w:lang w:val="zh-CN"/>
        </w:rPr>
        <w:t>采购信息</w:t>
      </w:r>
    </w:p>
    <w:p>
      <w:pPr>
        <w:keepNext w:val="0"/>
        <w:keepLines w:val="0"/>
        <w:pageBreakBefore w:val="0"/>
        <w:widowControl w:val="0"/>
        <w:numPr>
          <w:ilvl w:val="0"/>
          <w:numId w:val="14"/>
        </w:numPr>
        <w:tabs>
          <w:tab w:val="left" w:pos="567"/>
          <w:tab w:val="clear" w:pos="420"/>
        </w:tabs>
        <w:kinsoku/>
        <w:wordWrap w:val="0"/>
        <w:overflowPunct/>
        <w:topLinePunct w:val="0"/>
        <w:autoSpaceDE/>
        <w:autoSpaceDN/>
        <w:bidi w:val="0"/>
        <w:adjustRightInd w:val="0"/>
        <w:snapToGrid w:val="0"/>
        <w:spacing w:line="360" w:lineRule="auto"/>
        <w:ind w:left="420" w:leftChars="0" w:hanging="420" w:firstLineChars="0"/>
        <w:textAlignment w:val="auto"/>
        <w:rPr>
          <w:szCs w:val="24"/>
          <w:lang w:val="zh-CN"/>
        </w:rPr>
      </w:pPr>
      <w:r>
        <w:rPr>
          <w:rFonts w:hint="eastAsia"/>
          <w:szCs w:val="24"/>
          <w:lang w:val="zh-CN"/>
        </w:rPr>
        <w:t>政府采购活动中的公示、公告、澄清、更正等采购信息依法在中国湖北政府采购网上发布，同步在黄冈市公共资源交易中心网发布。</w:t>
      </w:r>
    </w:p>
    <w:p>
      <w:pPr>
        <w:keepNext w:val="0"/>
        <w:keepLines w:val="0"/>
        <w:pageBreakBefore w:val="0"/>
        <w:widowControl w:val="0"/>
        <w:numPr>
          <w:ilvl w:val="0"/>
          <w:numId w:val="14"/>
        </w:numPr>
        <w:tabs>
          <w:tab w:val="left" w:pos="567"/>
          <w:tab w:val="clear" w:pos="420"/>
        </w:tabs>
        <w:kinsoku/>
        <w:wordWrap w:val="0"/>
        <w:overflowPunct/>
        <w:topLinePunct w:val="0"/>
        <w:autoSpaceDE/>
        <w:autoSpaceDN/>
        <w:bidi w:val="0"/>
        <w:adjustRightInd w:val="0"/>
        <w:snapToGrid w:val="0"/>
        <w:spacing w:line="360" w:lineRule="auto"/>
        <w:ind w:left="420" w:leftChars="0" w:hanging="420" w:firstLineChars="0"/>
        <w:textAlignment w:val="auto"/>
        <w:rPr>
          <w:szCs w:val="24"/>
          <w:lang w:val="zh-CN"/>
        </w:rPr>
      </w:pPr>
      <w:r>
        <w:rPr>
          <w:rFonts w:hint="eastAsia"/>
          <w:szCs w:val="24"/>
          <w:lang w:val="zh-CN"/>
        </w:rPr>
        <w:t>采购信息获取：投标人应按</w:t>
      </w:r>
      <w:r>
        <w:rPr>
          <w:rFonts w:hint="eastAsia"/>
          <w:b/>
          <w:szCs w:val="24"/>
          <w:lang w:val="zh-CN"/>
        </w:rPr>
        <w:t>“投标人须知前附表”</w:t>
      </w:r>
      <w:r>
        <w:rPr>
          <w:rFonts w:hint="eastAsia"/>
          <w:szCs w:val="24"/>
          <w:lang w:val="zh-CN"/>
        </w:rPr>
        <w:t>规定渠道获取项目采购信息，采购人、采购代理机构不再另行通知，因投标人自身原因未及时获取项目采购信息的，导致的后果由投标人自行承担。</w:t>
      </w:r>
    </w:p>
    <w:p>
      <w:pPr>
        <w:pStyle w:val="54"/>
        <w:numPr>
          <w:ilvl w:val="0"/>
          <w:numId w:val="8"/>
        </w:numPr>
        <w:spacing w:line="360" w:lineRule="auto"/>
        <w:ind w:left="284" w:hanging="284" w:firstLineChars="0"/>
        <w:rPr>
          <w:b/>
          <w:szCs w:val="24"/>
          <w:lang w:val="zh-CN"/>
        </w:rPr>
      </w:pPr>
      <w:r>
        <w:rPr>
          <w:rFonts w:hint="eastAsia"/>
          <w:b/>
          <w:szCs w:val="24"/>
          <w:lang w:val="zh-CN"/>
        </w:rPr>
        <w:t>电子采购平台</w:t>
      </w:r>
    </w:p>
    <w:p>
      <w:pPr>
        <w:keepNext w:val="0"/>
        <w:keepLines w:val="0"/>
        <w:pageBreakBefore w:val="0"/>
        <w:widowControl w:val="0"/>
        <w:numPr>
          <w:ilvl w:val="0"/>
          <w:numId w:val="15"/>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电子采购平台客户端运行环境应满足以下要求，否则可能会出错，影响其投标：</w:t>
      </w:r>
    </w:p>
    <w:p>
      <w:pPr>
        <w:pStyle w:val="11"/>
        <w:tabs>
          <w:tab w:val="left" w:pos="1701"/>
        </w:tabs>
        <w:wordWrap w:val="0"/>
        <w:adjustRightInd w:val="0"/>
        <w:snapToGrid w:val="0"/>
        <w:spacing w:line="360" w:lineRule="auto"/>
        <w:ind w:firstLine="480" w:firstLineChars="200"/>
        <w:rPr>
          <w:szCs w:val="24"/>
        </w:rPr>
      </w:pPr>
      <w:r>
        <w:rPr>
          <w:rFonts w:hint="eastAsia"/>
          <w:szCs w:val="24"/>
        </w:rPr>
        <w:t>（1）操作系统：Windows 7及以上版本；</w:t>
      </w:r>
    </w:p>
    <w:p>
      <w:pPr>
        <w:pStyle w:val="11"/>
        <w:tabs>
          <w:tab w:val="left" w:pos="1701"/>
        </w:tabs>
        <w:wordWrap w:val="0"/>
        <w:adjustRightInd w:val="0"/>
        <w:snapToGrid w:val="0"/>
        <w:spacing w:line="360" w:lineRule="auto"/>
        <w:ind w:firstLine="480" w:firstLineChars="200"/>
        <w:rPr>
          <w:szCs w:val="24"/>
        </w:rPr>
      </w:pPr>
      <w:r>
        <w:rPr>
          <w:rFonts w:hint="eastAsia"/>
          <w:szCs w:val="24"/>
        </w:rPr>
        <w:t>（2）浏览器：360</w:t>
      </w:r>
      <w:r>
        <w:rPr>
          <w:rFonts w:hint="eastAsia"/>
          <w:szCs w:val="24"/>
          <w:lang w:val="zh-CN"/>
        </w:rPr>
        <w:t>浏览器</w:t>
      </w:r>
      <w:r>
        <w:rPr>
          <w:rFonts w:hint="eastAsia"/>
          <w:szCs w:val="24"/>
        </w:rPr>
        <w:t>、Internet Explorer 11、10；</w:t>
      </w:r>
    </w:p>
    <w:p>
      <w:pPr>
        <w:pStyle w:val="11"/>
        <w:tabs>
          <w:tab w:val="left" w:pos="1701"/>
        </w:tabs>
        <w:wordWrap w:val="0"/>
        <w:adjustRightInd w:val="0"/>
        <w:snapToGrid w:val="0"/>
        <w:spacing w:line="360" w:lineRule="auto"/>
        <w:ind w:firstLine="480" w:firstLineChars="200"/>
        <w:rPr>
          <w:szCs w:val="24"/>
        </w:rPr>
      </w:pPr>
      <w:r>
        <w:rPr>
          <w:rFonts w:hint="eastAsia"/>
          <w:szCs w:val="24"/>
        </w:rPr>
        <w:t>（3）办公软件：Microsoft Office 2007-2016完整版、WPS Office 2019个人版、WPS Office企业版；</w:t>
      </w:r>
    </w:p>
    <w:p>
      <w:pPr>
        <w:pStyle w:val="11"/>
        <w:tabs>
          <w:tab w:val="left" w:pos="1701"/>
        </w:tabs>
        <w:wordWrap w:val="0"/>
        <w:adjustRightInd w:val="0"/>
        <w:snapToGrid w:val="0"/>
        <w:spacing w:line="360" w:lineRule="auto"/>
        <w:ind w:firstLine="480" w:firstLineChars="200"/>
        <w:rPr>
          <w:szCs w:val="24"/>
        </w:rPr>
      </w:pPr>
      <w:r>
        <w:rPr>
          <w:rFonts w:hint="eastAsia"/>
          <w:szCs w:val="24"/>
        </w:rPr>
        <w:t>（4）PDF软件</w:t>
      </w:r>
      <w:r>
        <w:rPr>
          <w:rFonts w:hint="eastAsia"/>
          <w:szCs w:val="24"/>
          <w:lang w:val="zh-CN"/>
        </w:rPr>
        <w:t>推荐</w:t>
      </w:r>
      <w:r>
        <w:rPr>
          <w:rFonts w:hint="eastAsia"/>
          <w:szCs w:val="24"/>
        </w:rPr>
        <w:t>：平台自带PDF软件（软件路径：C:\Windows\winaip）；</w:t>
      </w:r>
    </w:p>
    <w:p>
      <w:pPr>
        <w:pStyle w:val="11"/>
        <w:tabs>
          <w:tab w:val="left" w:pos="1701"/>
        </w:tabs>
        <w:wordWrap w:val="0"/>
        <w:adjustRightInd w:val="0"/>
        <w:snapToGrid w:val="0"/>
        <w:spacing w:line="360" w:lineRule="auto"/>
        <w:ind w:firstLine="480" w:firstLineChars="200"/>
        <w:rPr>
          <w:szCs w:val="24"/>
        </w:rPr>
      </w:pPr>
      <w:r>
        <w:rPr>
          <w:rFonts w:hint="eastAsia"/>
          <w:szCs w:val="24"/>
        </w:rPr>
        <w:t>（5）电子采购平台所有插件应为最新版。</w:t>
      </w:r>
    </w:p>
    <w:p>
      <w:pPr>
        <w:keepNext w:val="0"/>
        <w:keepLines w:val="0"/>
        <w:pageBreakBefore w:val="0"/>
        <w:widowControl w:val="0"/>
        <w:numPr>
          <w:ilvl w:val="0"/>
          <w:numId w:val="15"/>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电子采购平台操作手册：电子采购平台的注册、CA数字证书办理、平台操作等事项详见电子采购平台《投标人操作手册》，其下载网址详见“</w:t>
      </w:r>
      <w:r>
        <w:rPr>
          <w:rFonts w:hint="eastAsia" w:cs="宋体"/>
          <w:b/>
          <w:bCs/>
          <w:szCs w:val="24"/>
          <w:lang w:val="zh-CN"/>
        </w:rPr>
        <w:t>投标人须知前附表</w:t>
      </w:r>
      <w:r>
        <w:rPr>
          <w:rFonts w:hint="eastAsia" w:cs="宋体"/>
          <w:szCs w:val="24"/>
          <w:lang w:val="zh-CN"/>
        </w:rPr>
        <w:t>”。</w:t>
      </w:r>
    </w:p>
    <w:p>
      <w:pPr>
        <w:keepNext w:val="0"/>
        <w:keepLines w:val="0"/>
        <w:pageBreakBefore w:val="0"/>
        <w:widowControl w:val="0"/>
        <w:numPr>
          <w:ilvl w:val="0"/>
          <w:numId w:val="15"/>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电子采购平台咨询：投标人应充分考虑到网上电子投标可能会发生的各种问题和风险，特别是投标文件签署、提交等问题，无特殊情况，应按“</w:t>
      </w:r>
      <w:r>
        <w:rPr>
          <w:rFonts w:hint="eastAsia" w:cs="宋体"/>
          <w:b/>
          <w:bCs/>
          <w:szCs w:val="24"/>
          <w:lang w:val="zh-CN"/>
        </w:rPr>
        <w:t>投标人须知前附表</w:t>
      </w:r>
      <w:r>
        <w:rPr>
          <w:rFonts w:hint="eastAsia" w:cs="宋体"/>
          <w:szCs w:val="24"/>
          <w:lang w:val="zh-CN"/>
        </w:rPr>
        <w:t>”的规定咨询采购代理机构或电子采购平台。任何问题和风险使投标人投标内容不一致或利益受损或投标失败的，导致的后果由投标人自行承担。</w:t>
      </w:r>
    </w:p>
    <w:p>
      <w:pPr>
        <w:keepNext w:val="0"/>
        <w:keepLines w:val="0"/>
        <w:pageBreakBefore w:val="0"/>
        <w:widowControl w:val="0"/>
        <w:numPr>
          <w:ilvl w:val="0"/>
          <w:numId w:val="15"/>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电子采购平台联系方式详见“</w:t>
      </w:r>
      <w:r>
        <w:rPr>
          <w:rFonts w:hint="eastAsia" w:cs="宋体"/>
          <w:b/>
          <w:bCs/>
          <w:szCs w:val="24"/>
          <w:lang w:val="zh-CN"/>
        </w:rPr>
        <w:t>投标人须知前附表</w:t>
      </w:r>
      <w:r>
        <w:rPr>
          <w:rFonts w:hint="eastAsia" w:cs="宋体"/>
          <w:szCs w:val="24"/>
          <w:lang w:val="zh-CN"/>
        </w:rPr>
        <w:t>”。</w:t>
      </w:r>
    </w:p>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123" w:name="_Toc102114889"/>
      <w:bookmarkStart w:id="124" w:name="_Toc102057687"/>
      <w:bookmarkStart w:id="125" w:name="_Toc102116121"/>
      <w:bookmarkStart w:id="126" w:name="_Toc102119822"/>
      <w:bookmarkStart w:id="127" w:name="_Toc102056187"/>
      <w:bookmarkStart w:id="128" w:name="_Toc102115991"/>
      <w:bookmarkStart w:id="129" w:name="_Toc1198"/>
      <w:bookmarkStart w:id="130" w:name="_Toc117244466"/>
      <w:bookmarkStart w:id="131" w:name="_Toc117244351"/>
      <w:bookmarkStart w:id="132" w:name="_Toc511894496"/>
      <w:bookmarkStart w:id="133" w:name="_Toc511889418"/>
      <w:r>
        <w:rPr>
          <w:rFonts w:hint="eastAsia" w:ascii="宋体" w:hAnsi="宋体" w:eastAsia="宋体" w:cs="Times New Roman"/>
          <w:bCs w:val="0"/>
          <w:sz w:val="28"/>
          <w:szCs w:val="28"/>
          <w:lang w:val="zh-CN"/>
        </w:rPr>
        <w:t>招</w:t>
      </w:r>
      <w:bookmarkEnd w:id="123"/>
      <w:bookmarkEnd w:id="124"/>
      <w:bookmarkEnd w:id="125"/>
      <w:bookmarkEnd w:id="126"/>
      <w:bookmarkEnd w:id="127"/>
      <w:bookmarkEnd w:id="128"/>
      <w:r>
        <w:rPr>
          <w:rFonts w:hint="eastAsia" w:ascii="宋体" w:hAnsi="宋体" w:eastAsia="宋体" w:cs="Times New Roman"/>
          <w:bCs w:val="0"/>
          <w:sz w:val="28"/>
          <w:szCs w:val="28"/>
          <w:lang w:val="zh-CN"/>
        </w:rPr>
        <w:t>标文件</w:t>
      </w:r>
      <w:bookmarkEnd w:id="129"/>
      <w:bookmarkEnd w:id="130"/>
      <w:bookmarkEnd w:id="131"/>
    </w:p>
    <w:p>
      <w:pPr>
        <w:pStyle w:val="54"/>
        <w:numPr>
          <w:ilvl w:val="0"/>
          <w:numId w:val="8"/>
        </w:numPr>
        <w:spacing w:line="360" w:lineRule="auto"/>
        <w:ind w:left="284" w:hanging="284" w:firstLineChars="0"/>
        <w:rPr>
          <w:b/>
          <w:szCs w:val="24"/>
          <w:lang w:val="zh-CN"/>
        </w:rPr>
      </w:pPr>
      <w:bookmarkStart w:id="134" w:name="_Toc102057689"/>
      <w:bookmarkStart w:id="135" w:name="_Toc102114891"/>
      <w:bookmarkStart w:id="136" w:name="_Toc102115993"/>
      <w:bookmarkStart w:id="137" w:name="_Toc102056189"/>
      <w:bookmarkStart w:id="138" w:name="_Toc102116123"/>
      <w:bookmarkStart w:id="139" w:name="_Toc102119824"/>
      <w:r>
        <w:rPr>
          <w:rFonts w:hint="eastAsia"/>
          <w:b/>
          <w:szCs w:val="24"/>
          <w:lang w:val="zh-CN"/>
        </w:rPr>
        <w:t>招标文件</w:t>
      </w:r>
      <w:bookmarkEnd w:id="134"/>
      <w:bookmarkEnd w:id="135"/>
      <w:bookmarkEnd w:id="136"/>
      <w:bookmarkEnd w:id="137"/>
      <w:bookmarkEnd w:id="138"/>
      <w:bookmarkEnd w:id="139"/>
      <w:r>
        <w:rPr>
          <w:rFonts w:hint="eastAsia"/>
          <w:b/>
          <w:szCs w:val="24"/>
          <w:lang w:val="zh-CN"/>
        </w:rPr>
        <w:t>组成</w:t>
      </w:r>
    </w:p>
    <w:p>
      <w:pPr>
        <w:keepNext w:val="0"/>
        <w:keepLines w:val="0"/>
        <w:pageBreakBefore w:val="0"/>
        <w:widowControl w:val="0"/>
        <w:numPr>
          <w:ilvl w:val="0"/>
          <w:numId w:val="1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招标文件由招标文件（Word格式）和招标数据文件（Excel格式）两部分共同构成。（采用电子版文件格式提供）</w:t>
      </w:r>
    </w:p>
    <w:p>
      <w:pPr>
        <w:keepNext w:val="0"/>
        <w:keepLines w:val="0"/>
        <w:pageBreakBefore w:val="0"/>
        <w:widowControl w:val="0"/>
        <w:numPr>
          <w:ilvl w:val="0"/>
          <w:numId w:val="1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招标文件（Word格式）包括以下内容：</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第一章 投标邀请</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第二章 投标人须知</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第三章 采购需求</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第四章 资格审查</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第五章 评标办法</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第六章 合同文本格式（参考）</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第七章 投标文件格式（参考）</w:t>
      </w:r>
    </w:p>
    <w:p>
      <w:pPr>
        <w:keepNext w:val="0"/>
        <w:keepLines w:val="0"/>
        <w:pageBreakBefore w:val="0"/>
        <w:widowControl w:val="0"/>
        <w:numPr>
          <w:ilvl w:val="0"/>
          <w:numId w:val="1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招标数据文件（Excel格式）包括以下内容：</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第一部分</w:t>
      </w:r>
      <w:r>
        <w:rPr>
          <w:rFonts w:cs="宋体"/>
          <w:lang w:val="zh-CN"/>
        </w:rPr>
        <w:t xml:space="preserve"> </w:t>
      </w:r>
      <w:r>
        <w:rPr>
          <w:rFonts w:hint="eastAsia" w:cs="宋体"/>
          <w:lang w:val="zh-CN"/>
        </w:rPr>
        <w:t>封面</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第二部分</w:t>
      </w:r>
      <w:r>
        <w:rPr>
          <w:rFonts w:cs="宋体"/>
          <w:lang w:val="zh-CN"/>
        </w:rPr>
        <w:t xml:space="preserve"> </w:t>
      </w:r>
      <w:r>
        <w:rPr>
          <w:rFonts w:hint="eastAsia" w:cs="宋体"/>
          <w:lang w:val="zh-CN"/>
        </w:rPr>
        <w:t>投标（报价）一览表（含明细）</w:t>
      </w:r>
    </w:p>
    <w:p>
      <w:pPr>
        <w:tabs>
          <w:tab w:val="left" w:pos="709"/>
        </w:tabs>
        <w:wordWrap w:val="0"/>
        <w:adjustRightInd w:val="0"/>
        <w:snapToGrid w:val="0"/>
        <w:spacing w:line="360" w:lineRule="auto"/>
        <w:ind w:left="476" w:firstLine="120" w:firstLineChars="50"/>
        <w:rPr>
          <w:rFonts w:cs="宋体"/>
          <w:lang w:val="zh-CN"/>
        </w:rPr>
      </w:pPr>
      <w:r>
        <w:rPr>
          <w:rFonts w:hint="eastAsia" w:cs="宋体"/>
          <w:lang w:val="zh-CN"/>
        </w:rPr>
        <w:t>第三部分</w:t>
      </w:r>
      <w:r>
        <w:rPr>
          <w:rFonts w:cs="宋体"/>
          <w:lang w:val="zh-CN"/>
        </w:rPr>
        <w:t xml:space="preserve"> </w:t>
      </w:r>
      <w:r>
        <w:rPr>
          <w:rFonts w:hint="eastAsia" w:cs="宋体"/>
          <w:lang w:val="zh-CN"/>
        </w:rPr>
        <w:t>评审对照表</w:t>
      </w:r>
    </w:p>
    <w:p>
      <w:pPr>
        <w:tabs>
          <w:tab w:val="left" w:pos="709"/>
        </w:tabs>
        <w:wordWrap w:val="0"/>
        <w:adjustRightInd w:val="0"/>
        <w:snapToGrid w:val="0"/>
        <w:spacing w:line="360" w:lineRule="auto"/>
        <w:ind w:left="476" w:firstLine="120" w:firstLineChars="50"/>
        <w:rPr>
          <w:szCs w:val="24"/>
          <w:lang w:val="zh-CN"/>
        </w:rPr>
      </w:pPr>
      <w:r>
        <w:rPr>
          <w:rFonts w:hint="eastAsia" w:cs="宋体"/>
          <w:lang w:val="zh-CN"/>
        </w:rPr>
        <w:t>第四部分</w:t>
      </w:r>
      <w:r>
        <w:rPr>
          <w:rFonts w:cs="宋体"/>
          <w:lang w:val="zh-CN"/>
        </w:rPr>
        <w:t xml:space="preserve"> </w:t>
      </w:r>
      <w:r>
        <w:rPr>
          <w:rFonts w:hint="eastAsia" w:cs="宋体"/>
          <w:lang w:val="zh-CN"/>
        </w:rPr>
        <w:t>评分对照表</w:t>
      </w:r>
      <w:bookmarkStart w:id="140" w:name="_Toc102115994"/>
      <w:bookmarkStart w:id="141" w:name="_Toc102056190"/>
      <w:bookmarkStart w:id="142" w:name="_Toc102114892"/>
      <w:bookmarkStart w:id="143" w:name="_Toc102116124"/>
      <w:bookmarkStart w:id="144" w:name="_Toc102119825"/>
      <w:bookmarkStart w:id="145" w:name="_Toc102057690"/>
    </w:p>
    <w:p>
      <w:pPr>
        <w:pStyle w:val="54"/>
        <w:numPr>
          <w:ilvl w:val="0"/>
          <w:numId w:val="8"/>
        </w:numPr>
        <w:spacing w:line="360" w:lineRule="auto"/>
        <w:ind w:left="284" w:hanging="284" w:firstLineChars="0"/>
        <w:rPr>
          <w:b/>
          <w:szCs w:val="24"/>
          <w:lang w:val="zh-CN"/>
        </w:rPr>
      </w:pPr>
      <w:r>
        <w:rPr>
          <w:rFonts w:hint="eastAsia"/>
          <w:b/>
          <w:szCs w:val="24"/>
          <w:lang w:val="zh-CN"/>
        </w:rPr>
        <w:t>实物样品</w:t>
      </w:r>
    </w:p>
    <w:p>
      <w:pPr>
        <w:keepNext w:val="0"/>
        <w:keepLines w:val="0"/>
        <w:pageBreakBefore w:val="0"/>
        <w:widowControl w:val="0"/>
        <w:numPr>
          <w:ilvl w:val="0"/>
          <w:numId w:val="1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是否提供样品详见“</w:t>
      </w:r>
      <w:r>
        <w:rPr>
          <w:rFonts w:hint="eastAsia" w:cs="宋体"/>
          <w:b/>
          <w:bCs/>
          <w:szCs w:val="24"/>
          <w:lang w:val="zh-CN"/>
        </w:rPr>
        <w:t>投标人须知前附表</w:t>
      </w:r>
      <w:r>
        <w:rPr>
          <w:rFonts w:hint="eastAsia" w:cs="宋体"/>
          <w:szCs w:val="24"/>
          <w:lang w:val="zh-CN"/>
        </w:rPr>
        <w:t>”的规定。</w:t>
      </w:r>
    </w:p>
    <w:p>
      <w:pPr>
        <w:keepNext w:val="0"/>
        <w:keepLines w:val="0"/>
        <w:pageBreakBefore w:val="0"/>
        <w:widowControl w:val="0"/>
        <w:numPr>
          <w:ilvl w:val="0"/>
          <w:numId w:val="1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要求提供样品的，样品的具体要求及评审详见“第三章 采购需求”和“第五章 评标办法”。</w:t>
      </w:r>
    </w:p>
    <w:p>
      <w:pPr>
        <w:keepNext w:val="0"/>
        <w:keepLines w:val="0"/>
        <w:pageBreakBefore w:val="0"/>
        <w:widowControl w:val="0"/>
        <w:numPr>
          <w:ilvl w:val="0"/>
          <w:numId w:val="1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样品退还：未中标的投标人应于中标结果公告发布之日起10日内自行联系采购人取回投标样品；对于中标人提供的样品，采购人将按规定进行保管、封存，并作为履约验收的参考（招标文件另有规定的从其规定）。投标样品制作、提交及退还所产生的一切费用由投标人自行承担。</w:t>
      </w:r>
    </w:p>
    <w:p>
      <w:pPr>
        <w:pStyle w:val="54"/>
        <w:numPr>
          <w:ilvl w:val="0"/>
          <w:numId w:val="8"/>
        </w:numPr>
        <w:spacing w:line="360" w:lineRule="auto"/>
        <w:ind w:left="284" w:hanging="284" w:firstLineChars="0"/>
        <w:rPr>
          <w:b/>
          <w:szCs w:val="24"/>
          <w:lang w:val="zh-CN"/>
        </w:rPr>
      </w:pPr>
      <w:r>
        <w:rPr>
          <w:rFonts w:hint="eastAsia"/>
          <w:b/>
          <w:szCs w:val="24"/>
          <w:lang w:val="zh-CN"/>
        </w:rPr>
        <w:t>项目演示</w:t>
      </w:r>
    </w:p>
    <w:p>
      <w:pPr>
        <w:keepNext w:val="0"/>
        <w:keepLines w:val="0"/>
        <w:pageBreakBefore w:val="0"/>
        <w:widowControl w:val="0"/>
        <w:numPr>
          <w:ilvl w:val="0"/>
          <w:numId w:val="18"/>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是否进行项目演示及演示时间详见“</w:t>
      </w:r>
      <w:r>
        <w:rPr>
          <w:rFonts w:hint="eastAsia" w:cs="宋体"/>
          <w:b/>
          <w:bCs/>
          <w:szCs w:val="24"/>
          <w:lang w:val="zh-CN"/>
        </w:rPr>
        <w:t>投标人须知前附表</w:t>
      </w:r>
      <w:r>
        <w:rPr>
          <w:rFonts w:hint="eastAsia" w:cs="宋体"/>
          <w:szCs w:val="24"/>
          <w:lang w:val="zh-CN"/>
        </w:rPr>
        <w:t>”的规定。</w:t>
      </w:r>
    </w:p>
    <w:p>
      <w:pPr>
        <w:keepNext w:val="0"/>
        <w:keepLines w:val="0"/>
        <w:pageBreakBefore w:val="0"/>
        <w:widowControl w:val="0"/>
        <w:numPr>
          <w:ilvl w:val="0"/>
          <w:numId w:val="18"/>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进行远程线上演示的，投标人应提前自行准备好演示的软硬配置环境和网络环境，做好演示的各项准备工作。因投标人自身原因无法演示或者演示效果不理想的，导致的后果由投标人自行承担。</w:t>
      </w:r>
    </w:p>
    <w:p>
      <w:pPr>
        <w:keepNext w:val="0"/>
        <w:keepLines w:val="0"/>
        <w:pageBreakBefore w:val="0"/>
        <w:widowControl w:val="0"/>
        <w:numPr>
          <w:ilvl w:val="0"/>
          <w:numId w:val="18"/>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进行现场演示的，演示人员不得超过</w:t>
      </w:r>
      <w:r>
        <w:rPr>
          <w:rFonts w:hint="eastAsia" w:cs="宋体"/>
          <w:b/>
          <w:bCs/>
          <w:szCs w:val="24"/>
          <w:lang w:val="zh-CN"/>
        </w:rPr>
        <w:t>3人</w:t>
      </w:r>
      <w:r>
        <w:rPr>
          <w:rFonts w:hint="eastAsia" w:cs="宋体"/>
          <w:szCs w:val="24"/>
          <w:lang w:val="zh-CN"/>
        </w:rPr>
        <w:t>，演示现场只提供HDMI接口电视一台，其它设备和网络环境自备。</w:t>
      </w:r>
    </w:p>
    <w:p>
      <w:pPr>
        <w:keepNext w:val="0"/>
        <w:keepLines w:val="0"/>
        <w:pageBreakBefore w:val="0"/>
        <w:widowControl w:val="0"/>
        <w:numPr>
          <w:ilvl w:val="0"/>
          <w:numId w:val="18"/>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项目演示顺序按投标文件解密时间先后次序（或随即抽取）依次演示，演示的评审详见“第三章 采购需求”和“第五章 评标办法”。</w:t>
      </w:r>
    </w:p>
    <w:p>
      <w:pPr>
        <w:pStyle w:val="54"/>
        <w:numPr>
          <w:ilvl w:val="0"/>
          <w:numId w:val="8"/>
        </w:numPr>
        <w:spacing w:line="360" w:lineRule="auto"/>
        <w:ind w:left="284" w:hanging="284" w:firstLineChars="0"/>
        <w:rPr>
          <w:b/>
          <w:szCs w:val="24"/>
          <w:lang w:val="zh-CN"/>
        </w:rPr>
      </w:pPr>
      <w:bookmarkStart w:id="146" w:name="_Toc102119833"/>
      <w:bookmarkStart w:id="147" w:name="_Toc102116002"/>
      <w:bookmarkStart w:id="148" w:name="_Toc102114900"/>
      <w:bookmarkStart w:id="149" w:name="_Toc102057698"/>
      <w:bookmarkStart w:id="150" w:name="_Toc102116132"/>
      <w:bookmarkStart w:id="151" w:name="_Toc102056198"/>
      <w:r>
        <w:rPr>
          <w:rFonts w:hint="eastAsia"/>
          <w:b/>
          <w:szCs w:val="24"/>
          <w:lang w:val="zh-CN"/>
        </w:rPr>
        <w:t>合同分包</w:t>
      </w:r>
      <w:bookmarkEnd w:id="146"/>
      <w:bookmarkEnd w:id="147"/>
      <w:bookmarkEnd w:id="148"/>
      <w:bookmarkEnd w:id="149"/>
      <w:bookmarkEnd w:id="150"/>
      <w:bookmarkEnd w:id="151"/>
    </w:p>
    <w:p>
      <w:pPr>
        <w:keepNext w:val="0"/>
        <w:keepLines w:val="0"/>
        <w:pageBreakBefore w:val="0"/>
        <w:widowControl w:val="0"/>
        <w:numPr>
          <w:ilvl w:val="0"/>
          <w:numId w:val="1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允许或要求将项目非主体、非关键性工作中标后合同分包的，详见“第一章 投标邀请”，分包承担主体不得再次分包。</w:t>
      </w:r>
    </w:p>
    <w:p>
      <w:pPr>
        <w:keepNext w:val="0"/>
        <w:keepLines w:val="0"/>
        <w:pageBreakBefore w:val="0"/>
        <w:widowControl w:val="0"/>
        <w:numPr>
          <w:ilvl w:val="0"/>
          <w:numId w:val="1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拟中标后合同分包的，应提供分包意向协议书。</w:t>
      </w:r>
    </w:p>
    <w:p>
      <w:pPr>
        <w:keepNext w:val="0"/>
        <w:keepLines w:val="0"/>
        <w:pageBreakBefore w:val="0"/>
        <w:widowControl w:val="0"/>
        <w:numPr>
          <w:ilvl w:val="0"/>
          <w:numId w:val="1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享受中小企业扶持政策获得政府采购合同的，小微企业不得将合同分包给大中型企业，中型企业不得将合同分包给大型企业。</w:t>
      </w:r>
    </w:p>
    <w:p>
      <w:pPr>
        <w:keepNext w:val="0"/>
        <w:keepLines w:val="0"/>
        <w:pageBreakBefore w:val="0"/>
        <w:widowControl w:val="0"/>
        <w:numPr>
          <w:ilvl w:val="0"/>
          <w:numId w:val="1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招标文件</w:t>
      </w:r>
      <w:r>
        <w:rPr>
          <w:rFonts w:hint="eastAsia" w:cs="宋体"/>
          <w:b/>
          <w:bCs/>
          <w:szCs w:val="24"/>
          <w:lang w:val="zh-CN"/>
        </w:rPr>
        <w:t>未载明</w:t>
      </w:r>
      <w:r>
        <w:rPr>
          <w:rFonts w:hint="eastAsia" w:cs="宋体"/>
          <w:szCs w:val="24"/>
          <w:lang w:val="zh-CN"/>
        </w:rPr>
        <w:t>合同分包的，不得进行合同分包，否则应承担相应的法律责任。</w:t>
      </w:r>
    </w:p>
    <w:p>
      <w:pPr>
        <w:keepNext w:val="0"/>
        <w:keepLines w:val="0"/>
        <w:pageBreakBefore w:val="0"/>
        <w:widowControl w:val="0"/>
        <w:numPr>
          <w:ilvl w:val="0"/>
          <w:numId w:val="1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政府采购项目严禁转包行为，否则应承担相应的法律责任。</w:t>
      </w:r>
    </w:p>
    <w:p>
      <w:pPr>
        <w:pStyle w:val="54"/>
        <w:numPr>
          <w:ilvl w:val="0"/>
          <w:numId w:val="8"/>
        </w:numPr>
        <w:spacing w:line="360" w:lineRule="auto"/>
        <w:ind w:left="284" w:hanging="284" w:firstLineChars="0"/>
        <w:rPr>
          <w:b/>
          <w:szCs w:val="24"/>
          <w:lang w:val="zh-CN"/>
        </w:rPr>
      </w:pPr>
      <w:r>
        <w:rPr>
          <w:rFonts w:hint="eastAsia"/>
          <w:b/>
          <w:szCs w:val="24"/>
          <w:lang w:val="zh-CN"/>
        </w:rPr>
        <w:t>招标文件的澄清或修改</w:t>
      </w:r>
      <w:bookmarkEnd w:id="140"/>
      <w:bookmarkEnd w:id="141"/>
      <w:bookmarkEnd w:id="142"/>
      <w:bookmarkEnd w:id="143"/>
      <w:bookmarkEnd w:id="144"/>
      <w:bookmarkEnd w:id="145"/>
    </w:p>
    <w:p>
      <w:pPr>
        <w:keepNext w:val="0"/>
        <w:keepLines w:val="0"/>
        <w:pageBreakBefore w:val="0"/>
        <w:widowControl w:val="0"/>
        <w:numPr>
          <w:ilvl w:val="0"/>
          <w:numId w:val="2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澄清或修改：采购代理机构或采购人可以对已发出的招标文件进行必要的澄清或者修改，澄清或者修改内容将在原公告发布媒体上发布更正公告。澄清或者修改的内容是招标文件的组成部分，潜在投标人应按“</w:t>
      </w:r>
      <w:r>
        <w:rPr>
          <w:rFonts w:hint="eastAsia" w:cs="宋体"/>
          <w:b/>
          <w:bCs/>
          <w:szCs w:val="24"/>
          <w:lang w:val="zh-CN"/>
        </w:rPr>
        <w:t>投标人须知前附表</w:t>
      </w:r>
      <w:r>
        <w:rPr>
          <w:rFonts w:hint="eastAsia" w:cs="宋体"/>
          <w:szCs w:val="24"/>
          <w:lang w:val="zh-CN"/>
        </w:rPr>
        <w:t>”的要求及时关注更正公告的内容。</w:t>
      </w:r>
    </w:p>
    <w:p>
      <w:pPr>
        <w:keepNext w:val="0"/>
        <w:keepLines w:val="0"/>
        <w:pageBreakBefore w:val="0"/>
        <w:widowControl w:val="0"/>
        <w:numPr>
          <w:ilvl w:val="0"/>
          <w:numId w:val="2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澄清或者修改的内容可能影响投标文件编制且距投标截止时间不足15日的，应当顺延提交投标文件的截止时间。</w:t>
      </w:r>
    </w:p>
    <w:p>
      <w:pPr>
        <w:pStyle w:val="54"/>
        <w:numPr>
          <w:ilvl w:val="0"/>
          <w:numId w:val="8"/>
        </w:numPr>
        <w:spacing w:line="360" w:lineRule="auto"/>
        <w:ind w:left="284" w:hanging="284" w:firstLineChars="0"/>
        <w:rPr>
          <w:b/>
          <w:szCs w:val="24"/>
          <w:lang w:val="zh-CN"/>
        </w:rPr>
      </w:pPr>
      <w:bookmarkStart w:id="152" w:name="_Toc102115995"/>
      <w:bookmarkStart w:id="153" w:name="_Toc102057691"/>
      <w:bookmarkStart w:id="154" w:name="_Toc102116125"/>
      <w:bookmarkStart w:id="155" w:name="_Toc102056191"/>
      <w:bookmarkStart w:id="156" w:name="_Toc102119826"/>
      <w:bookmarkStart w:id="157" w:name="_Toc102114893"/>
      <w:r>
        <w:rPr>
          <w:rFonts w:hint="eastAsia"/>
          <w:b/>
          <w:szCs w:val="24"/>
          <w:lang w:val="zh-CN"/>
        </w:rPr>
        <w:t>现场考察或开标前答疑</w:t>
      </w:r>
      <w:bookmarkEnd w:id="152"/>
      <w:bookmarkEnd w:id="153"/>
      <w:bookmarkEnd w:id="154"/>
      <w:bookmarkEnd w:id="155"/>
      <w:bookmarkEnd w:id="156"/>
      <w:bookmarkEnd w:id="157"/>
    </w:p>
    <w:p>
      <w:pPr>
        <w:pStyle w:val="54"/>
        <w:keepNext w:val="0"/>
        <w:keepLines w:val="0"/>
        <w:pageBreakBefore w:val="0"/>
        <w:widowControl w:val="0"/>
        <w:numPr>
          <w:ilvl w:val="0"/>
          <w:numId w:val="2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现场考察或开标前答疑：详见“</w:t>
      </w:r>
      <w:r>
        <w:rPr>
          <w:rFonts w:hint="eastAsia" w:cs="宋体"/>
          <w:b/>
          <w:bCs/>
          <w:szCs w:val="24"/>
          <w:lang w:val="zh-CN"/>
        </w:rPr>
        <w:t>投标人须知前附表</w:t>
      </w:r>
      <w:r>
        <w:rPr>
          <w:rFonts w:hint="eastAsia" w:cs="宋体"/>
          <w:szCs w:val="24"/>
          <w:lang w:val="zh-CN"/>
        </w:rPr>
        <w:t>”规定。组织现场考察或召开开标前答疑会的，潜在投标人应按要求及时参加。</w:t>
      </w:r>
    </w:p>
    <w:p>
      <w:pPr>
        <w:pStyle w:val="54"/>
        <w:keepNext w:val="0"/>
        <w:keepLines w:val="0"/>
        <w:pageBreakBefore w:val="0"/>
        <w:widowControl w:val="0"/>
        <w:numPr>
          <w:ilvl w:val="0"/>
          <w:numId w:val="2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现场考察获取的有关编制投标文件和签署合同所涉及现场的数据和资料，是采购人现有的能被潜在投标人利用的客观资料，采购人对潜在投标人依此作出的任何推论、理解和结论均不负责任。</w:t>
      </w:r>
    </w:p>
    <w:p>
      <w:pPr>
        <w:pStyle w:val="54"/>
        <w:keepNext w:val="0"/>
        <w:keepLines w:val="0"/>
        <w:pageBreakBefore w:val="0"/>
        <w:widowControl w:val="0"/>
        <w:numPr>
          <w:ilvl w:val="0"/>
          <w:numId w:val="2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开标前答疑会涉及招标文件内容有澄清、修改的，以发布的更正公告内容为准。</w:t>
      </w:r>
    </w:p>
    <w:p>
      <w:pPr>
        <w:pStyle w:val="54"/>
        <w:keepNext w:val="0"/>
        <w:keepLines w:val="0"/>
        <w:pageBreakBefore w:val="0"/>
        <w:widowControl w:val="0"/>
        <w:numPr>
          <w:ilvl w:val="0"/>
          <w:numId w:val="2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潜在投标人参加现场考察或开标前答疑会的，不得因此使采购人承担有关责任和蒙受损失。潜在投标人应自行承担参加现场考察或开标前答疑会的全部费用、责任和风险。</w:t>
      </w:r>
    </w:p>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158" w:name="_Toc102116126"/>
      <w:bookmarkStart w:id="159" w:name="_Toc102115996"/>
      <w:bookmarkStart w:id="160" w:name="_Toc102119827"/>
      <w:bookmarkStart w:id="161" w:name="_Toc102057692"/>
      <w:bookmarkStart w:id="162" w:name="_Toc102056192"/>
      <w:bookmarkStart w:id="163" w:name="_Toc102114894"/>
      <w:bookmarkStart w:id="164" w:name="_Toc117244467"/>
      <w:bookmarkStart w:id="165" w:name="_Toc117244352"/>
      <w:bookmarkStart w:id="166" w:name="_Toc2432"/>
      <w:r>
        <w:rPr>
          <w:rFonts w:hint="eastAsia" w:ascii="宋体" w:hAnsi="宋体" w:eastAsia="宋体" w:cs="Times New Roman"/>
          <w:bCs w:val="0"/>
          <w:sz w:val="28"/>
          <w:szCs w:val="28"/>
          <w:lang w:val="zh-CN"/>
        </w:rPr>
        <w:t>投</w:t>
      </w:r>
      <w:bookmarkEnd w:id="158"/>
      <w:bookmarkEnd w:id="159"/>
      <w:bookmarkEnd w:id="160"/>
      <w:bookmarkEnd w:id="161"/>
      <w:bookmarkEnd w:id="162"/>
      <w:bookmarkEnd w:id="163"/>
      <w:r>
        <w:rPr>
          <w:rFonts w:hint="eastAsia" w:ascii="宋体" w:hAnsi="宋体" w:eastAsia="宋体" w:cs="Times New Roman"/>
          <w:bCs w:val="0"/>
          <w:sz w:val="28"/>
          <w:szCs w:val="28"/>
          <w:lang w:val="zh-CN"/>
        </w:rPr>
        <w:t>标文件</w:t>
      </w:r>
      <w:bookmarkEnd w:id="164"/>
      <w:bookmarkEnd w:id="165"/>
      <w:bookmarkEnd w:id="166"/>
    </w:p>
    <w:p>
      <w:pPr>
        <w:pStyle w:val="54"/>
        <w:numPr>
          <w:ilvl w:val="0"/>
          <w:numId w:val="8"/>
        </w:numPr>
        <w:spacing w:line="360" w:lineRule="auto"/>
        <w:ind w:left="284" w:hanging="284" w:firstLineChars="0"/>
        <w:rPr>
          <w:b/>
          <w:szCs w:val="24"/>
          <w:lang w:val="zh-CN"/>
        </w:rPr>
      </w:pPr>
      <w:bookmarkStart w:id="167" w:name="_Toc102114895"/>
      <w:bookmarkStart w:id="168" w:name="_Toc102115997"/>
      <w:bookmarkStart w:id="169" w:name="_Toc102056193"/>
      <w:bookmarkStart w:id="170" w:name="_Toc102116127"/>
      <w:bookmarkStart w:id="171" w:name="_Toc102119828"/>
      <w:bookmarkStart w:id="172" w:name="_Toc102057693"/>
      <w:r>
        <w:rPr>
          <w:rFonts w:hint="eastAsia"/>
          <w:b/>
          <w:szCs w:val="24"/>
          <w:lang w:val="zh-CN"/>
        </w:rPr>
        <w:t>投标文件</w:t>
      </w:r>
      <w:bookmarkEnd w:id="167"/>
      <w:bookmarkEnd w:id="168"/>
      <w:bookmarkEnd w:id="169"/>
      <w:bookmarkEnd w:id="170"/>
      <w:bookmarkEnd w:id="171"/>
      <w:bookmarkEnd w:id="172"/>
      <w:r>
        <w:rPr>
          <w:rFonts w:hint="eastAsia"/>
          <w:b/>
          <w:szCs w:val="24"/>
          <w:lang w:val="zh-CN"/>
        </w:rPr>
        <w:t>组成</w:t>
      </w:r>
    </w:p>
    <w:p>
      <w:pPr>
        <w:keepNext w:val="0"/>
        <w:keepLines w:val="0"/>
        <w:pageBreakBefore w:val="0"/>
        <w:widowControl w:val="0"/>
        <w:numPr>
          <w:ilvl w:val="0"/>
          <w:numId w:val="2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bookmarkStart w:id="173" w:name="_Toc102114896"/>
      <w:bookmarkStart w:id="174" w:name="_Toc102057694"/>
      <w:bookmarkStart w:id="175" w:name="_Toc102116128"/>
      <w:bookmarkStart w:id="176" w:name="_Toc102115998"/>
      <w:bookmarkStart w:id="177" w:name="_Toc102119829"/>
      <w:bookmarkStart w:id="178" w:name="_Toc102056194"/>
      <w:r>
        <w:rPr>
          <w:rFonts w:hint="eastAsia" w:cs="宋体"/>
          <w:szCs w:val="24"/>
          <w:lang w:val="zh-CN"/>
        </w:rPr>
        <w:t>投标文件由投标文件（PDF格式）和投标数据文件（PDF格式）二部分共同构成。</w:t>
      </w:r>
    </w:p>
    <w:p>
      <w:pPr>
        <w:keepNext w:val="0"/>
        <w:keepLines w:val="0"/>
        <w:pageBreakBefore w:val="0"/>
        <w:widowControl w:val="0"/>
        <w:numPr>
          <w:ilvl w:val="0"/>
          <w:numId w:val="2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投标文件（PDF格式）内容：可参考“第七章 投标文件格式（参考）”。</w:t>
      </w:r>
    </w:p>
    <w:p>
      <w:pPr>
        <w:keepNext w:val="0"/>
        <w:keepLines w:val="0"/>
        <w:pageBreakBefore w:val="0"/>
        <w:widowControl w:val="0"/>
        <w:numPr>
          <w:ilvl w:val="0"/>
          <w:numId w:val="2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投标数据文件（PDF格式）包括以下内容：</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第一部分 封面</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第二部分 投标（报价）一览表（含明细）</w:t>
      </w:r>
    </w:p>
    <w:p>
      <w:pPr>
        <w:wordWrap w:val="0"/>
        <w:adjustRightInd w:val="0"/>
        <w:snapToGrid w:val="0"/>
        <w:spacing w:line="360" w:lineRule="auto"/>
        <w:ind w:firstLine="600" w:firstLineChars="250"/>
        <w:rPr>
          <w:rFonts w:cs="宋体"/>
          <w:szCs w:val="24"/>
          <w:lang w:val="zh-CN"/>
        </w:rPr>
      </w:pPr>
      <w:r>
        <w:rPr>
          <w:rFonts w:hint="eastAsia" w:cs="宋体"/>
          <w:szCs w:val="24"/>
          <w:lang w:val="zh-CN"/>
        </w:rPr>
        <w:t>第三部分 评审对照表</w:t>
      </w:r>
    </w:p>
    <w:p>
      <w:pPr>
        <w:wordWrap w:val="0"/>
        <w:adjustRightInd w:val="0"/>
        <w:snapToGrid w:val="0"/>
        <w:spacing w:line="360" w:lineRule="auto"/>
        <w:ind w:firstLine="600" w:firstLineChars="250"/>
        <w:rPr>
          <w:rFonts w:hint="eastAsia" w:cs="宋体"/>
          <w:szCs w:val="24"/>
          <w:lang w:val="zh-CN"/>
        </w:rPr>
      </w:pPr>
      <w:r>
        <w:rPr>
          <w:rFonts w:hint="eastAsia" w:cs="宋体"/>
          <w:szCs w:val="24"/>
          <w:lang w:val="zh-CN"/>
        </w:rPr>
        <w:t>第四部分 评分对照表</w:t>
      </w:r>
    </w:p>
    <w:p>
      <w:pPr>
        <w:pStyle w:val="54"/>
        <w:numPr>
          <w:ilvl w:val="0"/>
          <w:numId w:val="8"/>
        </w:numPr>
        <w:spacing w:line="360" w:lineRule="auto"/>
        <w:ind w:left="284" w:hanging="284" w:firstLineChars="0"/>
        <w:rPr>
          <w:b/>
          <w:szCs w:val="24"/>
          <w:lang w:val="zh-CN"/>
        </w:rPr>
      </w:pPr>
      <w:r>
        <w:rPr>
          <w:rFonts w:hint="eastAsia"/>
          <w:b/>
          <w:szCs w:val="24"/>
          <w:lang w:val="zh-CN"/>
        </w:rPr>
        <w:t>投标文件编制</w:t>
      </w:r>
      <w:bookmarkEnd w:id="173"/>
      <w:bookmarkEnd w:id="174"/>
      <w:bookmarkEnd w:id="175"/>
      <w:bookmarkEnd w:id="176"/>
      <w:bookmarkEnd w:id="177"/>
      <w:bookmarkEnd w:id="178"/>
    </w:p>
    <w:p>
      <w:pPr>
        <w:numPr>
          <w:ilvl w:val="0"/>
          <w:numId w:val="23"/>
        </w:numPr>
        <w:wordWrap w:val="0"/>
        <w:adjustRightInd w:val="0"/>
        <w:snapToGrid w:val="0"/>
        <w:spacing w:line="360" w:lineRule="auto"/>
        <w:ind w:left="616" w:hanging="616"/>
        <w:rPr>
          <w:rFonts w:cs="宋体"/>
          <w:szCs w:val="24"/>
          <w:lang w:val="zh-CN"/>
        </w:rPr>
      </w:pPr>
      <w:r>
        <w:rPr>
          <w:rFonts w:hint="eastAsia" w:cs="宋体"/>
          <w:szCs w:val="24"/>
          <w:lang w:val="zh-CN"/>
        </w:rPr>
        <w:t>招标项目划分采购包的，投标人应就所投包段分别编制投标文件。</w:t>
      </w:r>
    </w:p>
    <w:p>
      <w:pPr>
        <w:numPr>
          <w:ilvl w:val="0"/>
          <w:numId w:val="23"/>
        </w:numPr>
        <w:wordWrap w:val="0"/>
        <w:adjustRightInd w:val="0"/>
        <w:snapToGrid w:val="0"/>
        <w:spacing w:line="360" w:lineRule="auto"/>
        <w:ind w:left="616" w:hanging="616"/>
        <w:rPr>
          <w:rFonts w:cs="宋体"/>
          <w:szCs w:val="24"/>
          <w:lang w:val="zh-CN"/>
        </w:rPr>
      </w:pPr>
      <w:r>
        <w:rPr>
          <w:rFonts w:hint="eastAsia" w:cs="宋体"/>
          <w:szCs w:val="24"/>
          <w:lang w:val="zh-CN"/>
        </w:rPr>
        <w:t>投标文件（</w:t>
      </w:r>
      <w:r>
        <w:rPr>
          <w:rFonts w:cs="宋体"/>
          <w:szCs w:val="24"/>
          <w:lang w:val="zh-CN"/>
        </w:rPr>
        <w:t>PDF格式）</w:t>
      </w:r>
      <w:r>
        <w:rPr>
          <w:rFonts w:hint="eastAsia" w:cs="宋体"/>
          <w:szCs w:val="24"/>
          <w:lang w:val="zh-CN"/>
        </w:rPr>
        <w:t>可参考</w:t>
      </w:r>
      <w:r>
        <w:rPr>
          <w:rFonts w:cs="宋体"/>
          <w:szCs w:val="24"/>
          <w:lang w:val="zh-CN"/>
        </w:rPr>
        <w:t>“第七章</w:t>
      </w:r>
      <w:r>
        <w:rPr>
          <w:rFonts w:hint="eastAsia" w:cs="宋体"/>
          <w:szCs w:val="24"/>
          <w:lang w:val="zh-CN"/>
        </w:rPr>
        <w:t xml:space="preserve"> </w:t>
      </w:r>
      <w:r>
        <w:rPr>
          <w:rFonts w:cs="宋体"/>
          <w:szCs w:val="24"/>
          <w:lang w:val="zh-CN"/>
        </w:rPr>
        <w:t>投标文件格式</w:t>
      </w:r>
      <w:r>
        <w:rPr>
          <w:rFonts w:hint="eastAsia" w:cs="宋体"/>
          <w:szCs w:val="24"/>
          <w:lang w:val="zh-CN"/>
        </w:rPr>
        <w:t>（参考）</w:t>
      </w:r>
      <w:r>
        <w:rPr>
          <w:rFonts w:cs="宋体"/>
          <w:szCs w:val="24"/>
          <w:lang w:val="zh-CN"/>
        </w:rPr>
        <w:t>”的要求，</w:t>
      </w:r>
      <w:r>
        <w:rPr>
          <w:rFonts w:hint="eastAsia" w:cs="宋体"/>
          <w:szCs w:val="24"/>
          <w:lang w:val="zh-CN"/>
        </w:rPr>
        <w:t>先</w:t>
      </w:r>
      <w:r>
        <w:rPr>
          <w:rFonts w:cs="宋体"/>
          <w:szCs w:val="24"/>
          <w:lang w:val="zh-CN"/>
        </w:rPr>
        <w:t>编写成Word格式文件，再通过电子采购平台转换成PDF格式。</w:t>
      </w:r>
      <w:r>
        <w:rPr>
          <w:rFonts w:hint="eastAsia" w:cs="宋体"/>
          <w:szCs w:val="24"/>
          <w:lang w:val="zh-CN"/>
        </w:rPr>
        <w:t>具体要求如下：</w:t>
      </w:r>
    </w:p>
    <w:p>
      <w:pPr>
        <w:pStyle w:val="11"/>
        <w:tabs>
          <w:tab w:val="left" w:pos="1701"/>
        </w:tabs>
        <w:wordWrap w:val="0"/>
        <w:adjustRightInd w:val="0"/>
        <w:snapToGrid w:val="0"/>
        <w:spacing w:line="360" w:lineRule="auto"/>
        <w:ind w:firstLine="480" w:firstLineChars="200"/>
        <w:rPr>
          <w:lang w:val="zh-CN"/>
        </w:rPr>
      </w:pPr>
      <w:r>
        <w:rPr>
          <w:rFonts w:hint="eastAsia"/>
          <w:lang w:val="zh-CN"/>
        </w:rPr>
        <w:t>（1）投标文件页面纸张大小使用A4规格，所提供的资料应为清晰影印件；</w:t>
      </w:r>
    </w:p>
    <w:p>
      <w:pPr>
        <w:pStyle w:val="11"/>
        <w:tabs>
          <w:tab w:val="left" w:pos="1701"/>
        </w:tabs>
        <w:wordWrap w:val="0"/>
        <w:adjustRightInd w:val="0"/>
        <w:snapToGrid w:val="0"/>
        <w:spacing w:line="360" w:lineRule="auto"/>
        <w:ind w:firstLine="480" w:firstLineChars="200"/>
        <w:rPr>
          <w:lang w:val="zh-CN"/>
        </w:rPr>
      </w:pPr>
      <w:r>
        <w:rPr>
          <w:rFonts w:hint="eastAsia"/>
          <w:lang w:val="zh-CN"/>
        </w:rPr>
        <w:t>（2）投标文件应编写详细目录，目录能链接到投标文件对应章节内容，且具有文档结构图；</w:t>
      </w:r>
    </w:p>
    <w:p>
      <w:pPr>
        <w:pStyle w:val="11"/>
        <w:tabs>
          <w:tab w:val="left" w:pos="1701"/>
        </w:tabs>
        <w:wordWrap w:val="0"/>
        <w:adjustRightInd w:val="0"/>
        <w:snapToGrid w:val="0"/>
        <w:spacing w:line="360" w:lineRule="auto"/>
        <w:ind w:firstLine="480" w:firstLineChars="200"/>
        <w:rPr>
          <w:lang w:val="zh-CN"/>
        </w:rPr>
      </w:pPr>
      <w:r>
        <w:rPr>
          <w:rFonts w:hint="eastAsia"/>
          <w:lang w:val="zh-CN"/>
        </w:rPr>
        <w:t>（3）投标文件页码必须连续，内容详尽、易于理解和审查；</w:t>
      </w:r>
    </w:p>
    <w:p>
      <w:pPr>
        <w:pStyle w:val="11"/>
        <w:tabs>
          <w:tab w:val="left" w:pos="1701"/>
        </w:tabs>
        <w:wordWrap w:val="0"/>
        <w:adjustRightInd w:val="0"/>
        <w:snapToGrid w:val="0"/>
        <w:spacing w:line="360" w:lineRule="auto"/>
        <w:ind w:firstLine="480" w:firstLineChars="200"/>
        <w:rPr>
          <w:lang w:val="zh-CN"/>
        </w:rPr>
      </w:pPr>
      <w:r>
        <w:rPr>
          <w:rFonts w:hint="eastAsia"/>
          <w:lang w:val="zh-CN"/>
        </w:rPr>
        <w:t>（4）</w:t>
      </w:r>
      <w:r>
        <w:rPr>
          <w:rFonts w:hint="eastAsia"/>
          <w:szCs w:val="24"/>
          <w:lang w:val="zh-CN"/>
        </w:rPr>
        <w:t>投标文件转换成PDF格式后也应满足上述要求，若未按上述要求编制投标文件的，导致的不利后果由投标人自行承担。</w:t>
      </w:r>
    </w:p>
    <w:p>
      <w:pPr>
        <w:numPr>
          <w:ilvl w:val="0"/>
          <w:numId w:val="23"/>
        </w:numPr>
        <w:wordWrap w:val="0"/>
        <w:adjustRightInd w:val="0"/>
        <w:snapToGrid w:val="0"/>
        <w:spacing w:line="360" w:lineRule="auto"/>
        <w:ind w:left="616" w:hanging="616"/>
        <w:rPr>
          <w:rFonts w:cs="宋体"/>
          <w:szCs w:val="24"/>
          <w:lang w:val="zh-CN"/>
        </w:rPr>
      </w:pPr>
      <w:r>
        <w:rPr>
          <w:rFonts w:hint="eastAsia" w:cs="宋体"/>
          <w:szCs w:val="24"/>
          <w:lang w:val="zh-CN"/>
        </w:rPr>
        <w:t>投标数据文件（</w:t>
      </w:r>
      <w:r>
        <w:rPr>
          <w:rFonts w:cs="宋体"/>
          <w:szCs w:val="24"/>
          <w:lang w:val="zh-CN"/>
        </w:rPr>
        <w:t>PDF格式）</w:t>
      </w:r>
      <w:r>
        <w:rPr>
          <w:rFonts w:hint="eastAsia" w:cs="宋体"/>
          <w:szCs w:val="24"/>
          <w:lang w:val="zh-CN"/>
        </w:rPr>
        <w:t>应先按招标数据文件（Excel格式）的格式、内容及填写要求进行</w:t>
      </w:r>
      <w:r>
        <w:rPr>
          <w:rFonts w:hint="eastAsia" w:cs="宋体"/>
          <w:szCs w:val="24"/>
        </w:rPr>
        <w:t>编写</w:t>
      </w:r>
      <w:r>
        <w:rPr>
          <w:rFonts w:hint="eastAsia" w:cs="宋体"/>
          <w:szCs w:val="24"/>
          <w:lang w:val="zh-CN"/>
        </w:rPr>
        <w:t>，</w:t>
      </w:r>
      <w:r>
        <w:rPr>
          <w:rFonts w:hint="eastAsia" w:cs="宋体"/>
          <w:szCs w:val="24"/>
        </w:rPr>
        <w:t>并确保已充分覆盖了招标文件《</w:t>
      </w:r>
      <w:r>
        <w:rPr>
          <w:rFonts w:hint="eastAsia" w:cs="宋体"/>
          <w:szCs w:val="24"/>
          <w:lang w:val="zh-CN"/>
        </w:rPr>
        <w:t>开标一览表（含明细）</w:t>
      </w:r>
      <w:r>
        <w:rPr>
          <w:rFonts w:hint="eastAsia" w:cs="宋体"/>
          <w:szCs w:val="24"/>
        </w:rPr>
        <w:t>》</w:t>
      </w:r>
      <w:r>
        <w:rPr>
          <w:rFonts w:hint="eastAsia" w:cs="宋体"/>
          <w:szCs w:val="24"/>
          <w:lang w:val="zh-CN"/>
        </w:rPr>
        <w:t>、</w:t>
      </w:r>
      <w:r>
        <w:rPr>
          <w:rFonts w:hint="eastAsia" w:cs="宋体"/>
          <w:szCs w:val="24"/>
        </w:rPr>
        <w:t>《评审对照表》、《评分对照表》的内容，再通过电子采购平台转换成PDF格式</w:t>
      </w:r>
      <w:r>
        <w:rPr>
          <w:rFonts w:hint="eastAsia" w:cs="宋体"/>
          <w:szCs w:val="24"/>
          <w:lang w:val="zh-CN"/>
        </w:rPr>
        <w:t>。</w:t>
      </w:r>
    </w:p>
    <w:p>
      <w:pPr>
        <w:numPr>
          <w:ilvl w:val="0"/>
          <w:numId w:val="23"/>
        </w:numPr>
        <w:wordWrap w:val="0"/>
        <w:adjustRightInd w:val="0"/>
        <w:snapToGrid w:val="0"/>
        <w:spacing w:line="360" w:lineRule="auto"/>
        <w:ind w:left="616" w:hanging="616"/>
        <w:rPr>
          <w:rFonts w:cs="宋体"/>
          <w:szCs w:val="24"/>
        </w:rPr>
      </w:pPr>
      <w:r>
        <w:rPr>
          <w:rFonts w:hint="eastAsia" w:cs="宋体"/>
          <w:szCs w:val="24"/>
          <w:lang w:val="zh-CN"/>
        </w:rPr>
        <w:t>为了</w:t>
      </w:r>
      <w:r>
        <w:rPr>
          <w:rFonts w:hint="eastAsia" w:cs="宋体"/>
          <w:szCs w:val="24"/>
        </w:rPr>
        <w:t>保证采购平台电子化处理效率，投标人在保证扫描件清晰可辨认（若无法辨认影响评审的，导致</w:t>
      </w:r>
      <w:r>
        <w:rPr>
          <w:rFonts w:cs="宋体"/>
          <w:szCs w:val="24"/>
        </w:rPr>
        <w:t>的后果</w:t>
      </w:r>
      <w:r>
        <w:rPr>
          <w:rFonts w:hint="eastAsia" w:cs="宋体"/>
          <w:szCs w:val="24"/>
        </w:rPr>
        <w:t>由投标人自行承担）的情况下，应尽量降低扫描分辨率，输出为JPG文件格式（以文字为主的文件扫描，建议最高200DPI；以图片为主且颜色丰富的文件，建议最高300DPI）。同时应尽可能降低投标文件的大小，小容量投标文件提交上传更快捷、差错发生几率少。</w:t>
      </w:r>
    </w:p>
    <w:p>
      <w:pPr>
        <w:pStyle w:val="54"/>
        <w:numPr>
          <w:ilvl w:val="0"/>
          <w:numId w:val="23"/>
        </w:numPr>
        <w:wordWrap w:val="0"/>
        <w:adjustRightInd w:val="0"/>
        <w:snapToGrid w:val="0"/>
        <w:spacing w:line="360" w:lineRule="auto"/>
        <w:ind w:left="616" w:hanging="616" w:firstLineChars="0"/>
        <w:rPr>
          <w:rFonts w:cs="宋体"/>
          <w:szCs w:val="24"/>
        </w:rPr>
      </w:pPr>
      <w:r>
        <w:rPr>
          <w:rFonts w:hint="eastAsia" w:cs="宋体"/>
          <w:szCs w:val="24"/>
        </w:rPr>
        <w:t>投标人应对投标文件全部内容的真实性负责，若有虚假，将依法承担相应责任</w:t>
      </w:r>
      <w:r>
        <w:rPr>
          <w:rFonts w:hint="eastAsia" w:cs="宋体"/>
          <w:szCs w:val="24"/>
          <w:lang w:eastAsia="zh-CN"/>
        </w:rPr>
        <w:t>。</w:t>
      </w:r>
    </w:p>
    <w:p>
      <w:pPr>
        <w:pStyle w:val="54"/>
        <w:numPr>
          <w:ilvl w:val="0"/>
          <w:numId w:val="8"/>
        </w:numPr>
        <w:spacing w:line="360" w:lineRule="auto"/>
        <w:ind w:left="284" w:hanging="284" w:firstLineChars="0"/>
        <w:rPr>
          <w:b/>
          <w:szCs w:val="24"/>
          <w:lang w:val="zh-CN"/>
        </w:rPr>
      </w:pPr>
      <w:bookmarkStart w:id="179" w:name="_Toc102057695"/>
      <w:bookmarkStart w:id="180" w:name="_Toc102056195"/>
      <w:bookmarkStart w:id="181" w:name="_Toc102114897"/>
      <w:bookmarkStart w:id="182" w:name="_Toc102115999"/>
      <w:bookmarkStart w:id="183" w:name="_Toc102116129"/>
      <w:bookmarkStart w:id="184" w:name="_Toc102119830"/>
      <w:r>
        <w:rPr>
          <w:rFonts w:hint="eastAsia"/>
          <w:b/>
          <w:szCs w:val="24"/>
          <w:lang w:val="zh-CN"/>
        </w:rPr>
        <w:t>投标文件的数量</w:t>
      </w:r>
    </w:p>
    <w:p>
      <w:pPr>
        <w:wordWrap w:val="0"/>
        <w:adjustRightInd w:val="0"/>
        <w:snapToGrid w:val="0"/>
        <w:spacing w:line="360" w:lineRule="auto"/>
        <w:ind w:firstLine="480" w:firstLineChars="200"/>
        <w:rPr>
          <w:lang w:val="zh-CN"/>
        </w:rPr>
      </w:pPr>
      <w:r>
        <w:rPr>
          <w:rFonts w:hint="eastAsia" w:cs="宋体"/>
          <w:szCs w:val="24"/>
          <w:lang w:val="zh-CN"/>
        </w:rPr>
        <w:t>应按</w:t>
      </w:r>
      <w:r>
        <w:rPr>
          <w:rFonts w:hint="eastAsia" w:cs="宋体"/>
          <w:b/>
          <w:szCs w:val="24"/>
          <w:lang w:val="zh-CN"/>
        </w:rPr>
        <w:t>“投标人须知前附表”</w:t>
      </w:r>
      <w:r>
        <w:rPr>
          <w:rFonts w:hint="eastAsia" w:cs="宋体"/>
          <w:szCs w:val="24"/>
          <w:lang w:val="zh-CN"/>
        </w:rPr>
        <w:t>中规定的份数编制投标文件。</w:t>
      </w:r>
    </w:p>
    <w:p>
      <w:pPr>
        <w:pStyle w:val="54"/>
        <w:numPr>
          <w:ilvl w:val="0"/>
          <w:numId w:val="8"/>
        </w:numPr>
        <w:spacing w:line="360" w:lineRule="auto"/>
        <w:ind w:left="284" w:hanging="284" w:firstLineChars="0"/>
        <w:rPr>
          <w:b/>
          <w:szCs w:val="24"/>
          <w:lang w:val="zh-CN"/>
        </w:rPr>
      </w:pPr>
      <w:r>
        <w:rPr>
          <w:rFonts w:hint="eastAsia"/>
          <w:b/>
          <w:szCs w:val="24"/>
          <w:lang w:val="zh-CN"/>
        </w:rPr>
        <w:t>投标报价</w:t>
      </w:r>
      <w:bookmarkEnd w:id="179"/>
      <w:bookmarkEnd w:id="180"/>
      <w:bookmarkEnd w:id="181"/>
      <w:bookmarkEnd w:id="182"/>
      <w:bookmarkEnd w:id="183"/>
      <w:bookmarkEnd w:id="184"/>
    </w:p>
    <w:p>
      <w:pPr>
        <w:pStyle w:val="54"/>
        <w:keepNext w:val="0"/>
        <w:keepLines w:val="0"/>
        <w:pageBreakBefore w:val="0"/>
        <w:widowControl w:val="0"/>
        <w:numPr>
          <w:ilvl w:val="0"/>
          <w:numId w:val="24"/>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应按照“第三章 采购需求”规定的货物（或服务）内容、责任范围以及合同条款进行报价。投标人的报价应包括完成本项目全部内容可能发生的全部费用（含税费、保险等），并在合同执行过程中是固定不变的，不得以任何理由予以变更。</w:t>
      </w:r>
    </w:p>
    <w:p>
      <w:pPr>
        <w:pStyle w:val="54"/>
        <w:keepNext w:val="0"/>
        <w:keepLines w:val="0"/>
        <w:pageBreakBefore w:val="0"/>
        <w:widowControl w:val="0"/>
        <w:numPr>
          <w:ilvl w:val="0"/>
          <w:numId w:val="24"/>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应对项目招标范围内的全部内容进行报价，不得缺、漏项或只投其中部分内容，否则按照</w:t>
      </w:r>
      <w:r>
        <w:rPr>
          <w:rFonts w:hint="eastAsia" w:cs="宋体"/>
          <w:b/>
          <w:bCs/>
          <w:szCs w:val="24"/>
          <w:lang w:val="zh-CN"/>
        </w:rPr>
        <w:t>无效投标处理</w:t>
      </w:r>
      <w:r>
        <w:rPr>
          <w:rFonts w:hint="eastAsia" w:cs="宋体"/>
          <w:szCs w:val="24"/>
          <w:lang w:val="zh-CN"/>
        </w:rPr>
        <w:t>。</w:t>
      </w:r>
    </w:p>
    <w:p>
      <w:pPr>
        <w:pStyle w:val="54"/>
        <w:keepNext w:val="0"/>
        <w:keepLines w:val="0"/>
        <w:pageBreakBefore w:val="0"/>
        <w:widowControl w:val="0"/>
        <w:numPr>
          <w:ilvl w:val="0"/>
          <w:numId w:val="24"/>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投标报价不得超过采购预算和最高限价，否则按照</w:t>
      </w:r>
      <w:r>
        <w:rPr>
          <w:rFonts w:hint="eastAsia" w:cs="宋体"/>
          <w:b/>
          <w:bCs/>
          <w:szCs w:val="24"/>
          <w:lang w:val="zh-CN"/>
        </w:rPr>
        <w:t>无效投标处理</w:t>
      </w:r>
      <w:r>
        <w:rPr>
          <w:rFonts w:hint="eastAsia" w:cs="宋体"/>
          <w:szCs w:val="24"/>
          <w:lang w:val="zh-CN"/>
        </w:rPr>
        <w:t>。</w:t>
      </w:r>
    </w:p>
    <w:p>
      <w:pPr>
        <w:pStyle w:val="54"/>
        <w:numPr>
          <w:ilvl w:val="0"/>
          <w:numId w:val="8"/>
        </w:numPr>
        <w:spacing w:line="360" w:lineRule="auto"/>
        <w:ind w:left="284" w:hanging="284" w:firstLineChars="0"/>
        <w:rPr>
          <w:b/>
          <w:szCs w:val="24"/>
          <w:lang w:val="zh-CN"/>
        </w:rPr>
      </w:pPr>
      <w:bookmarkStart w:id="185" w:name="_Toc102057699"/>
      <w:bookmarkStart w:id="186" w:name="_Toc102056199"/>
      <w:bookmarkStart w:id="187" w:name="_Toc102116003"/>
      <w:bookmarkStart w:id="188" w:name="_Toc102114901"/>
      <w:bookmarkStart w:id="189" w:name="_Toc102119834"/>
      <w:bookmarkStart w:id="190" w:name="_Toc102116133"/>
      <w:r>
        <w:rPr>
          <w:rFonts w:hint="eastAsia"/>
          <w:b/>
          <w:szCs w:val="24"/>
          <w:lang w:val="zh-CN"/>
        </w:rPr>
        <w:t>备选方案</w:t>
      </w:r>
      <w:bookmarkEnd w:id="185"/>
      <w:bookmarkEnd w:id="186"/>
      <w:bookmarkEnd w:id="187"/>
      <w:bookmarkEnd w:id="188"/>
      <w:bookmarkEnd w:id="189"/>
      <w:bookmarkEnd w:id="190"/>
    </w:p>
    <w:p>
      <w:pPr>
        <w:wordWrap w:val="0"/>
        <w:adjustRightInd w:val="0"/>
        <w:snapToGrid w:val="0"/>
        <w:spacing w:line="360" w:lineRule="auto"/>
        <w:ind w:firstLine="480" w:firstLineChars="200"/>
        <w:rPr>
          <w:rFonts w:cs="宋体"/>
          <w:szCs w:val="24"/>
          <w:lang w:val="zh-CN"/>
        </w:rPr>
      </w:pPr>
      <w:r>
        <w:rPr>
          <w:rFonts w:hint="eastAsia" w:cs="宋体"/>
          <w:szCs w:val="24"/>
          <w:lang w:val="zh-CN"/>
        </w:rPr>
        <w:t>详见</w:t>
      </w:r>
      <w:r>
        <w:rPr>
          <w:rFonts w:hint="eastAsia"/>
          <w:b/>
          <w:szCs w:val="24"/>
          <w:lang w:val="zh-CN"/>
        </w:rPr>
        <w:t>“投标人须知前附表”</w:t>
      </w:r>
      <w:r>
        <w:rPr>
          <w:rFonts w:hint="eastAsia" w:cs="宋体"/>
          <w:szCs w:val="24"/>
          <w:lang w:val="zh-CN"/>
        </w:rPr>
        <w:t>的规定。未按要求提供的，按照</w:t>
      </w:r>
      <w:r>
        <w:rPr>
          <w:rFonts w:hint="eastAsia" w:cs="宋体"/>
          <w:b/>
          <w:szCs w:val="24"/>
          <w:lang w:val="zh-CN"/>
        </w:rPr>
        <w:t>无效投标处理</w:t>
      </w:r>
      <w:r>
        <w:rPr>
          <w:rFonts w:hint="eastAsia" w:cs="宋体"/>
          <w:szCs w:val="24"/>
          <w:lang w:val="zh-CN"/>
        </w:rPr>
        <w:t>。</w:t>
      </w:r>
    </w:p>
    <w:p>
      <w:pPr>
        <w:pStyle w:val="54"/>
        <w:numPr>
          <w:ilvl w:val="0"/>
          <w:numId w:val="8"/>
        </w:numPr>
        <w:spacing w:line="360" w:lineRule="auto"/>
        <w:ind w:left="284" w:hanging="284" w:firstLineChars="0"/>
        <w:rPr>
          <w:b/>
          <w:szCs w:val="24"/>
          <w:lang w:val="zh-CN"/>
        </w:rPr>
      </w:pPr>
      <w:bookmarkStart w:id="191" w:name="_Toc102116005"/>
      <w:bookmarkStart w:id="192" w:name="_Toc102116135"/>
      <w:bookmarkStart w:id="193" w:name="_Toc102057701"/>
      <w:bookmarkStart w:id="194" w:name="_Toc102056201"/>
      <w:bookmarkStart w:id="195" w:name="_Toc102119836"/>
      <w:bookmarkStart w:id="196" w:name="_Toc102114903"/>
      <w:r>
        <w:rPr>
          <w:rFonts w:hint="eastAsia"/>
          <w:b/>
          <w:szCs w:val="24"/>
          <w:lang w:val="zh-CN"/>
        </w:rPr>
        <w:t>投标有效期</w:t>
      </w:r>
      <w:bookmarkEnd w:id="191"/>
      <w:bookmarkEnd w:id="192"/>
      <w:bookmarkEnd w:id="193"/>
      <w:bookmarkEnd w:id="194"/>
      <w:bookmarkEnd w:id="195"/>
      <w:bookmarkEnd w:id="196"/>
    </w:p>
    <w:p>
      <w:pPr>
        <w:pStyle w:val="54"/>
        <w:keepNext w:val="0"/>
        <w:keepLines w:val="0"/>
        <w:pageBreakBefore w:val="0"/>
        <w:widowControl w:val="0"/>
        <w:numPr>
          <w:ilvl w:val="0"/>
          <w:numId w:val="25"/>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投标有效期：详见“</w:t>
      </w:r>
      <w:r>
        <w:rPr>
          <w:rFonts w:hint="eastAsia" w:cs="宋体"/>
          <w:b/>
          <w:bCs/>
          <w:szCs w:val="24"/>
          <w:lang w:val="zh-CN"/>
        </w:rPr>
        <w:t>投标人须知前附表</w:t>
      </w:r>
      <w:r>
        <w:rPr>
          <w:rFonts w:hint="eastAsia" w:cs="宋体"/>
          <w:szCs w:val="24"/>
          <w:lang w:val="zh-CN"/>
        </w:rPr>
        <w:t>”的规定。投标有效期不足的，按照</w:t>
      </w:r>
      <w:r>
        <w:rPr>
          <w:rFonts w:hint="eastAsia" w:cs="宋体"/>
          <w:b/>
          <w:bCs/>
          <w:szCs w:val="24"/>
          <w:lang w:val="zh-CN"/>
        </w:rPr>
        <w:t>无效投标处理</w:t>
      </w:r>
      <w:r>
        <w:rPr>
          <w:rFonts w:hint="eastAsia" w:cs="宋体"/>
          <w:szCs w:val="24"/>
          <w:lang w:val="zh-CN"/>
        </w:rPr>
        <w:t>。</w:t>
      </w:r>
    </w:p>
    <w:p>
      <w:pPr>
        <w:pStyle w:val="54"/>
        <w:keepNext w:val="0"/>
        <w:keepLines w:val="0"/>
        <w:pageBreakBefore w:val="0"/>
        <w:widowControl w:val="0"/>
        <w:numPr>
          <w:ilvl w:val="0"/>
          <w:numId w:val="25"/>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特殊情况下，在投标有效期截止前，采购代理机构或采购人可以要求投标人延长投标有效期。投标人可同意或拒绝这种要求，同意延长投标有效期的，延长期限协调确定但不得修改其它投标内容；拒绝延长投标有效期的，其投标文件在有效期满后将失效。</w:t>
      </w:r>
    </w:p>
    <w:p>
      <w:pPr>
        <w:pStyle w:val="54"/>
        <w:numPr>
          <w:ilvl w:val="0"/>
          <w:numId w:val="8"/>
        </w:numPr>
        <w:spacing w:line="360" w:lineRule="auto"/>
        <w:ind w:left="284" w:hanging="284" w:firstLineChars="0"/>
        <w:rPr>
          <w:b/>
          <w:szCs w:val="24"/>
          <w:lang w:val="zh-CN"/>
        </w:rPr>
      </w:pPr>
      <w:bookmarkStart w:id="197" w:name="_Toc102056202"/>
      <w:bookmarkStart w:id="198" w:name="_Toc102057702"/>
      <w:bookmarkStart w:id="199" w:name="_Toc102119837"/>
      <w:bookmarkStart w:id="200" w:name="_Toc102116006"/>
      <w:bookmarkStart w:id="201" w:name="_Toc102114904"/>
      <w:bookmarkStart w:id="202" w:name="_Toc102116136"/>
      <w:r>
        <w:rPr>
          <w:rFonts w:hint="eastAsia"/>
          <w:b/>
          <w:szCs w:val="24"/>
          <w:lang w:val="zh-CN"/>
        </w:rPr>
        <w:t>投标文件签署</w:t>
      </w:r>
      <w:bookmarkEnd w:id="197"/>
      <w:bookmarkEnd w:id="198"/>
      <w:bookmarkEnd w:id="199"/>
      <w:bookmarkEnd w:id="200"/>
      <w:bookmarkEnd w:id="201"/>
      <w:bookmarkEnd w:id="202"/>
    </w:p>
    <w:p>
      <w:pPr>
        <w:pStyle w:val="54"/>
        <w:keepNext w:val="0"/>
        <w:keepLines w:val="0"/>
        <w:pageBreakBefore w:val="0"/>
        <w:widowControl w:val="0"/>
        <w:numPr>
          <w:ilvl w:val="0"/>
          <w:numId w:val="2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应按要求对投标文件（含投标文件&lt;PDF格式&gt;和投标数据文件&lt;PDF格式&gt;）需要加盖公章的部位加盖公章（电子公章），需要法定代表人签字或签章的部位应由法定代表人签字（签章）或加盖法定代表人电子人名章；电子章与相应的实物章、签字具有同等法律效力。</w:t>
      </w:r>
    </w:p>
    <w:p>
      <w:pPr>
        <w:pStyle w:val="54"/>
        <w:keepNext w:val="0"/>
        <w:keepLines w:val="0"/>
        <w:pageBreakBefore w:val="0"/>
        <w:widowControl w:val="0"/>
        <w:numPr>
          <w:ilvl w:val="0"/>
          <w:numId w:val="2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ab/>
      </w:r>
      <w:r>
        <w:rPr>
          <w:rFonts w:hint="eastAsia" w:cs="宋体"/>
          <w:szCs w:val="24"/>
          <w:lang w:val="zh-CN"/>
        </w:rPr>
        <w:t>投标文件（PDF格式）签章：投标人应用带电子签章功能的CA数字证书登陆电子采购平台，使用文件签章菜单的“标书签章”功能将编制好的Word格式投标文件（若有签名和盖章的资料，应先将其扫描件编入Word格式文件中）转换为PDF格式加盖电子印章。</w:t>
      </w:r>
    </w:p>
    <w:p>
      <w:pPr>
        <w:pStyle w:val="54"/>
        <w:keepNext w:val="0"/>
        <w:keepLines w:val="0"/>
        <w:pageBreakBefore w:val="0"/>
        <w:widowControl w:val="0"/>
        <w:numPr>
          <w:ilvl w:val="0"/>
          <w:numId w:val="2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投标数据文件（PDF格式）签章：应通过电子采购平台的文件签章菜单的“数据签章”功能将填写完毕的投标数据文件（Excel格式）转换为PDF格式加盖电子印章。</w:t>
      </w:r>
    </w:p>
    <w:p>
      <w:pPr>
        <w:pStyle w:val="54"/>
        <w:keepNext w:val="0"/>
        <w:keepLines w:val="0"/>
        <w:pageBreakBefore w:val="0"/>
        <w:widowControl w:val="0"/>
        <w:numPr>
          <w:ilvl w:val="0"/>
          <w:numId w:val="2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以联合体形式投标的，联合体成员都应在投标文件上加盖公章或电子公章。</w:t>
      </w:r>
    </w:p>
    <w:p>
      <w:pPr>
        <w:pStyle w:val="54"/>
        <w:keepNext w:val="0"/>
        <w:keepLines w:val="0"/>
        <w:pageBreakBefore w:val="0"/>
        <w:widowControl w:val="0"/>
        <w:numPr>
          <w:ilvl w:val="0"/>
          <w:numId w:val="26"/>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未按招标文件要求盖章或签字（签章）的，按照</w:t>
      </w:r>
      <w:r>
        <w:rPr>
          <w:rFonts w:hint="eastAsia" w:cs="宋体"/>
          <w:b/>
          <w:bCs/>
          <w:szCs w:val="24"/>
          <w:lang w:val="zh-CN"/>
        </w:rPr>
        <w:t>无效投标处理</w:t>
      </w:r>
      <w:r>
        <w:rPr>
          <w:rFonts w:hint="eastAsia" w:cs="宋体"/>
          <w:szCs w:val="24"/>
          <w:lang w:val="zh-CN"/>
        </w:rPr>
        <w:t>。</w:t>
      </w:r>
    </w:p>
    <w:p>
      <w:pPr>
        <w:pStyle w:val="54"/>
        <w:numPr>
          <w:ilvl w:val="0"/>
          <w:numId w:val="8"/>
        </w:numPr>
        <w:spacing w:line="360" w:lineRule="auto"/>
        <w:ind w:left="284" w:hanging="284" w:firstLineChars="0"/>
        <w:rPr>
          <w:b/>
          <w:szCs w:val="24"/>
          <w:lang w:val="zh-CN"/>
        </w:rPr>
      </w:pPr>
      <w:bookmarkStart w:id="203" w:name="_Toc102119838"/>
      <w:bookmarkStart w:id="204" w:name="_Toc102116007"/>
      <w:bookmarkStart w:id="205" w:name="_Toc102114905"/>
      <w:bookmarkStart w:id="206" w:name="_Toc102116137"/>
      <w:bookmarkStart w:id="207" w:name="_Toc102057703"/>
      <w:bookmarkStart w:id="208" w:name="_Toc102056203"/>
      <w:r>
        <w:rPr>
          <w:rFonts w:hint="eastAsia"/>
          <w:b/>
          <w:szCs w:val="24"/>
          <w:lang w:val="zh-CN"/>
        </w:rPr>
        <w:t>投标文件加密与提交</w:t>
      </w:r>
      <w:bookmarkEnd w:id="203"/>
      <w:bookmarkEnd w:id="204"/>
      <w:bookmarkEnd w:id="205"/>
      <w:bookmarkEnd w:id="206"/>
      <w:bookmarkEnd w:id="207"/>
      <w:bookmarkEnd w:id="208"/>
    </w:p>
    <w:p>
      <w:pPr>
        <w:pStyle w:val="54"/>
        <w:keepNext w:val="0"/>
        <w:keepLines w:val="0"/>
        <w:pageBreakBefore w:val="0"/>
        <w:widowControl w:val="0"/>
        <w:numPr>
          <w:ilvl w:val="0"/>
          <w:numId w:val="2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投标人应按“第一章 投标邀请”中规定的时间前在电子采购平台上提交投标文件，并按电子采购平台提示，设置投标文件加密密码。投标人应牢记投标文件加密密码并严格保密，该密码将用于解密其投标文件。因忘记密码无法解密投标文件的，导致的后果由投标人自行承担。</w:t>
      </w:r>
    </w:p>
    <w:p>
      <w:pPr>
        <w:pStyle w:val="54"/>
        <w:keepNext w:val="0"/>
        <w:keepLines w:val="0"/>
        <w:pageBreakBefore w:val="0"/>
        <w:widowControl w:val="0"/>
        <w:numPr>
          <w:ilvl w:val="0"/>
          <w:numId w:val="2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投标人应充分评估集中同时投标带来的网络影响，尽量避开投标高峰时间，错峰进行电子投标。电子采购平台收到投标文件后，将向投标人出具电子签收回执。</w:t>
      </w:r>
    </w:p>
    <w:p>
      <w:pPr>
        <w:pStyle w:val="54"/>
        <w:keepNext w:val="0"/>
        <w:keepLines w:val="0"/>
        <w:pageBreakBefore w:val="0"/>
        <w:widowControl w:val="0"/>
        <w:numPr>
          <w:ilvl w:val="0"/>
          <w:numId w:val="2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投标文件提交时间以电子采购平台显示为准，系统以收到投标人发出的提交指令时间作为其投标时间。超过提交投标文件截止时间的投标文件，</w:t>
      </w:r>
      <w:r>
        <w:rPr>
          <w:rFonts w:hint="eastAsia" w:cs="宋体"/>
          <w:b/>
          <w:bCs/>
          <w:szCs w:val="24"/>
          <w:lang w:val="zh-CN"/>
        </w:rPr>
        <w:t>采购代理机构将拒收</w:t>
      </w:r>
      <w:r>
        <w:rPr>
          <w:rFonts w:hint="eastAsia" w:cs="宋体"/>
          <w:szCs w:val="24"/>
          <w:lang w:val="zh-CN"/>
        </w:rPr>
        <w:t>。</w:t>
      </w:r>
    </w:p>
    <w:p>
      <w:pPr>
        <w:pStyle w:val="54"/>
        <w:keepNext w:val="0"/>
        <w:keepLines w:val="0"/>
        <w:pageBreakBefore w:val="0"/>
        <w:widowControl w:val="0"/>
        <w:numPr>
          <w:ilvl w:val="0"/>
          <w:numId w:val="27"/>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投标人应将电子采购平台上盖章且未加密的投标文件下载妥善保存，以便启动应急开标程序时使用。</w:t>
      </w:r>
    </w:p>
    <w:p>
      <w:pPr>
        <w:pStyle w:val="54"/>
        <w:numPr>
          <w:ilvl w:val="0"/>
          <w:numId w:val="8"/>
        </w:numPr>
        <w:spacing w:line="360" w:lineRule="auto"/>
        <w:ind w:left="284" w:hanging="284" w:firstLineChars="0"/>
        <w:rPr>
          <w:b/>
          <w:szCs w:val="24"/>
          <w:lang w:val="zh-CN"/>
        </w:rPr>
      </w:pPr>
      <w:bookmarkStart w:id="209" w:name="_Toc102056204"/>
      <w:bookmarkStart w:id="210" w:name="_Toc102057704"/>
      <w:bookmarkStart w:id="211" w:name="_Toc102119839"/>
      <w:bookmarkStart w:id="212" w:name="_Toc102116138"/>
      <w:bookmarkStart w:id="213" w:name="_Toc102116008"/>
      <w:bookmarkStart w:id="214" w:name="_Toc102114906"/>
      <w:r>
        <w:rPr>
          <w:rFonts w:hint="eastAsia"/>
          <w:b/>
          <w:szCs w:val="24"/>
          <w:lang w:val="zh-CN"/>
        </w:rPr>
        <w:t>投标文件的修改和撤回</w:t>
      </w:r>
      <w:bookmarkEnd w:id="209"/>
      <w:bookmarkEnd w:id="210"/>
      <w:bookmarkEnd w:id="211"/>
      <w:bookmarkEnd w:id="212"/>
      <w:bookmarkEnd w:id="213"/>
      <w:bookmarkEnd w:id="214"/>
    </w:p>
    <w:p>
      <w:pPr>
        <w:pStyle w:val="54"/>
        <w:keepNext w:val="0"/>
        <w:keepLines w:val="0"/>
        <w:pageBreakBefore w:val="0"/>
        <w:widowControl w:val="0"/>
        <w:numPr>
          <w:ilvl w:val="0"/>
          <w:numId w:val="28"/>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投标人在投标截止时间前，可以对所提交的投标文件进行补充、修改或者撤回。补充、修改的内容应当按照招标文件要求签署、盖章后，作为投标文件的组成部分。</w:t>
      </w:r>
    </w:p>
    <w:p>
      <w:pPr>
        <w:pStyle w:val="54"/>
        <w:keepNext w:val="0"/>
        <w:keepLines w:val="0"/>
        <w:pageBreakBefore w:val="0"/>
        <w:widowControl w:val="0"/>
        <w:numPr>
          <w:ilvl w:val="0"/>
          <w:numId w:val="28"/>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投标截止后，投标有效期内投标人不得撤销其投标文件。</w:t>
      </w:r>
    </w:p>
    <w:p>
      <w:pPr>
        <w:pStyle w:val="54"/>
        <w:numPr>
          <w:ilvl w:val="0"/>
          <w:numId w:val="8"/>
        </w:numPr>
        <w:spacing w:line="360" w:lineRule="auto"/>
        <w:ind w:left="284" w:hanging="284" w:firstLineChars="0"/>
        <w:rPr>
          <w:b/>
          <w:szCs w:val="24"/>
          <w:lang w:val="zh-CN"/>
        </w:rPr>
      </w:pPr>
      <w:bookmarkStart w:id="215" w:name="_Toc102057705"/>
      <w:bookmarkStart w:id="216" w:name="_Toc102116139"/>
      <w:bookmarkStart w:id="217" w:name="_Toc102114907"/>
      <w:bookmarkStart w:id="218" w:name="_Toc102119840"/>
      <w:bookmarkStart w:id="219" w:name="_Toc102056205"/>
      <w:bookmarkStart w:id="220" w:name="_Toc102116009"/>
      <w:r>
        <w:rPr>
          <w:rFonts w:hint="eastAsia"/>
          <w:b/>
          <w:szCs w:val="24"/>
          <w:lang w:val="zh-CN"/>
        </w:rPr>
        <w:t>投标无效情形</w:t>
      </w:r>
      <w:bookmarkEnd w:id="215"/>
      <w:bookmarkEnd w:id="216"/>
      <w:bookmarkEnd w:id="217"/>
      <w:bookmarkEnd w:id="218"/>
      <w:bookmarkEnd w:id="219"/>
      <w:bookmarkEnd w:id="220"/>
    </w:p>
    <w:p>
      <w:pPr>
        <w:pStyle w:val="54"/>
        <w:keepNext w:val="0"/>
        <w:keepLines w:val="0"/>
        <w:pageBreakBefore w:val="0"/>
        <w:widowControl w:val="0"/>
        <w:numPr>
          <w:ilvl w:val="0"/>
          <w:numId w:val="2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有下列情形之一的，视为投标人串通投标，其投标无效：</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（1）不同投标人的投标文件由同一单位或者个人编制；</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（2）不同投标人委托同一单位或者个人办理投标事宜；</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（3）不同投标人的投标文件载明的项目管理成员或者联系人员为同一人；</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（4）不同投标人的投标文件异常一致或者投标报价呈规律性差异；</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（5）不同投标人的投标文件相互混装；</w:t>
      </w:r>
    </w:p>
    <w:p>
      <w:pPr>
        <w:tabs>
          <w:tab w:val="left" w:pos="993"/>
        </w:tabs>
        <w:wordWrap w:val="0"/>
        <w:adjustRightInd w:val="0"/>
        <w:snapToGrid w:val="0"/>
        <w:spacing w:line="360" w:lineRule="auto"/>
        <w:ind w:firstLine="480" w:firstLineChars="200"/>
        <w:rPr>
          <w:rFonts w:cs="宋体"/>
          <w:szCs w:val="24"/>
          <w:lang w:val="zh-CN"/>
        </w:rPr>
      </w:pPr>
      <w:r>
        <w:rPr>
          <w:rFonts w:hint="eastAsia" w:cs="宋体"/>
          <w:szCs w:val="24"/>
          <w:lang w:val="zh-CN"/>
        </w:rPr>
        <w:t>（6）不同投标人使用同一电脑（机器特征值一致：如MAC地址等）或使用同一电子密钥，编制或上传电子投标文件。</w:t>
      </w:r>
    </w:p>
    <w:p>
      <w:pPr>
        <w:pStyle w:val="54"/>
        <w:keepNext w:val="0"/>
        <w:keepLines w:val="0"/>
        <w:pageBreakBefore w:val="0"/>
        <w:widowControl w:val="0"/>
        <w:numPr>
          <w:ilvl w:val="0"/>
          <w:numId w:val="29"/>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符合“第四章 资格审查”和“第五章 评标办法”中规定的投标无效情形的。</w:t>
      </w:r>
    </w:p>
    <w:bookmarkEnd w:id="132"/>
    <w:bookmarkEnd w:id="133"/>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221" w:name="_Toc511894498"/>
      <w:bookmarkStart w:id="222" w:name="_Toc102057707"/>
      <w:bookmarkStart w:id="223" w:name="_Toc102114909"/>
      <w:bookmarkStart w:id="224" w:name="_Toc102056207"/>
      <w:bookmarkStart w:id="225" w:name="_Toc102119842"/>
      <w:bookmarkStart w:id="226" w:name="_Toc102116011"/>
      <w:bookmarkStart w:id="227" w:name="_Toc511889420"/>
      <w:bookmarkStart w:id="228" w:name="_Toc102116141"/>
      <w:bookmarkStart w:id="229" w:name="_Toc27468"/>
      <w:bookmarkStart w:id="230" w:name="_Toc117244353"/>
      <w:bookmarkStart w:id="231" w:name="_Toc117244468"/>
      <w:r>
        <w:rPr>
          <w:rFonts w:hint="eastAsia" w:ascii="宋体" w:hAnsi="宋体" w:eastAsia="宋体" w:cs="Times New Roman"/>
          <w:bCs w:val="0"/>
          <w:sz w:val="28"/>
          <w:szCs w:val="28"/>
          <w:lang w:val="zh-CN"/>
        </w:rPr>
        <w:t>开标</w:t>
      </w:r>
      <w:bookmarkEnd w:id="221"/>
      <w:bookmarkEnd w:id="222"/>
      <w:bookmarkEnd w:id="223"/>
      <w:bookmarkEnd w:id="224"/>
      <w:bookmarkEnd w:id="225"/>
      <w:bookmarkEnd w:id="226"/>
      <w:bookmarkEnd w:id="227"/>
      <w:bookmarkEnd w:id="228"/>
      <w:r>
        <w:rPr>
          <w:rFonts w:hint="eastAsia" w:ascii="宋体" w:hAnsi="宋体" w:eastAsia="宋体" w:cs="Times New Roman"/>
          <w:bCs w:val="0"/>
          <w:sz w:val="28"/>
          <w:szCs w:val="28"/>
          <w:lang w:val="zh-CN"/>
        </w:rPr>
        <w:t>与评标</w:t>
      </w:r>
      <w:bookmarkEnd w:id="229"/>
      <w:bookmarkEnd w:id="230"/>
      <w:bookmarkEnd w:id="231"/>
    </w:p>
    <w:p>
      <w:pPr>
        <w:pStyle w:val="54"/>
        <w:numPr>
          <w:ilvl w:val="0"/>
          <w:numId w:val="8"/>
        </w:numPr>
        <w:spacing w:line="360" w:lineRule="auto"/>
        <w:ind w:left="284" w:hanging="284" w:firstLineChars="0"/>
        <w:rPr>
          <w:b/>
          <w:szCs w:val="24"/>
          <w:lang w:val="zh-CN"/>
        </w:rPr>
      </w:pPr>
      <w:bookmarkStart w:id="232" w:name="_Toc102116142"/>
      <w:bookmarkStart w:id="233" w:name="_Toc102114910"/>
      <w:bookmarkStart w:id="234" w:name="_Toc102116012"/>
      <w:bookmarkStart w:id="235" w:name="_Toc102057708"/>
      <w:bookmarkStart w:id="236" w:name="_Toc102056208"/>
      <w:bookmarkStart w:id="237" w:name="_Toc102119843"/>
      <w:r>
        <w:rPr>
          <w:rFonts w:hint="eastAsia"/>
          <w:b/>
          <w:szCs w:val="24"/>
          <w:lang w:val="zh-CN"/>
        </w:rPr>
        <w:t>开标</w:t>
      </w:r>
      <w:bookmarkEnd w:id="232"/>
      <w:bookmarkEnd w:id="233"/>
      <w:bookmarkEnd w:id="234"/>
      <w:bookmarkEnd w:id="235"/>
      <w:bookmarkEnd w:id="236"/>
      <w:bookmarkEnd w:id="237"/>
      <w:r>
        <w:rPr>
          <w:rFonts w:hint="eastAsia"/>
          <w:b/>
          <w:szCs w:val="24"/>
          <w:lang w:val="zh-CN"/>
        </w:rPr>
        <w:t>程序</w:t>
      </w:r>
    </w:p>
    <w:p>
      <w:pPr>
        <w:pStyle w:val="54"/>
        <w:keepNext w:val="0"/>
        <w:keepLines w:val="0"/>
        <w:pageBreakBefore w:val="0"/>
        <w:widowControl w:val="0"/>
        <w:numPr>
          <w:ilvl w:val="0"/>
          <w:numId w:val="3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bookmarkStart w:id="238" w:name="_Toc107387533"/>
      <w:bookmarkStart w:id="239" w:name="_Toc152042336"/>
      <w:bookmarkStart w:id="240" w:name="_Toc152045560"/>
      <w:bookmarkStart w:id="241" w:name="_Toc179632578"/>
      <w:bookmarkStart w:id="242" w:name="_Toc144974528"/>
      <w:r>
        <w:rPr>
          <w:rFonts w:hint="eastAsia" w:cs="宋体"/>
          <w:szCs w:val="24"/>
          <w:lang w:val="zh-CN"/>
        </w:rPr>
        <w:t>开标时间和地点</w:t>
      </w:r>
      <w:bookmarkEnd w:id="238"/>
      <w:bookmarkEnd w:id="239"/>
      <w:bookmarkEnd w:id="240"/>
      <w:bookmarkEnd w:id="241"/>
      <w:bookmarkEnd w:id="242"/>
    </w:p>
    <w:p>
      <w:pPr>
        <w:tabs>
          <w:tab w:val="left" w:pos="993"/>
        </w:tabs>
        <w:wordWrap w:val="0"/>
        <w:adjustRightInd w:val="0"/>
        <w:snapToGrid w:val="0"/>
        <w:spacing w:line="360" w:lineRule="auto"/>
        <w:ind w:firstLine="480" w:firstLineChars="200"/>
        <w:rPr>
          <w:szCs w:val="24"/>
        </w:rPr>
      </w:pPr>
      <w:r>
        <w:rPr>
          <w:rFonts w:hint="eastAsia"/>
          <w:szCs w:val="24"/>
        </w:rPr>
        <w:t>（1）提交投标</w:t>
      </w:r>
      <w:r>
        <w:rPr>
          <w:rFonts w:hint="eastAsia"/>
          <w:szCs w:val="24"/>
          <w:lang w:eastAsia="zh-CN"/>
        </w:rPr>
        <w:t>文件</w:t>
      </w:r>
      <w:r>
        <w:rPr>
          <w:rFonts w:hint="eastAsia"/>
          <w:szCs w:val="24"/>
        </w:rPr>
        <w:t>截止时间前，投标人应</w:t>
      </w:r>
      <w:r>
        <w:rPr>
          <w:szCs w:val="24"/>
        </w:rPr>
        <w:t>使用</w:t>
      </w:r>
      <w:r>
        <w:rPr>
          <w:rFonts w:hint="eastAsia"/>
          <w:b/>
          <w:bCs/>
          <w:szCs w:val="24"/>
        </w:rPr>
        <w:t>加密其投标文件的CA数字证书</w:t>
      </w:r>
      <w:r>
        <w:rPr>
          <w:rFonts w:hint="eastAsia"/>
          <w:szCs w:val="24"/>
        </w:rPr>
        <w:t>登录电子采购平台，进入“开标大厅”选择所投项目</w:t>
      </w:r>
      <w:r>
        <w:rPr>
          <w:szCs w:val="24"/>
        </w:rPr>
        <w:t>（或</w:t>
      </w:r>
      <w:r>
        <w:rPr>
          <w:rFonts w:hint="eastAsia"/>
          <w:szCs w:val="24"/>
        </w:rPr>
        <w:t>标段）</w:t>
      </w:r>
      <w:r>
        <w:rPr>
          <w:rFonts w:hint="eastAsia"/>
          <w:b/>
          <w:bCs/>
          <w:szCs w:val="24"/>
        </w:rPr>
        <w:t>完成项目签到工作</w:t>
      </w:r>
      <w:r>
        <w:rPr>
          <w:rFonts w:hint="eastAsia"/>
          <w:szCs w:val="24"/>
        </w:rPr>
        <w:t>；</w:t>
      </w:r>
    </w:p>
    <w:p>
      <w:pPr>
        <w:tabs>
          <w:tab w:val="left" w:pos="993"/>
        </w:tabs>
        <w:wordWrap w:val="0"/>
        <w:adjustRightInd w:val="0"/>
        <w:snapToGrid w:val="0"/>
        <w:spacing w:line="360" w:lineRule="auto"/>
        <w:ind w:firstLine="480" w:firstLineChars="200"/>
        <w:rPr>
          <w:strike/>
          <w:szCs w:val="24"/>
          <w:u w:val="single"/>
        </w:rPr>
      </w:pPr>
      <w:r>
        <w:rPr>
          <w:rFonts w:hint="eastAsia"/>
          <w:szCs w:val="24"/>
        </w:rPr>
        <w:t>（</w:t>
      </w:r>
      <w:r>
        <w:rPr>
          <w:szCs w:val="24"/>
        </w:rPr>
        <w:t>2</w:t>
      </w:r>
      <w:r>
        <w:rPr>
          <w:rFonts w:hint="eastAsia"/>
          <w:szCs w:val="24"/>
        </w:rPr>
        <w:t>）</w:t>
      </w:r>
      <w:r>
        <w:rPr>
          <w:rFonts w:hint="eastAsia"/>
          <w:szCs w:val="24"/>
          <w:lang w:val="zh-CN"/>
        </w:rPr>
        <w:t>在“第一章 投标邀请”约定的投标截止时间、开标时间及地点，采购代理机构</w:t>
      </w:r>
      <w:r>
        <w:rPr>
          <w:rFonts w:hint="eastAsia" w:cs="宋体"/>
          <w:szCs w:val="24"/>
          <w:lang w:val="zh-CN"/>
        </w:rPr>
        <w:t>通过互联网</w:t>
      </w:r>
      <w:r>
        <w:rPr>
          <w:rFonts w:hint="eastAsia"/>
          <w:szCs w:val="24"/>
          <w:lang w:val="zh-CN"/>
        </w:rPr>
        <w:t>在电子采购平台“开标大厅”公开组织开标工作；</w:t>
      </w:r>
    </w:p>
    <w:p>
      <w:pPr>
        <w:tabs>
          <w:tab w:val="left" w:pos="993"/>
        </w:tabs>
        <w:wordWrap w:val="0"/>
        <w:adjustRightInd w:val="0"/>
        <w:snapToGrid w:val="0"/>
        <w:spacing w:line="360" w:lineRule="auto"/>
        <w:ind w:firstLine="480" w:firstLineChars="200"/>
        <w:rPr>
          <w:szCs w:val="24"/>
        </w:rPr>
      </w:pPr>
      <w:r>
        <w:rPr>
          <w:rFonts w:hint="eastAsia"/>
          <w:szCs w:val="24"/>
          <w:lang w:val="zh-CN"/>
        </w:rPr>
        <w:t>（3）投标人</w:t>
      </w:r>
      <w:r>
        <w:rPr>
          <w:rFonts w:hint="eastAsia"/>
          <w:szCs w:val="24"/>
        </w:rPr>
        <w:t>应当在能够保证设施设备可靠、互联网畅通的地点，使用</w:t>
      </w:r>
      <w:r>
        <w:rPr>
          <w:rFonts w:hint="eastAsia"/>
          <w:b/>
          <w:bCs/>
          <w:szCs w:val="24"/>
        </w:rPr>
        <w:t>加密其投标文件的CA数字证书</w:t>
      </w:r>
      <w:r>
        <w:rPr>
          <w:rFonts w:hint="eastAsia"/>
          <w:szCs w:val="24"/>
        </w:rPr>
        <w:t>登录电子采购平台，按时进入项目“开标大厅”，并实时关注工作</w:t>
      </w:r>
      <w:r>
        <w:rPr>
          <w:szCs w:val="24"/>
        </w:rPr>
        <w:t>人员</w:t>
      </w:r>
      <w:r>
        <w:rPr>
          <w:rFonts w:hint="eastAsia"/>
          <w:szCs w:val="24"/>
        </w:rPr>
        <w:t>直播</w:t>
      </w:r>
      <w:r>
        <w:rPr>
          <w:szCs w:val="24"/>
        </w:rPr>
        <w:t>情况和</w:t>
      </w:r>
      <w:r>
        <w:rPr>
          <w:rFonts w:hint="eastAsia"/>
          <w:szCs w:val="24"/>
        </w:rPr>
        <w:t>操作要求。</w:t>
      </w:r>
    </w:p>
    <w:p>
      <w:pPr>
        <w:pStyle w:val="54"/>
        <w:keepNext w:val="0"/>
        <w:keepLines w:val="0"/>
        <w:pageBreakBefore w:val="0"/>
        <w:widowControl w:val="0"/>
        <w:numPr>
          <w:ilvl w:val="0"/>
          <w:numId w:val="3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投标文件解密：提交投标文件截止时间到后，工作人员启动开始解密指令，投标人应按“</w:t>
      </w:r>
      <w:r>
        <w:rPr>
          <w:rFonts w:hint="eastAsia" w:cs="宋体"/>
          <w:b/>
          <w:bCs/>
          <w:szCs w:val="24"/>
          <w:lang w:val="zh-CN"/>
        </w:rPr>
        <w:t>投标人须知前附表</w:t>
      </w:r>
      <w:r>
        <w:rPr>
          <w:rFonts w:hint="eastAsia" w:cs="宋体"/>
          <w:szCs w:val="24"/>
          <w:lang w:val="zh-CN"/>
        </w:rPr>
        <w:t>”规定及时进行投标文件解密。</w:t>
      </w:r>
    </w:p>
    <w:p>
      <w:pPr>
        <w:pStyle w:val="54"/>
        <w:keepNext w:val="0"/>
        <w:keepLines w:val="0"/>
        <w:pageBreakBefore w:val="0"/>
        <w:widowControl w:val="0"/>
        <w:numPr>
          <w:ilvl w:val="0"/>
          <w:numId w:val="3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在“投标人须知前附表28.2”规定的时间内，投标人非因电子采购平台原因造成投标文件未解密的，</w:t>
      </w:r>
      <w:r>
        <w:rPr>
          <w:rFonts w:hint="eastAsia" w:cs="宋体"/>
          <w:b/>
          <w:bCs/>
          <w:szCs w:val="24"/>
          <w:lang w:val="zh-CN"/>
        </w:rPr>
        <w:t>视为撤回投标文件</w:t>
      </w:r>
      <w:r>
        <w:rPr>
          <w:rFonts w:hint="eastAsia" w:cs="宋体"/>
          <w:szCs w:val="24"/>
          <w:lang w:val="zh-CN"/>
        </w:rPr>
        <w:t>。停止解密后，在部分投标文件未解密的情况下，已解密的投标文件不足3家的，不得开标，项目应按规定作废标处理。</w:t>
      </w:r>
    </w:p>
    <w:p>
      <w:pPr>
        <w:pStyle w:val="54"/>
        <w:keepNext w:val="0"/>
        <w:keepLines w:val="0"/>
        <w:pageBreakBefore w:val="0"/>
        <w:widowControl w:val="0"/>
        <w:numPr>
          <w:ilvl w:val="0"/>
          <w:numId w:val="3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工作人员在电子采购平台上组织开标、唱标，形成开标一览表。投标人应及时关注开标过程，认真核实开标结果并在开标一览表上进行电子签署确认（用CA数字证书中的电子印章进行签署）。未在规定时间内（一般10分钟内）对开标一览表签署确认的，将视同其认可开标结果。</w:t>
      </w:r>
    </w:p>
    <w:p>
      <w:pPr>
        <w:pStyle w:val="54"/>
        <w:keepNext w:val="0"/>
        <w:keepLines w:val="0"/>
        <w:pageBreakBefore w:val="0"/>
        <w:widowControl w:val="0"/>
        <w:numPr>
          <w:ilvl w:val="0"/>
          <w:numId w:val="3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bookmarkStart w:id="243" w:name="_Toc102116013"/>
      <w:bookmarkStart w:id="244" w:name="_Toc102119844"/>
      <w:bookmarkStart w:id="245" w:name="_Toc102116143"/>
      <w:bookmarkStart w:id="246" w:name="_Toc102057709"/>
      <w:bookmarkStart w:id="247" w:name="_Toc102114911"/>
      <w:bookmarkStart w:id="248" w:name="_Toc102056209"/>
      <w:r>
        <w:rPr>
          <w:rFonts w:hint="eastAsia" w:cs="宋体"/>
          <w:szCs w:val="24"/>
          <w:lang w:val="zh-CN"/>
        </w:rPr>
        <w:t>投标人或其授权代表对开标过程和开标记录有疑义，以及认为采购人、采购代理机构相关工作人员有需要回避的情形的，应当在开标过程中提出；工作人员当场对疑义作出答复。疑义与答复应通过“开标大厅”互动窗口中在线进行。</w:t>
      </w:r>
    </w:p>
    <w:p>
      <w:pPr>
        <w:pStyle w:val="54"/>
        <w:keepNext w:val="0"/>
        <w:keepLines w:val="0"/>
        <w:pageBreakBefore w:val="0"/>
        <w:widowControl w:val="0"/>
        <w:numPr>
          <w:ilvl w:val="0"/>
          <w:numId w:val="30"/>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bookmarkStart w:id="249" w:name="_Toc107387536"/>
      <w:r>
        <w:rPr>
          <w:rFonts w:hint="eastAsia" w:cs="宋体"/>
          <w:szCs w:val="24"/>
          <w:lang w:val="zh-CN"/>
        </w:rPr>
        <w:t>特殊情况的处置</w:t>
      </w:r>
      <w:bookmarkEnd w:id="249"/>
    </w:p>
    <w:p>
      <w:pPr>
        <w:tabs>
          <w:tab w:val="left" w:pos="993"/>
        </w:tabs>
        <w:wordWrap w:val="0"/>
        <w:adjustRightInd w:val="0"/>
        <w:snapToGrid w:val="0"/>
        <w:spacing w:line="360" w:lineRule="auto"/>
        <w:ind w:firstLine="480" w:firstLineChars="200"/>
        <w:rPr>
          <w:szCs w:val="24"/>
        </w:rPr>
      </w:pPr>
      <w:r>
        <w:rPr>
          <w:rFonts w:hint="eastAsia"/>
          <w:szCs w:val="24"/>
        </w:rPr>
        <w:t>（</w:t>
      </w:r>
      <w:r>
        <w:rPr>
          <w:szCs w:val="24"/>
        </w:rPr>
        <w:t>1</w:t>
      </w:r>
      <w:r>
        <w:rPr>
          <w:rFonts w:hint="eastAsia"/>
          <w:szCs w:val="24"/>
        </w:rPr>
        <w:t>）</w:t>
      </w:r>
      <w:r>
        <w:rPr>
          <w:szCs w:val="24"/>
        </w:rPr>
        <w:t>因</w:t>
      </w:r>
      <w:r>
        <w:rPr>
          <w:rFonts w:hint="eastAsia"/>
          <w:szCs w:val="24"/>
        </w:rPr>
        <w:t>电子采购平台</w:t>
      </w:r>
      <w:r>
        <w:rPr>
          <w:szCs w:val="24"/>
        </w:rPr>
        <w:t>系统</w:t>
      </w:r>
      <w:r>
        <w:rPr>
          <w:rFonts w:hint="eastAsia"/>
          <w:szCs w:val="24"/>
        </w:rPr>
        <w:t>故障</w:t>
      </w:r>
      <w:r>
        <w:rPr>
          <w:szCs w:val="24"/>
        </w:rPr>
        <w:t>导致</w:t>
      </w:r>
      <w:r>
        <w:rPr>
          <w:rFonts w:hint="eastAsia"/>
          <w:szCs w:val="24"/>
        </w:rPr>
        <w:t>无法正常开标的，采购人将</w:t>
      </w:r>
      <w:r>
        <w:rPr>
          <w:szCs w:val="24"/>
        </w:rPr>
        <w:t>暂停开标</w:t>
      </w:r>
      <w:r>
        <w:rPr>
          <w:rFonts w:hint="eastAsia"/>
          <w:szCs w:val="24"/>
        </w:rPr>
        <w:t>，待系统恢复</w:t>
      </w:r>
      <w:r>
        <w:rPr>
          <w:szCs w:val="24"/>
        </w:rPr>
        <w:t>正常</w:t>
      </w:r>
      <w:r>
        <w:rPr>
          <w:rFonts w:hint="eastAsia"/>
          <w:szCs w:val="24"/>
        </w:rPr>
        <w:t>后继续开标，也可按照本章“29</w:t>
      </w:r>
      <w:r>
        <w:rPr>
          <w:szCs w:val="24"/>
        </w:rPr>
        <w:t>.应急开标程序</w:t>
      </w:r>
      <w:r>
        <w:rPr>
          <w:rFonts w:hint="eastAsia"/>
          <w:szCs w:val="24"/>
        </w:rPr>
        <w:t>”规定启动</w:t>
      </w:r>
      <w:r>
        <w:rPr>
          <w:szCs w:val="24"/>
        </w:rPr>
        <w:t>应急开标程序</w:t>
      </w:r>
      <w:r>
        <w:rPr>
          <w:rFonts w:hint="eastAsia"/>
          <w:szCs w:val="24"/>
        </w:rPr>
        <w:t>；</w:t>
      </w:r>
    </w:p>
    <w:p>
      <w:pPr>
        <w:tabs>
          <w:tab w:val="left" w:pos="993"/>
        </w:tabs>
        <w:wordWrap w:val="0"/>
        <w:adjustRightInd w:val="0"/>
        <w:snapToGrid w:val="0"/>
        <w:spacing w:line="360" w:lineRule="auto"/>
        <w:ind w:firstLine="480" w:firstLineChars="200"/>
      </w:pPr>
      <w:r>
        <w:rPr>
          <w:rFonts w:hint="eastAsia"/>
          <w:szCs w:val="24"/>
        </w:rPr>
        <w:t>（</w:t>
      </w:r>
      <w:r>
        <w:rPr>
          <w:szCs w:val="24"/>
        </w:rPr>
        <w:t>2</w:t>
      </w:r>
      <w:r>
        <w:rPr>
          <w:rFonts w:hint="eastAsia"/>
          <w:szCs w:val="24"/>
        </w:rPr>
        <w:t>）“电子采购平台</w:t>
      </w:r>
      <w:r>
        <w:rPr>
          <w:szCs w:val="24"/>
        </w:rPr>
        <w:t>系统</w:t>
      </w:r>
      <w:r>
        <w:rPr>
          <w:rFonts w:hint="eastAsia"/>
          <w:szCs w:val="24"/>
        </w:rPr>
        <w:t>故障”是指：</w:t>
      </w:r>
      <w:r>
        <w:rPr>
          <w:szCs w:val="24"/>
        </w:rPr>
        <w:t>系统服务器</w:t>
      </w:r>
      <w:r>
        <w:rPr>
          <w:rFonts w:hint="eastAsia"/>
          <w:szCs w:val="24"/>
        </w:rPr>
        <w:t>等</w:t>
      </w:r>
      <w:r>
        <w:rPr>
          <w:szCs w:val="24"/>
        </w:rPr>
        <w:t>硬件发生故障，无法访问或使用系统；系统的软件或数据库</w:t>
      </w:r>
      <w:r>
        <w:rPr>
          <w:rFonts w:hint="eastAsia"/>
          <w:szCs w:val="24"/>
        </w:rPr>
        <w:t>等</w:t>
      </w:r>
      <w:r>
        <w:rPr>
          <w:szCs w:val="24"/>
        </w:rPr>
        <w:t>出现错误，</w:t>
      </w:r>
      <w:r>
        <w:rPr>
          <w:rFonts w:hint="eastAsia"/>
          <w:szCs w:val="24"/>
        </w:rPr>
        <w:t>无法</w:t>
      </w:r>
      <w:r>
        <w:rPr>
          <w:szCs w:val="24"/>
        </w:rPr>
        <w:t>进行正常操作；系统发现有安全漏洞，有潜在的泄密危险；</w:t>
      </w:r>
      <w:r>
        <w:rPr>
          <w:rFonts w:hint="eastAsia"/>
          <w:szCs w:val="24"/>
        </w:rPr>
        <w:t>出现断电、断网事故；</w:t>
      </w:r>
      <w:r>
        <w:rPr>
          <w:szCs w:val="24"/>
        </w:rPr>
        <w:t>其他无法保证</w:t>
      </w:r>
      <w:r>
        <w:rPr>
          <w:rFonts w:hint="eastAsia"/>
          <w:szCs w:val="24"/>
        </w:rPr>
        <w:t>开标</w:t>
      </w:r>
      <w:r>
        <w:rPr>
          <w:szCs w:val="24"/>
        </w:rPr>
        <w:t>过程</w:t>
      </w:r>
      <w:r>
        <w:rPr>
          <w:rFonts w:hint="eastAsia"/>
          <w:szCs w:val="24"/>
        </w:rPr>
        <w:t>正常进行</w:t>
      </w:r>
      <w:r>
        <w:rPr>
          <w:szCs w:val="24"/>
        </w:rPr>
        <w:t>的情形。</w:t>
      </w:r>
    </w:p>
    <w:p>
      <w:pPr>
        <w:pStyle w:val="54"/>
        <w:numPr>
          <w:ilvl w:val="0"/>
          <w:numId w:val="8"/>
        </w:numPr>
        <w:spacing w:line="360" w:lineRule="auto"/>
        <w:ind w:left="284" w:hanging="284" w:firstLineChars="0"/>
        <w:rPr>
          <w:b/>
          <w:szCs w:val="24"/>
          <w:lang w:val="zh-CN"/>
        </w:rPr>
      </w:pPr>
      <w:r>
        <w:rPr>
          <w:rFonts w:hint="eastAsia"/>
          <w:b/>
          <w:szCs w:val="24"/>
          <w:lang w:val="zh-CN"/>
        </w:rPr>
        <w:t>应急开标程序</w:t>
      </w:r>
      <w:bookmarkEnd w:id="243"/>
      <w:bookmarkEnd w:id="244"/>
      <w:bookmarkEnd w:id="245"/>
      <w:bookmarkEnd w:id="246"/>
      <w:bookmarkEnd w:id="247"/>
      <w:bookmarkEnd w:id="248"/>
    </w:p>
    <w:p>
      <w:pPr>
        <w:pStyle w:val="54"/>
        <w:keepNext w:val="0"/>
        <w:keepLines w:val="0"/>
        <w:pageBreakBefore w:val="0"/>
        <w:widowControl w:val="0"/>
        <w:numPr>
          <w:ilvl w:val="0"/>
          <w:numId w:val="3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开标过程中若出现“电子采购平台系统故障”时，可以在采购人代表的监督下，启动应急开标程序。</w:t>
      </w:r>
    </w:p>
    <w:p>
      <w:pPr>
        <w:pStyle w:val="54"/>
        <w:keepNext w:val="0"/>
        <w:keepLines w:val="0"/>
        <w:pageBreakBefore w:val="0"/>
        <w:widowControl w:val="0"/>
        <w:numPr>
          <w:ilvl w:val="0"/>
          <w:numId w:val="3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应急开标程序如下：</w:t>
      </w:r>
    </w:p>
    <w:p>
      <w:pPr>
        <w:tabs>
          <w:tab w:val="left" w:pos="709"/>
        </w:tabs>
        <w:wordWrap w:val="0"/>
        <w:adjustRightInd w:val="0"/>
        <w:snapToGrid w:val="0"/>
        <w:spacing w:line="360" w:lineRule="auto"/>
        <w:ind w:firstLine="480" w:firstLineChars="200"/>
      </w:pPr>
      <w:r>
        <w:rPr>
          <w:rFonts w:hint="eastAsia"/>
        </w:rPr>
        <w:t>（1）工作人员电话通知所有投标人，启动应急开标程序；</w:t>
      </w:r>
      <w:r>
        <w:t xml:space="preserve"> </w:t>
      </w:r>
    </w:p>
    <w:p>
      <w:pPr>
        <w:tabs>
          <w:tab w:val="left" w:pos="709"/>
        </w:tabs>
        <w:wordWrap w:val="0"/>
        <w:adjustRightInd w:val="0"/>
        <w:snapToGrid w:val="0"/>
        <w:spacing w:line="360" w:lineRule="auto"/>
        <w:ind w:firstLine="480" w:firstLineChars="200"/>
      </w:pPr>
      <w:r>
        <w:rPr>
          <w:rFonts w:hint="eastAsia"/>
        </w:rPr>
        <w:t>（2）投标人接到通知后，应在40分钟内通过</w:t>
      </w:r>
      <w:r>
        <w:rPr>
          <w:rFonts w:hint="eastAsia"/>
          <w:highlight w:val="none"/>
        </w:rPr>
        <w:t>电子邮件提交投标文件</w:t>
      </w:r>
      <w:r>
        <w:rPr>
          <w:rFonts w:hint="eastAsia"/>
        </w:rPr>
        <w:t>（电子采购平台上下载的盖章且未加密的文件），投标文件应与电子采购平台上提交的文件内容一致（在非应急开标期间</w:t>
      </w:r>
      <w:r>
        <w:rPr>
          <w:rFonts w:hint="eastAsia"/>
          <w:lang w:eastAsia="zh-CN"/>
        </w:rPr>
        <w:t>采购代理机构</w:t>
      </w:r>
      <w:r>
        <w:rPr>
          <w:rFonts w:hint="eastAsia"/>
        </w:rPr>
        <w:t>将不接受、不处理任何通过电子邮件提交的投标文件）；未在规定时间提交或提交的文件未按要求进行编制、签署的，按照</w:t>
      </w:r>
      <w:r>
        <w:rPr>
          <w:rFonts w:hint="eastAsia"/>
          <w:b/>
        </w:rPr>
        <w:t>无效投标处理；</w:t>
      </w:r>
    </w:p>
    <w:p>
      <w:pPr>
        <w:tabs>
          <w:tab w:val="left" w:pos="709"/>
        </w:tabs>
        <w:wordWrap w:val="0"/>
        <w:adjustRightInd w:val="0"/>
        <w:snapToGrid w:val="0"/>
        <w:spacing w:line="360" w:lineRule="auto"/>
        <w:ind w:firstLine="480" w:firstLineChars="200"/>
      </w:pPr>
      <w:r>
        <w:rPr>
          <w:rFonts w:hint="eastAsia"/>
        </w:rPr>
        <w:t>（</w:t>
      </w:r>
      <w:r>
        <w:t>3</w:t>
      </w:r>
      <w:r>
        <w:rPr>
          <w:rFonts w:hint="eastAsia"/>
        </w:rPr>
        <w:t>）提交投标</w:t>
      </w:r>
      <w:r>
        <w:t>文件</w:t>
      </w:r>
      <w:r>
        <w:rPr>
          <w:rFonts w:hint="eastAsia"/>
        </w:rPr>
        <w:t>时间截止后，工作人员及时下载投标文件并将各投标人投标报价录入系统；录入完成后形成开标结果并通过邮件回复各投标人；各投标人应通过邮件及时确认开标结果。未在规定时间内（一般</w:t>
      </w:r>
      <w:r>
        <w:t>10分钟内）确认的，视同其认可开标结果；</w:t>
      </w:r>
    </w:p>
    <w:p>
      <w:pPr>
        <w:tabs>
          <w:tab w:val="left" w:pos="709"/>
        </w:tabs>
        <w:wordWrap w:val="0"/>
        <w:adjustRightInd w:val="0"/>
        <w:snapToGrid w:val="0"/>
        <w:spacing w:line="360" w:lineRule="auto"/>
        <w:ind w:firstLine="480" w:firstLineChars="200"/>
      </w:pPr>
      <w:r>
        <w:rPr>
          <w:rFonts w:hint="eastAsia"/>
        </w:rPr>
        <w:t>（</w:t>
      </w:r>
      <w:r>
        <w:t>4</w:t>
      </w:r>
      <w:r>
        <w:rPr>
          <w:rFonts w:hint="eastAsia"/>
        </w:rPr>
        <w:t>）开标结束。</w:t>
      </w:r>
    </w:p>
    <w:p>
      <w:pPr>
        <w:pStyle w:val="54"/>
        <w:keepNext w:val="0"/>
        <w:keepLines w:val="0"/>
        <w:pageBreakBefore w:val="0"/>
        <w:widowControl w:val="0"/>
        <w:numPr>
          <w:ilvl w:val="0"/>
          <w:numId w:val="3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截止投标文件提交时间，投标人不足3家的，不得开标，应按规定作废标处理。</w:t>
      </w:r>
    </w:p>
    <w:p>
      <w:pPr>
        <w:pStyle w:val="54"/>
        <w:keepNext w:val="0"/>
        <w:keepLines w:val="0"/>
        <w:pageBreakBefore w:val="0"/>
        <w:widowControl w:val="0"/>
        <w:numPr>
          <w:ilvl w:val="0"/>
          <w:numId w:val="31"/>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 xml:space="preserve">开标、评标均以电子邮件提交的投标文件为准。 </w:t>
      </w:r>
    </w:p>
    <w:p>
      <w:pPr>
        <w:pStyle w:val="54"/>
        <w:numPr>
          <w:ilvl w:val="0"/>
          <w:numId w:val="8"/>
        </w:numPr>
        <w:spacing w:line="360" w:lineRule="auto"/>
        <w:ind w:left="284" w:hanging="284" w:firstLineChars="0"/>
        <w:rPr>
          <w:b/>
          <w:szCs w:val="24"/>
          <w:lang w:val="zh-CN"/>
        </w:rPr>
      </w:pPr>
      <w:bookmarkStart w:id="250" w:name="_Toc102119845"/>
      <w:bookmarkStart w:id="251" w:name="_Toc102057710"/>
      <w:bookmarkStart w:id="252" w:name="_Toc102116144"/>
      <w:bookmarkStart w:id="253" w:name="_Toc102114912"/>
      <w:bookmarkStart w:id="254" w:name="_Toc102116014"/>
      <w:bookmarkStart w:id="255" w:name="_Toc102056210"/>
      <w:r>
        <w:rPr>
          <w:rFonts w:hint="eastAsia"/>
          <w:b/>
          <w:szCs w:val="24"/>
          <w:lang w:val="zh-CN"/>
        </w:rPr>
        <w:t>资格审查</w:t>
      </w:r>
      <w:bookmarkEnd w:id="250"/>
      <w:bookmarkEnd w:id="251"/>
      <w:bookmarkEnd w:id="252"/>
      <w:bookmarkEnd w:id="253"/>
      <w:bookmarkEnd w:id="254"/>
      <w:bookmarkEnd w:id="255"/>
    </w:p>
    <w:p>
      <w:pPr>
        <w:pStyle w:val="54"/>
        <w:keepNext w:val="0"/>
        <w:keepLines w:val="0"/>
        <w:pageBreakBefore w:val="0"/>
        <w:widowControl w:val="0"/>
        <w:numPr>
          <w:ilvl w:val="0"/>
          <w:numId w:val="3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项目开标结束后，采购人与采购代理机构依据法律、法规及招标文件“第四章 资格审查”的规定，对投标人的资格进行审查，以确定投标人资格是否合格。</w:t>
      </w:r>
    </w:p>
    <w:p>
      <w:pPr>
        <w:pStyle w:val="54"/>
        <w:keepNext w:val="0"/>
        <w:keepLines w:val="0"/>
        <w:pageBreakBefore w:val="0"/>
        <w:widowControl w:val="0"/>
        <w:numPr>
          <w:ilvl w:val="0"/>
          <w:numId w:val="32"/>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cs="宋体"/>
          <w:szCs w:val="24"/>
          <w:lang w:val="zh-CN"/>
        </w:rPr>
      </w:pPr>
      <w:r>
        <w:rPr>
          <w:rFonts w:hint="eastAsia" w:cs="宋体"/>
          <w:szCs w:val="24"/>
          <w:lang w:val="zh-CN"/>
        </w:rPr>
        <w:t>资格审查未通过的投标人可在中标公告质疑有效期内按公告中的联系方式获知本单位的资格审查情况。</w:t>
      </w:r>
    </w:p>
    <w:p>
      <w:pPr>
        <w:pStyle w:val="54"/>
        <w:numPr>
          <w:ilvl w:val="0"/>
          <w:numId w:val="8"/>
        </w:numPr>
        <w:spacing w:line="360" w:lineRule="auto"/>
        <w:ind w:left="284" w:hanging="284" w:firstLineChars="0"/>
        <w:rPr>
          <w:b/>
          <w:szCs w:val="24"/>
          <w:lang w:val="zh-CN"/>
        </w:rPr>
      </w:pPr>
      <w:bookmarkStart w:id="256" w:name="_Toc102056213"/>
      <w:bookmarkStart w:id="257" w:name="_Toc102116017"/>
      <w:bookmarkStart w:id="258" w:name="_Toc102116147"/>
      <w:bookmarkStart w:id="259" w:name="_Toc102114915"/>
      <w:bookmarkStart w:id="260" w:name="_Toc102057713"/>
      <w:bookmarkStart w:id="261" w:name="_Toc102119848"/>
      <w:r>
        <w:rPr>
          <w:rFonts w:hint="eastAsia"/>
          <w:b/>
          <w:szCs w:val="24"/>
          <w:lang w:val="zh-CN"/>
        </w:rPr>
        <w:t>评标委员会</w:t>
      </w:r>
      <w:bookmarkEnd w:id="256"/>
      <w:bookmarkEnd w:id="257"/>
      <w:bookmarkEnd w:id="258"/>
      <w:bookmarkEnd w:id="259"/>
      <w:bookmarkEnd w:id="260"/>
      <w:bookmarkEnd w:id="261"/>
    </w:p>
    <w:p>
      <w:pPr>
        <w:pStyle w:val="54"/>
        <w:keepNext w:val="0"/>
        <w:keepLines w:val="0"/>
        <w:pageBreakBefore w:val="0"/>
        <w:widowControl w:val="0"/>
        <w:numPr>
          <w:ilvl w:val="0"/>
          <w:numId w:val="33"/>
        </w:numPr>
        <w:kinsoku/>
        <w:wordWrap w:val="0"/>
        <w:overflowPunct/>
        <w:topLinePunct w:val="0"/>
        <w:autoSpaceDE/>
        <w:autoSpaceDN/>
        <w:bidi w:val="0"/>
        <w:adjustRightInd w:val="0"/>
        <w:snapToGrid w:val="0"/>
        <w:spacing w:line="360" w:lineRule="auto"/>
        <w:ind w:left="420" w:leftChars="0" w:hanging="420" w:firstLineChars="0"/>
        <w:textAlignment w:val="auto"/>
        <w:rPr>
          <w:szCs w:val="24"/>
        </w:rPr>
      </w:pPr>
      <w:r>
        <w:rPr>
          <w:rFonts w:hint="eastAsia" w:cs="宋体"/>
          <w:szCs w:val="24"/>
          <w:lang w:val="zh-CN"/>
        </w:rPr>
        <w:t>评标委员会由采购人代表和评审专家组成（评审专家对本单位的招标项目只能作为采购人代表参与评标，本章31.3条规定的情形除外），成员人数应当为5人及以上单数，其中评审专家不得少于成员总数的2/3；采购预算金额在1000万元及以上、技术复杂或社会影响较大的项目，评标委员会成员人数应当为7人及以上单数。</w:t>
      </w:r>
    </w:p>
    <w:p>
      <w:pPr>
        <w:pStyle w:val="54"/>
        <w:keepNext w:val="0"/>
        <w:keepLines w:val="0"/>
        <w:pageBreakBefore w:val="0"/>
        <w:widowControl w:val="0"/>
        <w:numPr>
          <w:ilvl w:val="0"/>
          <w:numId w:val="33"/>
        </w:numPr>
        <w:kinsoku/>
        <w:wordWrap w:val="0"/>
        <w:overflowPunct/>
        <w:topLinePunct w:val="0"/>
        <w:autoSpaceDE/>
        <w:autoSpaceDN/>
        <w:bidi w:val="0"/>
        <w:adjustRightInd w:val="0"/>
        <w:snapToGrid w:val="0"/>
        <w:spacing w:line="360" w:lineRule="auto"/>
        <w:ind w:left="420" w:leftChars="0" w:hanging="420" w:firstLineChars="0"/>
        <w:textAlignment w:val="auto"/>
        <w:rPr>
          <w:szCs w:val="24"/>
        </w:rPr>
      </w:pPr>
      <w:r>
        <w:rPr>
          <w:rFonts w:hint="eastAsia"/>
          <w:szCs w:val="24"/>
        </w:rPr>
        <w:t>评标委员会中的</w:t>
      </w:r>
      <w:r>
        <w:rPr>
          <w:szCs w:val="24"/>
        </w:rPr>
        <w:t>评审专家</w:t>
      </w:r>
      <w:r>
        <w:rPr>
          <w:rFonts w:hint="eastAsia"/>
          <w:szCs w:val="24"/>
        </w:rPr>
        <w:t>依法从政府采购评审专家库中随机抽取。</w:t>
      </w:r>
    </w:p>
    <w:p>
      <w:pPr>
        <w:pStyle w:val="54"/>
        <w:keepNext w:val="0"/>
        <w:keepLines w:val="0"/>
        <w:pageBreakBefore w:val="0"/>
        <w:widowControl w:val="0"/>
        <w:numPr>
          <w:ilvl w:val="0"/>
          <w:numId w:val="33"/>
        </w:numPr>
        <w:kinsoku/>
        <w:wordWrap w:val="0"/>
        <w:overflowPunct/>
        <w:topLinePunct w:val="0"/>
        <w:autoSpaceDE/>
        <w:autoSpaceDN/>
        <w:bidi w:val="0"/>
        <w:adjustRightInd w:val="0"/>
        <w:snapToGrid w:val="0"/>
        <w:spacing w:line="360" w:lineRule="auto"/>
        <w:ind w:left="420" w:leftChars="0" w:hanging="420" w:firstLineChars="0"/>
        <w:textAlignment w:val="auto"/>
        <w:rPr>
          <w:szCs w:val="24"/>
        </w:rPr>
      </w:pPr>
      <w:r>
        <w:rPr>
          <w:rFonts w:hint="eastAsia"/>
          <w:szCs w:val="24"/>
        </w:rPr>
        <w:t>对技术复杂、专业性强的采购项目，通过随机方式难以确定合适评审专家的，经主管预算单位同意，采购人可以自行选定相应专业领域的评审专家。</w:t>
      </w:r>
    </w:p>
    <w:p>
      <w:pPr>
        <w:pStyle w:val="54"/>
        <w:keepNext w:val="0"/>
        <w:keepLines w:val="0"/>
        <w:pageBreakBefore w:val="0"/>
        <w:widowControl w:val="0"/>
        <w:numPr>
          <w:ilvl w:val="0"/>
          <w:numId w:val="33"/>
        </w:numPr>
        <w:kinsoku/>
        <w:wordWrap w:val="0"/>
        <w:overflowPunct/>
        <w:topLinePunct w:val="0"/>
        <w:autoSpaceDE/>
        <w:autoSpaceDN/>
        <w:bidi w:val="0"/>
        <w:adjustRightInd w:val="0"/>
        <w:snapToGrid w:val="0"/>
        <w:spacing w:line="360" w:lineRule="auto"/>
        <w:ind w:left="420" w:leftChars="0" w:hanging="420" w:firstLineChars="0"/>
        <w:textAlignment w:val="auto"/>
        <w:rPr>
          <w:szCs w:val="24"/>
        </w:rPr>
      </w:pPr>
      <w:r>
        <w:rPr>
          <w:rFonts w:hint="eastAsia"/>
          <w:szCs w:val="24"/>
        </w:rPr>
        <w:t>评标委员会成员有下列情形之一的，应当回避：</w:t>
      </w:r>
    </w:p>
    <w:p>
      <w:pPr>
        <w:wordWrap w:val="0"/>
        <w:adjustRightInd w:val="0"/>
        <w:snapToGrid w:val="0"/>
        <w:spacing w:line="360" w:lineRule="auto"/>
        <w:ind w:firstLine="480" w:firstLineChars="200"/>
        <w:jc w:val="left"/>
        <w:rPr>
          <w:szCs w:val="24"/>
        </w:rPr>
      </w:pPr>
      <w:r>
        <w:rPr>
          <w:rFonts w:hint="eastAsia"/>
          <w:szCs w:val="24"/>
        </w:rPr>
        <w:t>（1）参加采购活动前3年内与投标人存在劳动关系；</w:t>
      </w:r>
    </w:p>
    <w:p>
      <w:pPr>
        <w:wordWrap w:val="0"/>
        <w:adjustRightInd w:val="0"/>
        <w:snapToGrid w:val="0"/>
        <w:spacing w:line="360" w:lineRule="auto"/>
        <w:ind w:firstLine="480" w:firstLineChars="200"/>
        <w:jc w:val="left"/>
        <w:rPr>
          <w:szCs w:val="24"/>
        </w:rPr>
      </w:pPr>
      <w:r>
        <w:rPr>
          <w:rFonts w:hint="eastAsia"/>
          <w:szCs w:val="24"/>
        </w:rPr>
        <w:t>（2）参加采购活动前3年内担任投标人的董事、监事；</w:t>
      </w:r>
    </w:p>
    <w:p>
      <w:pPr>
        <w:wordWrap w:val="0"/>
        <w:adjustRightInd w:val="0"/>
        <w:snapToGrid w:val="0"/>
        <w:spacing w:line="360" w:lineRule="auto"/>
        <w:ind w:firstLine="480" w:firstLineChars="200"/>
        <w:jc w:val="left"/>
        <w:rPr>
          <w:szCs w:val="24"/>
        </w:rPr>
      </w:pPr>
      <w:r>
        <w:rPr>
          <w:rFonts w:hint="eastAsia"/>
          <w:szCs w:val="24"/>
        </w:rPr>
        <w:t>（3）参加采购活动前3年内是投标人的控股股东或者实际控制人；</w:t>
      </w:r>
    </w:p>
    <w:p>
      <w:pPr>
        <w:wordWrap w:val="0"/>
        <w:adjustRightInd w:val="0"/>
        <w:snapToGrid w:val="0"/>
        <w:spacing w:line="360" w:lineRule="auto"/>
        <w:ind w:firstLine="480" w:firstLineChars="200"/>
        <w:jc w:val="left"/>
        <w:rPr>
          <w:szCs w:val="24"/>
        </w:rPr>
      </w:pPr>
      <w:r>
        <w:rPr>
          <w:rFonts w:hint="eastAsia"/>
          <w:szCs w:val="24"/>
        </w:rPr>
        <w:t>（4）与投标人的法定代表人或者负责人有夫妻、直系血亲、三代以内旁系血亲或者近姻亲关系；</w:t>
      </w:r>
    </w:p>
    <w:p>
      <w:pPr>
        <w:wordWrap w:val="0"/>
        <w:adjustRightInd w:val="0"/>
        <w:snapToGrid w:val="0"/>
        <w:spacing w:line="360" w:lineRule="auto"/>
        <w:ind w:firstLine="480" w:firstLineChars="200"/>
        <w:jc w:val="left"/>
        <w:rPr>
          <w:szCs w:val="24"/>
          <w:lang w:val="zh-CN"/>
        </w:rPr>
      </w:pPr>
      <w:r>
        <w:rPr>
          <w:rFonts w:hint="eastAsia"/>
          <w:szCs w:val="24"/>
        </w:rPr>
        <w:t>（5）与投标人有其他可能影响政府采购活动公平、公正进行的关系。</w:t>
      </w:r>
    </w:p>
    <w:p>
      <w:pPr>
        <w:pStyle w:val="54"/>
        <w:keepNext w:val="0"/>
        <w:keepLines w:val="0"/>
        <w:pageBreakBefore w:val="0"/>
        <w:widowControl w:val="0"/>
        <w:numPr>
          <w:ilvl w:val="0"/>
          <w:numId w:val="33"/>
        </w:numPr>
        <w:kinsoku/>
        <w:wordWrap w:val="0"/>
        <w:overflowPunct/>
        <w:topLinePunct w:val="0"/>
        <w:autoSpaceDE/>
        <w:autoSpaceDN/>
        <w:bidi w:val="0"/>
        <w:adjustRightInd w:val="0"/>
        <w:snapToGrid w:val="0"/>
        <w:spacing w:line="360" w:lineRule="auto"/>
        <w:ind w:left="420" w:leftChars="0" w:hanging="420" w:firstLineChars="0"/>
        <w:textAlignment w:val="auto"/>
        <w:rPr>
          <w:rFonts w:hint="eastAsia"/>
          <w:szCs w:val="24"/>
          <w:lang w:val="zh-CN"/>
        </w:rPr>
      </w:pPr>
      <w:r>
        <w:rPr>
          <w:rFonts w:hint="eastAsia"/>
          <w:szCs w:val="24"/>
          <w:lang w:val="zh-CN"/>
        </w:rPr>
        <w:t>评标委员会负责具体评标事务，并独立履行下列职责：</w:t>
      </w:r>
    </w:p>
    <w:p>
      <w:pPr>
        <w:wordWrap w:val="0"/>
        <w:adjustRightInd w:val="0"/>
        <w:snapToGrid w:val="0"/>
        <w:spacing w:line="360" w:lineRule="auto"/>
        <w:ind w:firstLine="480" w:firstLineChars="200"/>
        <w:rPr>
          <w:lang w:val="zh-CN"/>
        </w:rPr>
      </w:pPr>
      <w:r>
        <w:rPr>
          <w:rFonts w:hint="eastAsia"/>
          <w:lang w:val="zh-CN"/>
        </w:rPr>
        <w:t>（1）</w:t>
      </w:r>
      <w:r>
        <w:rPr>
          <w:lang w:val="zh-CN"/>
        </w:rPr>
        <w:t>审查、评价投标文件是否符合招标文件的商务、技术等实质性要求；</w:t>
      </w:r>
    </w:p>
    <w:p>
      <w:pPr>
        <w:wordWrap w:val="0"/>
        <w:adjustRightInd w:val="0"/>
        <w:snapToGrid w:val="0"/>
        <w:spacing w:line="360" w:lineRule="auto"/>
        <w:ind w:firstLine="480" w:firstLineChars="200"/>
        <w:rPr>
          <w:lang w:val="zh-CN"/>
        </w:rPr>
      </w:pPr>
      <w:r>
        <w:rPr>
          <w:rFonts w:hint="eastAsia"/>
          <w:lang w:val="zh-CN"/>
        </w:rPr>
        <w:t>（2）</w:t>
      </w:r>
      <w:r>
        <w:rPr>
          <w:lang w:val="zh-CN"/>
        </w:rPr>
        <w:t>要求投标人对投标文件有关事项作出澄清或者说明；</w:t>
      </w:r>
    </w:p>
    <w:p>
      <w:pPr>
        <w:wordWrap w:val="0"/>
        <w:adjustRightInd w:val="0"/>
        <w:snapToGrid w:val="0"/>
        <w:spacing w:line="360" w:lineRule="auto"/>
        <w:ind w:firstLine="480" w:firstLineChars="200"/>
        <w:rPr>
          <w:lang w:val="zh-CN"/>
        </w:rPr>
      </w:pPr>
      <w:r>
        <w:rPr>
          <w:rFonts w:hint="eastAsia"/>
          <w:lang w:val="zh-CN"/>
        </w:rPr>
        <w:t>（3）</w:t>
      </w:r>
      <w:r>
        <w:rPr>
          <w:lang w:val="zh-CN"/>
        </w:rPr>
        <w:t>对投标文件进行</w:t>
      </w:r>
      <w:r>
        <w:rPr>
          <w:rFonts w:hint="eastAsia"/>
          <w:lang w:val="zh-CN"/>
        </w:rPr>
        <w:t>综合</w:t>
      </w:r>
      <w:r>
        <w:rPr>
          <w:lang w:val="zh-CN"/>
        </w:rPr>
        <w:t>比较和评价；</w:t>
      </w:r>
    </w:p>
    <w:p>
      <w:pPr>
        <w:wordWrap w:val="0"/>
        <w:adjustRightInd w:val="0"/>
        <w:snapToGrid w:val="0"/>
        <w:spacing w:line="360" w:lineRule="auto"/>
        <w:ind w:firstLine="480" w:firstLineChars="200"/>
        <w:rPr>
          <w:lang w:val="zh-CN"/>
        </w:rPr>
      </w:pPr>
      <w:r>
        <w:rPr>
          <w:rFonts w:hint="eastAsia"/>
          <w:lang w:val="zh-CN"/>
        </w:rPr>
        <w:t>（4）确定中标候选人名单或中标人；</w:t>
      </w:r>
    </w:p>
    <w:p>
      <w:pPr>
        <w:wordWrap w:val="0"/>
        <w:adjustRightInd w:val="0"/>
        <w:snapToGrid w:val="0"/>
        <w:spacing w:line="360" w:lineRule="auto"/>
        <w:ind w:firstLine="480" w:firstLineChars="200"/>
        <w:rPr>
          <w:lang w:val="zh-CN"/>
        </w:rPr>
      </w:pPr>
      <w:r>
        <w:rPr>
          <w:rFonts w:hint="eastAsia"/>
          <w:lang w:val="zh-CN"/>
        </w:rPr>
        <w:t>（5）</w:t>
      </w:r>
      <w:r>
        <w:rPr>
          <w:lang w:val="zh-CN"/>
        </w:rPr>
        <w:t>向采购人、</w:t>
      </w:r>
      <w:r>
        <w:rPr>
          <w:rFonts w:hint="eastAsia"/>
          <w:lang w:val="zh-CN"/>
        </w:rPr>
        <w:t>采购代理机构</w:t>
      </w:r>
      <w:r>
        <w:rPr>
          <w:lang w:val="zh-CN"/>
        </w:rPr>
        <w:t>或者有关部门报告评标中发现的违法行为。</w:t>
      </w:r>
    </w:p>
    <w:p>
      <w:pPr>
        <w:pStyle w:val="54"/>
        <w:numPr>
          <w:ilvl w:val="0"/>
          <w:numId w:val="8"/>
        </w:numPr>
        <w:spacing w:line="360" w:lineRule="auto"/>
        <w:ind w:left="284" w:hanging="284" w:firstLineChars="0"/>
        <w:rPr>
          <w:b/>
          <w:szCs w:val="24"/>
          <w:lang w:val="zh-CN"/>
        </w:rPr>
      </w:pPr>
      <w:bookmarkStart w:id="262" w:name="_Toc102116149"/>
      <w:bookmarkStart w:id="263" w:name="_Toc102114917"/>
      <w:bookmarkStart w:id="264" w:name="_Toc102057715"/>
      <w:bookmarkStart w:id="265" w:name="_Toc102119850"/>
      <w:bookmarkStart w:id="266" w:name="_Toc102056215"/>
      <w:bookmarkStart w:id="267" w:name="_Toc102116019"/>
      <w:r>
        <w:rPr>
          <w:rFonts w:hint="eastAsia"/>
          <w:b/>
          <w:szCs w:val="24"/>
          <w:lang w:val="zh-CN"/>
        </w:rPr>
        <w:t>评标</w:t>
      </w:r>
      <w:bookmarkEnd w:id="262"/>
      <w:bookmarkEnd w:id="263"/>
      <w:bookmarkEnd w:id="264"/>
      <w:bookmarkEnd w:id="265"/>
      <w:bookmarkEnd w:id="266"/>
      <w:bookmarkEnd w:id="267"/>
      <w:r>
        <w:rPr>
          <w:rFonts w:hint="eastAsia"/>
          <w:b/>
          <w:szCs w:val="24"/>
          <w:lang w:val="zh-CN"/>
        </w:rPr>
        <w:t>方法、程序及标准</w:t>
      </w:r>
    </w:p>
    <w:p>
      <w:pPr>
        <w:wordWrap w:val="0"/>
        <w:adjustRightInd w:val="0"/>
        <w:snapToGrid w:val="0"/>
        <w:spacing w:line="360" w:lineRule="auto"/>
        <w:ind w:left="420"/>
        <w:rPr>
          <w:rFonts w:cs="Helvetica"/>
          <w:szCs w:val="24"/>
          <w:lang w:val="zh-CN"/>
        </w:rPr>
      </w:pPr>
      <w:r>
        <w:rPr>
          <w:rFonts w:hint="eastAsia" w:cs="Helvetica"/>
          <w:szCs w:val="24"/>
          <w:lang w:val="zh-CN"/>
        </w:rPr>
        <w:t>详见“第五章 评标办法”。</w:t>
      </w:r>
    </w:p>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268" w:name="_Toc117244469"/>
      <w:bookmarkStart w:id="269" w:name="_Toc102116024"/>
      <w:bookmarkStart w:id="270" w:name="_Toc102057720"/>
      <w:bookmarkStart w:id="271" w:name="_Toc102114922"/>
      <w:bookmarkStart w:id="272" w:name="_Toc117244354"/>
      <w:bookmarkStart w:id="273" w:name="_Toc511889422"/>
      <w:bookmarkStart w:id="274" w:name="_Toc102116154"/>
      <w:bookmarkStart w:id="275" w:name="_Toc511894500"/>
      <w:bookmarkStart w:id="276" w:name="_Toc102119855"/>
      <w:bookmarkStart w:id="277" w:name="_Toc102056220"/>
      <w:bookmarkStart w:id="278" w:name="_Toc8654"/>
      <w:r>
        <w:rPr>
          <w:rFonts w:ascii="宋体" w:hAnsi="宋体" w:eastAsia="宋体" w:cs="Times New Roman"/>
          <w:bCs w:val="0"/>
          <w:sz w:val="28"/>
          <w:szCs w:val="28"/>
          <w:lang w:val="zh-CN"/>
        </w:rPr>
        <w:t>中标</w:t>
      </w:r>
      <w:r>
        <w:rPr>
          <w:rFonts w:hint="eastAsia" w:ascii="宋体" w:hAnsi="宋体" w:eastAsia="宋体" w:cs="Times New Roman"/>
          <w:bCs w:val="0"/>
          <w:sz w:val="28"/>
          <w:szCs w:val="28"/>
          <w:lang w:val="zh-CN"/>
        </w:rPr>
        <w:t>与</w:t>
      </w:r>
      <w:r>
        <w:rPr>
          <w:rFonts w:ascii="宋体" w:hAnsi="宋体" w:eastAsia="宋体" w:cs="Times New Roman"/>
          <w:bCs w:val="0"/>
          <w:sz w:val="28"/>
          <w:szCs w:val="28"/>
          <w:lang w:val="zh-CN"/>
        </w:rPr>
        <w:t>合同</w:t>
      </w:r>
      <w:bookmarkEnd w:id="268"/>
      <w:bookmarkEnd w:id="269"/>
      <w:bookmarkEnd w:id="270"/>
      <w:bookmarkEnd w:id="271"/>
      <w:bookmarkEnd w:id="272"/>
      <w:bookmarkEnd w:id="273"/>
      <w:bookmarkEnd w:id="274"/>
      <w:bookmarkEnd w:id="275"/>
      <w:bookmarkEnd w:id="276"/>
      <w:bookmarkEnd w:id="277"/>
      <w:bookmarkEnd w:id="278"/>
    </w:p>
    <w:p>
      <w:pPr>
        <w:pStyle w:val="54"/>
        <w:numPr>
          <w:ilvl w:val="0"/>
          <w:numId w:val="8"/>
        </w:numPr>
        <w:spacing w:line="360" w:lineRule="auto"/>
        <w:ind w:left="284" w:hanging="284" w:firstLineChars="0"/>
        <w:rPr>
          <w:b/>
          <w:szCs w:val="24"/>
          <w:lang w:val="zh-CN"/>
        </w:rPr>
      </w:pPr>
      <w:bookmarkStart w:id="279" w:name="_Toc102114923"/>
      <w:bookmarkStart w:id="280" w:name="_Toc102116025"/>
      <w:bookmarkStart w:id="281" w:name="_Toc102116155"/>
      <w:bookmarkStart w:id="282" w:name="_Toc102056221"/>
      <w:bookmarkStart w:id="283" w:name="_Toc102119856"/>
      <w:bookmarkStart w:id="284" w:name="_Toc102057721"/>
      <w:r>
        <w:rPr>
          <w:rFonts w:hint="eastAsia"/>
          <w:b/>
          <w:szCs w:val="24"/>
          <w:lang w:val="zh-CN"/>
        </w:rPr>
        <w:t>确定中标人</w:t>
      </w:r>
      <w:bookmarkEnd w:id="279"/>
      <w:bookmarkEnd w:id="280"/>
      <w:bookmarkEnd w:id="281"/>
      <w:bookmarkEnd w:id="282"/>
      <w:bookmarkEnd w:id="283"/>
      <w:bookmarkEnd w:id="284"/>
    </w:p>
    <w:p>
      <w:pPr>
        <w:pStyle w:val="11"/>
        <w:wordWrap w:val="0"/>
        <w:adjustRightInd w:val="0"/>
        <w:snapToGrid w:val="0"/>
        <w:spacing w:line="360" w:lineRule="auto"/>
        <w:ind w:firstLine="480" w:firstLineChars="200"/>
        <w:rPr>
          <w:lang w:val="zh-CN"/>
        </w:rPr>
      </w:pPr>
      <w:r>
        <w:rPr>
          <w:rFonts w:cs="Helvetica"/>
          <w:szCs w:val="24"/>
          <w:lang w:val="zh-CN"/>
        </w:rPr>
        <w:t>采购人收到评标报告5个工作日内，</w:t>
      </w:r>
      <w:r>
        <w:rPr>
          <w:rFonts w:hint="eastAsia" w:cs="Helvetica"/>
          <w:szCs w:val="24"/>
          <w:lang w:val="zh-CN"/>
        </w:rPr>
        <w:t>按评标报告推荐的中标候选人顺序确定中标人。中标候选人并列的，由采购人确定或采购人委托评标委员会以投票的方式确定中标人。</w:t>
      </w:r>
    </w:p>
    <w:p>
      <w:pPr>
        <w:pStyle w:val="54"/>
        <w:numPr>
          <w:ilvl w:val="0"/>
          <w:numId w:val="8"/>
        </w:numPr>
        <w:spacing w:line="360" w:lineRule="auto"/>
        <w:ind w:left="284" w:hanging="284" w:firstLineChars="0"/>
        <w:rPr>
          <w:b/>
          <w:szCs w:val="24"/>
          <w:lang w:val="zh-CN"/>
        </w:rPr>
      </w:pPr>
      <w:r>
        <w:rPr>
          <w:rFonts w:hint="eastAsia"/>
          <w:b/>
          <w:szCs w:val="24"/>
          <w:lang w:val="zh-CN"/>
        </w:rPr>
        <w:t>中标公告</w:t>
      </w:r>
    </w:p>
    <w:p>
      <w:pPr>
        <w:numPr>
          <w:ilvl w:val="0"/>
          <w:numId w:val="34"/>
        </w:numPr>
        <w:tabs>
          <w:tab w:val="left" w:pos="616"/>
        </w:tabs>
        <w:wordWrap w:val="0"/>
        <w:adjustRightInd w:val="0"/>
        <w:snapToGrid w:val="0"/>
        <w:spacing w:line="360" w:lineRule="auto"/>
        <w:ind w:left="616" w:hanging="616"/>
        <w:rPr>
          <w:lang w:val="zh-CN"/>
        </w:rPr>
      </w:pPr>
      <w:r>
        <w:rPr>
          <w:rFonts w:hint="eastAsia"/>
          <w:lang w:val="zh-CN"/>
        </w:rPr>
        <w:t>采购代理机构自中标人确定之日起2个工作日内，在规定媒体上发布中标公告，中标公告的公示期为1个工作日，同时向中标人和采购人发出</w:t>
      </w:r>
      <w:r>
        <w:rPr>
          <w:rFonts w:hint="eastAsia" w:cs="Helvetica"/>
          <w:szCs w:val="24"/>
          <w:lang w:val="zh-CN"/>
        </w:rPr>
        <w:t>《中标通知书》</w:t>
      </w:r>
      <w:r>
        <w:rPr>
          <w:rFonts w:hint="eastAsia"/>
          <w:lang w:val="zh-CN"/>
        </w:rPr>
        <w:t>。中标通知书发出后，任何单位不得擅自改变中标结果，中标人无正当理由放弃中标的，应当依法承担相应责任。</w:t>
      </w:r>
    </w:p>
    <w:p>
      <w:pPr>
        <w:numPr>
          <w:ilvl w:val="0"/>
          <w:numId w:val="34"/>
        </w:numPr>
        <w:tabs>
          <w:tab w:val="left" w:pos="616"/>
        </w:tabs>
        <w:wordWrap w:val="0"/>
        <w:adjustRightInd w:val="0"/>
        <w:snapToGrid w:val="0"/>
        <w:spacing w:line="360" w:lineRule="auto"/>
        <w:ind w:left="616" w:hanging="616"/>
        <w:rPr>
          <w:lang w:val="zh-CN"/>
        </w:rPr>
      </w:pPr>
      <w:r>
        <w:rPr>
          <w:rFonts w:hint="eastAsia"/>
          <w:lang w:val="zh-CN"/>
        </w:rPr>
        <w:t>中标</w:t>
      </w:r>
      <w:r>
        <w:rPr>
          <w:lang w:val="zh-CN"/>
        </w:rPr>
        <w:t>通知书</w:t>
      </w:r>
      <w:r>
        <w:rPr>
          <w:rFonts w:hint="eastAsia"/>
          <w:lang w:val="zh-CN"/>
        </w:rPr>
        <w:t>领</w:t>
      </w:r>
      <w:r>
        <w:rPr>
          <w:lang w:val="zh-CN"/>
        </w:rPr>
        <w:t>取</w:t>
      </w:r>
      <w:r>
        <w:rPr>
          <w:rFonts w:hint="eastAsia"/>
          <w:lang w:val="zh-CN"/>
        </w:rPr>
        <w:t>方式</w:t>
      </w:r>
      <w:r>
        <w:rPr>
          <w:rFonts w:hint="eastAsia" w:cs="Helvetica"/>
          <w:szCs w:val="24"/>
          <w:lang w:val="zh-CN"/>
        </w:rPr>
        <w:t>：中标结果公告后，</w:t>
      </w:r>
      <w:r>
        <w:rPr>
          <w:rFonts w:hint="eastAsia"/>
          <w:lang w:val="zh-CN"/>
        </w:rPr>
        <w:t>中标人和采购人按</w:t>
      </w:r>
      <w:r>
        <w:rPr>
          <w:rFonts w:hint="eastAsia"/>
          <w:b/>
          <w:lang w:val="zh-CN"/>
        </w:rPr>
        <w:t>《投标人须知</w:t>
      </w:r>
      <w:r>
        <w:rPr>
          <w:b/>
          <w:lang w:val="zh-CN"/>
        </w:rPr>
        <w:t>前附</w:t>
      </w:r>
      <w:r>
        <w:rPr>
          <w:rFonts w:hint="eastAsia"/>
          <w:b/>
          <w:lang w:val="zh-CN"/>
        </w:rPr>
        <w:t>表》</w:t>
      </w:r>
      <w:r>
        <w:rPr>
          <w:rFonts w:hint="eastAsia"/>
          <w:lang w:val="zh-CN"/>
        </w:rPr>
        <w:t>的</w:t>
      </w:r>
      <w:r>
        <w:rPr>
          <w:lang w:val="zh-CN"/>
        </w:rPr>
        <w:t>规定领取。</w:t>
      </w:r>
    </w:p>
    <w:p>
      <w:pPr>
        <w:numPr>
          <w:ilvl w:val="0"/>
          <w:numId w:val="34"/>
        </w:numPr>
        <w:tabs>
          <w:tab w:val="left" w:pos="616"/>
        </w:tabs>
        <w:wordWrap w:val="0"/>
        <w:adjustRightInd w:val="0"/>
        <w:snapToGrid w:val="0"/>
        <w:spacing w:line="360" w:lineRule="auto"/>
        <w:ind w:left="616" w:hanging="616"/>
        <w:rPr>
          <w:lang w:val="zh-CN"/>
        </w:rPr>
      </w:pPr>
      <w:r>
        <w:rPr>
          <w:rFonts w:hint="eastAsia"/>
          <w:szCs w:val="24"/>
          <w:lang w:val="zh-CN"/>
        </w:rPr>
        <w:t>未中标的投标人可在中标公告质疑有效期内按公告中的联系方式获知本单位的评标得分与排序。</w:t>
      </w:r>
    </w:p>
    <w:p>
      <w:pPr>
        <w:pStyle w:val="54"/>
        <w:numPr>
          <w:ilvl w:val="0"/>
          <w:numId w:val="8"/>
        </w:numPr>
        <w:spacing w:line="360" w:lineRule="auto"/>
        <w:ind w:left="284" w:hanging="284" w:firstLineChars="0"/>
        <w:rPr>
          <w:b/>
          <w:szCs w:val="24"/>
          <w:lang w:val="zh-CN"/>
        </w:rPr>
      </w:pPr>
      <w:bookmarkStart w:id="285" w:name="_Toc102116027"/>
      <w:bookmarkStart w:id="286" w:name="_Toc102116157"/>
      <w:bookmarkStart w:id="287" w:name="_Toc102114925"/>
      <w:bookmarkStart w:id="288" w:name="_Toc102057723"/>
      <w:bookmarkStart w:id="289" w:name="_Toc102056223"/>
      <w:bookmarkStart w:id="290" w:name="_Toc102119858"/>
      <w:r>
        <w:rPr>
          <w:rFonts w:hint="eastAsia"/>
          <w:b/>
          <w:szCs w:val="24"/>
          <w:lang w:val="zh-CN"/>
        </w:rPr>
        <w:t>合同签订</w:t>
      </w:r>
      <w:bookmarkEnd w:id="285"/>
      <w:bookmarkEnd w:id="286"/>
      <w:bookmarkEnd w:id="287"/>
      <w:bookmarkEnd w:id="288"/>
      <w:bookmarkEnd w:id="289"/>
      <w:bookmarkEnd w:id="290"/>
    </w:p>
    <w:p>
      <w:pPr>
        <w:numPr>
          <w:ilvl w:val="0"/>
          <w:numId w:val="35"/>
        </w:numPr>
        <w:tabs>
          <w:tab w:val="left" w:pos="616"/>
        </w:tabs>
        <w:wordWrap w:val="0"/>
        <w:adjustRightInd w:val="0"/>
        <w:snapToGrid w:val="0"/>
        <w:spacing w:line="360" w:lineRule="auto"/>
        <w:ind w:left="616" w:hanging="616"/>
        <w:rPr>
          <w:lang w:val="zh-CN"/>
        </w:rPr>
      </w:pPr>
      <w:r>
        <w:rPr>
          <w:lang w:val="zh-CN"/>
        </w:rPr>
        <w:t>采购人应当自中标通知书发出之日起30日内与中标人签订</w:t>
      </w:r>
      <w:r>
        <w:rPr>
          <w:rFonts w:hint="eastAsia"/>
          <w:lang w:val="zh-CN"/>
        </w:rPr>
        <w:t>政府采购</w:t>
      </w:r>
      <w:r>
        <w:rPr>
          <w:lang w:val="zh-CN"/>
        </w:rPr>
        <w:t>合同。合同</w:t>
      </w:r>
      <w:r>
        <w:rPr>
          <w:rFonts w:hint="eastAsia"/>
          <w:lang w:val="zh-CN"/>
        </w:rPr>
        <w:t>当事人应当按照</w:t>
      </w:r>
      <w:r>
        <w:rPr>
          <w:lang w:val="zh-CN"/>
        </w:rPr>
        <w:t>招标文件确定的事项和中标人投标文件</w:t>
      </w:r>
      <w:r>
        <w:rPr>
          <w:rFonts w:hint="eastAsia"/>
          <w:lang w:val="zh-CN"/>
        </w:rPr>
        <w:t>响应签订政府采购合同，合同要素应当与招标文件、中标通知书和投标文件等相关内容一致</w:t>
      </w:r>
      <w:r>
        <w:rPr>
          <w:lang w:val="zh-CN"/>
        </w:rPr>
        <w:t>。</w:t>
      </w:r>
    </w:p>
    <w:p>
      <w:pPr>
        <w:numPr>
          <w:ilvl w:val="0"/>
          <w:numId w:val="35"/>
        </w:numPr>
        <w:tabs>
          <w:tab w:val="left" w:pos="616"/>
        </w:tabs>
        <w:wordWrap w:val="0"/>
        <w:adjustRightInd w:val="0"/>
        <w:snapToGrid w:val="0"/>
        <w:spacing w:line="360" w:lineRule="auto"/>
        <w:ind w:left="616" w:hanging="616"/>
        <w:rPr>
          <w:lang w:val="zh-CN"/>
        </w:rPr>
      </w:pPr>
      <w:r>
        <w:rPr>
          <w:rFonts w:hint="eastAsia"/>
          <w:lang w:val="zh-CN"/>
        </w:rPr>
        <w:t>政府采购合同签订之日起2个工作日内，采购人应当将政府采购合同在规定的媒体上公告，但政府采购合同中涉及国家秘密、商业秘密的内容除外。</w:t>
      </w:r>
    </w:p>
    <w:p>
      <w:pPr>
        <w:pStyle w:val="54"/>
        <w:numPr>
          <w:ilvl w:val="0"/>
          <w:numId w:val="8"/>
        </w:numPr>
        <w:spacing w:line="360" w:lineRule="auto"/>
        <w:ind w:left="284" w:hanging="284" w:firstLineChars="0"/>
        <w:rPr>
          <w:b/>
          <w:szCs w:val="24"/>
          <w:lang w:val="zh-CN"/>
        </w:rPr>
      </w:pPr>
      <w:r>
        <w:rPr>
          <w:rFonts w:hint="eastAsia"/>
          <w:b/>
          <w:szCs w:val="24"/>
          <w:lang w:val="zh-CN"/>
        </w:rPr>
        <w:t>合同变更</w:t>
      </w:r>
    </w:p>
    <w:p>
      <w:pPr>
        <w:numPr>
          <w:ilvl w:val="0"/>
          <w:numId w:val="36"/>
        </w:numPr>
        <w:tabs>
          <w:tab w:val="left" w:pos="616"/>
        </w:tabs>
        <w:wordWrap w:val="0"/>
        <w:adjustRightInd w:val="0"/>
        <w:snapToGrid w:val="0"/>
        <w:spacing w:line="360" w:lineRule="auto"/>
        <w:rPr>
          <w:rFonts w:cs="Helvetica"/>
          <w:szCs w:val="24"/>
          <w:lang w:val="zh-CN"/>
        </w:rPr>
      </w:pPr>
      <w:r>
        <w:rPr>
          <w:rFonts w:hint="eastAsia"/>
          <w:szCs w:val="24"/>
          <w:lang w:val="zh-CN"/>
        </w:rPr>
        <w:t>政府采购合同的双方当事人不得擅自变更、中止或终止合同。</w:t>
      </w:r>
    </w:p>
    <w:p>
      <w:pPr>
        <w:numPr>
          <w:ilvl w:val="0"/>
          <w:numId w:val="36"/>
        </w:numPr>
        <w:tabs>
          <w:tab w:val="left" w:pos="616"/>
        </w:tabs>
        <w:wordWrap w:val="0"/>
        <w:adjustRightInd w:val="0"/>
        <w:snapToGrid w:val="0"/>
        <w:spacing w:line="360" w:lineRule="auto"/>
        <w:ind w:left="616" w:hanging="616"/>
        <w:rPr>
          <w:rFonts w:cs="Helvetica"/>
          <w:szCs w:val="24"/>
          <w:lang w:val="zh-CN"/>
        </w:rPr>
      </w:pPr>
      <w:r>
        <w:rPr>
          <w:rFonts w:hint="eastAsia" w:cs="Helvetica"/>
          <w:szCs w:val="24"/>
          <w:lang w:val="zh-CN"/>
        </w:rPr>
        <w:t>政府采购合同履行中，采购人需追加与合同标的相同的货物或服务的，在不改变合同其它条款的前提下，可以与中标人协商签订补充合同，但所有补充合同的采购金额不得超过原合同采购金额的百分之十</w:t>
      </w:r>
      <w:r>
        <w:rPr>
          <w:rFonts w:cs="Helvetica"/>
          <w:szCs w:val="24"/>
          <w:lang w:val="zh-CN"/>
        </w:rPr>
        <w:t>。</w:t>
      </w:r>
    </w:p>
    <w:p>
      <w:pPr>
        <w:numPr>
          <w:ilvl w:val="0"/>
          <w:numId w:val="36"/>
        </w:numPr>
        <w:tabs>
          <w:tab w:val="left" w:pos="616"/>
        </w:tabs>
        <w:wordWrap w:val="0"/>
        <w:adjustRightInd w:val="0"/>
        <w:snapToGrid w:val="0"/>
        <w:spacing w:line="360" w:lineRule="auto"/>
        <w:ind w:left="616" w:hanging="616"/>
        <w:rPr>
          <w:szCs w:val="24"/>
          <w:lang w:val="zh-CN"/>
        </w:rPr>
      </w:pPr>
      <w:r>
        <w:rPr>
          <w:rFonts w:hint="eastAsia"/>
          <w:szCs w:val="24"/>
          <w:lang w:val="zh-CN"/>
        </w:rPr>
        <w:t>政府采购合同继续履行将损害国家利益和社会公共利益的，双方当事人应当变更、中止或终止合同。有过错的一方应当承担赔偿责任，双方都过错的，各自承担相应的责任。</w:t>
      </w:r>
    </w:p>
    <w:p>
      <w:pPr>
        <w:pStyle w:val="54"/>
        <w:numPr>
          <w:ilvl w:val="0"/>
          <w:numId w:val="8"/>
        </w:numPr>
        <w:spacing w:line="360" w:lineRule="auto"/>
        <w:ind w:left="284" w:hanging="284" w:firstLineChars="0"/>
        <w:rPr>
          <w:b/>
          <w:szCs w:val="24"/>
          <w:lang w:val="zh-CN"/>
        </w:rPr>
      </w:pPr>
      <w:bookmarkStart w:id="291" w:name="_Toc102116120"/>
      <w:bookmarkStart w:id="292" w:name="_Toc102114888"/>
      <w:bookmarkStart w:id="293" w:name="_Toc102119821"/>
      <w:bookmarkStart w:id="294" w:name="_Toc102115990"/>
      <w:r>
        <w:rPr>
          <w:rFonts w:hint="eastAsia"/>
          <w:b/>
          <w:szCs w:val="24"/>
          <w:lang w:val="zh-CN"/>
        </w:rPr>
        <w:t>合同融资</w:t>
      </w:r>
    </w:p>
    <w:p>
      <w:pPr>
        <w:wordWrap w:val="0"/>
        <w:adjustRightInd w:val="0"/>
        <w:snapToGrid w:val="0"/>
        <w:spacing w:line="360" w:lineRule="auto"/>
        <w:ind w:firstLine="480" w:firstLineChars="200"/>
        <w:rPr>
          <w:lang w:val="zh-CN"/>
        </w:rPr>
      </w:pPr>
      <w:r>
        <w:rPr>
          <w:rFonts w:hint="eastAsia"/>
          <w:szCs w:val="24"/>
          <w:lang w:val="zh-CN"/>
        </w:rPr>
        <w:t>政府采购合同融资（政采贷）：为加大金融支持实体经济发展的力度，充分发挥政府采购支持中小企业发展的政策功能，参与政府采购活动的中小微企业，若有融资需求，在获得政府采购中标（成交）通知书后，登陆</w:t>
      </w:r>
      <w:r>
        <w:rPr>
          <w:rFonts w:hint="eastAsia"/>
          <w:b/>
          <w:szCs w:val="24"/>
          <w:lang w:val="zh-CN"/>
        </w:rPr>
        <w:t>“投标人须知前附表”</w:t>
      </w:r>
      <w:r>
        <w:rPr>
          <w:rFonts w:hint="eastAsia"/>
          <w:szCs w:val="24"/>
          <w:lang w:val="zh-CN"/>
        </w:rPr>
        <w:t>规定的平台，向开展“政采贷”业务的金融机构（</w:t>
      </w:r>
      <w:r>
        <w:rPr>
          <w:rFonts w:hint="eastAsia"/>
          <w:b/>
          <w:bCs/>
          <w:szCs w:val="24"/>
          <w:lang w:val="zh-CN"/>
        </w:rPr>
        <w:t>工商银行</w:t>
      </w:r>
      <w:r>
        <w:rPr>
          <w:rFonts w:hint="eastAsia" w:ascii="宋体" w:hAnsi="宋体" w:eastAsia="宋体" w:cs="宋体"/>
          <w:b/>
          <w:bCs/>
          <w:szCs w:val="24"/>
          <w:lang w:val="zh-CN"/>
        </w:rPr>
        <w:t>&lt;</w:t>
      </w:r>
      <w:r>
        <w:rPr>
          <w:rFonts w:hint="eastAsia"/>
          <w:b/>
          <w:bCs/>
          <w:szCs w:val="24"/>
          <w:lang w:val="zh-CN"/>
        </w:rPr>
        <w:t>徐波13034466116</w:t>
      </w:r>
      <w:r>
        <w:rPr>
          <w:rFonts w:hint="eastAsia" w:ascii="宋体" w:hAnsi="宋体" w:eastAsia="宋体" w:cs="宋体"/>
          <w:b/>
          <w:bCs/>
          <w:szCs w:val="24"/>
          <w:lang w:val="zh-CN"/>
        </w:rPr>
        <w:t>&gt;</w:t>
      </w:r>
      <w:r>
        <w:rPr>
          <w:rFonts w:hint="eastAsia"/>
          <w:b/>
          <w:bCs/>
          <w:szCs w:val="24"/>
          <w:lang w:val="zh-CN"/>
        </w:rPr>
        <w:t>、农业银行</w:t>
      </w:r>
      <w:r>
        <w:rPr>
          <w:rFonts w:hint="eastAsia" w:ascii="宋体" w:hAnsi="宋体" w:eastAsia="宋体" w:cs="宋体"/>
          <w:b/>
          <w:bCs/>
          <w:szCs w:val="24"/>
          <w:lang w:val="zh-CN"/>
        </w:rPr>
        <w:t>&lt;贺林13476581567&gt;</w:t>
      </w:r>
      <w:r>
        <w:rPr>
          <w:rFonts w:hint="eastAsia"/>
          <w:b/>
          <w:bCs/>
          <w:szCs w:val="24"/>
          <w:lang w:val="zh-CN"/>
        </w:rPr>
        <w:t>、中国银行</w:t>
      </w:r>
      <w:r>
        <w:rPr>
          <w:rFonts w:hint="eastAsia" w:ascii="宋体" w:hAnsi="宋体" w:eastAsia="宋体" w:cs="宋体"/>
          <w:b/>
          <w:bCs/>
          <w:szCs w:val="24"/>
          <w:lang w:val="zh-CN"/>
        </w:rPr>
        <w:t>&lt;杨浩18971709012&gt;</w:t>
      </w:r>
      <w:r>
        <w:rPr>
          <w:rFonts w:hint="eastAsia"/>
          <w:b/>
          <w:bCs/>
          <w:szCs w:val="24"/>
          <w:lang w:val="zh-CN"/>
        </w:rPr>
        <w:t>、建设银行</w:t>
      </w:r>
      <w:r>
        <w:rPr>
          <w:rFonts w:hint="eastAsia" w:ascii="宋体" w:hAnsi="宋体" w:eastAsia="宋体" w:cs="宋体"/>
          <w:b/>
          <w:bCs/>
          <w:szCs w:val="24"/>
          <w:lang w:val="zh-CN"/>
        </w:rPr>
        <w:t>&lt;胡桂根18972759460&gt;</w:t>
      </w:r>
      <w:r>
        <w:rPr>
          <w:rFonts w:hint="eastAsia"/>
          <w:b/>
          <w:bCs/>
          <w:szCs w:val="24"/>
          <w:lang w:val="zh-CN"/>
        </w:rPr>
        <w:t>、交通银行</w:t>
      </w:r>
      <w:r>
        <w:rPr>
          <w:rFonts w:hint="eastAsia" w:ascii="宋体" w:hAnsi="宋体" w:eastAsia="宋体" w:cs="宋体"/>
          <w:b/>
          <w:bCs/>
          <w:szCs w:val="24"/>
          <w:lang w:val="zh-CN"/>
        </w:rPr>
        <w:t>&lt;陈俊卿17671709372&gt;</w:t>
      </w:r>
      <w:r>
        <w:rPr>
          <w:rFonts w:hint="eastAsia"/>
          <w:b/>
          <w:bCs/>
          <w:szCs w:val="24"/>
          <w:lang w:val="zh-CN"/>
        </w:rPr>
        <w:t>、湖北银行</w:t>
      </w:r>
      <w:r>
        <w:rPr>
          <w:rFonts w:hint="eastAsia" w:ascii="宋体" w:hAnsi="宋体" w:eastAsia="宋体" w:cs="宋体"/>
          <w:b/>
          <w:bCs/>
          <w:szCs w:val="24"/>
          <w:lang w:val="zh-CN"/>
        </w:rPr>
        <w:t>&lt;刘冲13092735161&gt;</w:t>
      </w:r>
      <w:r>
        <w:rPr>
          <w:rFonts w:hint="eastAsia"/>
          <w:b/>
          <w:bCs/>
          <w:szCs w:val="24"/>
          <w:lang w:val="zh-CN"/>
        </w:rPr>
        <w:t>、黄冈农商银行</w:t>
      </w:r>
      <w:r>
        <w:rPr>
          <w:rFonts w:hint="eastAsia" w:ascii="宋体" w:hAnsi="宋体" w:eastAsia="宋体" w:cs="宋体"/>
          <w:b/>
          <w:bCs/>
          <w:szCs w:val="24"/>
          <w:lang w:val="zh-CN"/>
        </w:rPr>
        <w:t>&lt;甘清泉15971367189&gt;</w:t>
      </w:r>
      <w:r>
        <w:rPr>
          <w:rFonts w:hint="eastAsia"/>
          <w:szCs w:val="24"/>
          <w:lang w:val="zh-CN"/>
        </w:rPr>
        <w:t>）提出申请，金融机构依据政府采购中标（成交）通知书和政府采购合同，为其提供融资服务。</w:t>
      </w:r>
      <w:bookmarkEnd w:id="291"/>
      <w:bookmarkEnd w:id="292"/>
      <w:bookmarkEnd w:id="293"/>
      <w:bookmarkEnd w:id="294"/>
    </w:p>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295" w:name="_Toc117244470"/>
      <w:bookmarkStart w:id="296" w:name="_Toc9351"/>
      <w:bookmarkStart w:id="297" w:name="_Toc511889424"/>
      <w:bookmarkStart w:id="298" w:name="_Toc102116159"/>
      <w:bookmarkStart w:id="299" w:name="_Toc117244355"/>
      <w:bookmarkStart w:id="300" w:name="_Toc102116029"/>
      <w:bookmarkStart w:id="301" w:name="_Toc102057725"/>
      <w:bookmarkStart w:id="302" w:name="_Toc102056225"/>
      <w:bookmarkStart w:id="303" w:name="_Toc102114927"/>
      <w:bookmarkStart w:id="304" w:name="_Toc102119860"/>
      <w:bookmarkStart w:id="305" w:name="_Toc511894502"/>
      <w:r>
        <w:rPr>
          <w:rFonts w:hint="eastAsia" w:ascii="宋体" w:hAnsi="宋体" w:eastAsia="宋体" w:cs="Times New Roman"/>
          <w:bCs w:val="0"/>
          <w:sz w:val="28"/>
          <w:szCs w:val="28"/>
          <w:lang w:val="zh-CN"/>
        </w:rPr>
        <w:t>询问与质疑</w:t>
      </w:r>
      <w:bookmarkEnd w:id="295"/>
      <w:bookmarkEnd w:id="296"/>
      <w:bookmarkEnd w:id="297"/>
      <w:bookmarkEnd w:id="298"/>
      <w:bookmarkEnd w:id="299"/>
      <w:bookmarkEnd w:id="300"/>
      <w:bookmarkEnd w:id="301"/>
      <w:bookmarkEnd w:id="302"/>
      <w:bookmarkEnd w:id="303"/>
      <w:bookmarkEnd w:id="304"/>
      <w:bookmarkEnd w:id="305"/>
    </w:p>
    <w:p>
      <w:pPr>
        <w:pStyle w:val="54"/>
        <w:numPr>
          <w:ilvl w:val="0"/>
          <w:numId w:val="8"/>
        </w:numPr>
        <w:spacing w:line="360" w:lineRule="auto"/>
        <w:ind w:left="284" w:hanging="284" w:firstLineChars="0"/>
        <w:rPr>
          <w:b/>
          <w:szCs w:val="24"/>
          <w:lang w:val="zh-CN"/>
        </w:rPr>
      </w:pPr>
      <w:bookmarkStart w:id="306" w:name="_Toc102119861"/>
      <w:bookmarkStart w:id="307" w:name="_Toc102056226"/>
      <w:bookmarkStart w:id="308" w:name="_Toc102114928"/>
      <w:bookmarkStart w:id="309" w:name="_Toc102057726"/>
      <w:bookmarkStart w:id="310" w:name="_Toc102116030"/>
      <w:bookmarkStart w:id="311" w:name="_Toc102116160"/>
      <w:r>
        <w:rPr>
          <w:rFonts w:hint="eastAsia"/>
          <w:b/>
          <w:szCs w:val="24"/>
          <w:lang w:val="zh-CN"/>
        </w:rPr>
        <w:t>询问</w:t>
      </w:r>
      <w:bookmarkEnd w:id="306"/>
      <w:bookmarkEnd w:id="307"/>
      <w:bookmarkEnd w:id="308"/>
      <w:bookmarkEnd w:id="309"/>
      <w:bookmarkEnd w:id="310"/>
      <w:bookmarkEnd w:id="311"/>
    </w:p>
    <w:p>
      <w:pPr>
        <w:numPr>
          <w:ilvl w:val="0"/>
          <w:numId w:val="37"/>
        </w:numPr>
        <w:tabs>
          <w:tab w:val="left" w:pos="616"/>
        </w:tabs>
        <w:wordWrap w:val="0"/>
        <w:adjustRightInd w:val="0"/>
        <w:snapToGrid w:val="0"/>
        <w:spacing w:line="360" w:lineRule="auto"/>
        <w:ind w:left="420" w:leftChars="0" w:hanging="420" w:firstLineChars="0"/>
        <w:rPr>
          <w:lang w:val="zh-CN"/>
        </w:rPr>
      </w:pPr>
      <w:r>
        <w:rPr>
          <w:rFonts w:hint="eastAsia"/>
          <w:szCs w:val="24"/>
          <w:lang w:val="zh-CN"/>
        </w:rPr>
        <w:t>潜在投标人对招标文件（或招标活动事项）有疑问的，可以在招标公告期限届满之日（或各招标程序活动结束之日）起7个工作日内通过电话或电子采购平台，依法向采购人或采购代理机构提出询问，采购人或采购代理机构应在3个工作日内作出答复。</w:t>
      </w:r>
    </w:p>
    <w:p>
      <w:pPr>
        <w:numPr>
          <w:ilvl w:val="0"/>
          <w:numId w:val="37"/>
        </w:numPr>
        <w:tabs>
          <w:tab w:val="left" w:pos="616"/>
        </w:tabs>
        <w:wordWrap w:val="0"/>
        <w:adjustRightInd w:val="0"/>
        <w:snapToGrid w:val="0"/>
        <w:spacing w:line="360" w:lineRule="auto"/>
        <w:ind w:left="420" w:leftChars="0" w:hanging="420" w:firstLineChars="0"/>
        <w:rPr>
          <w:lang w:val="zh-CN"/>
        </w:rPr>
      </w:pPr>
      <w:r>
        <w:rPr>
          <w:rFonts w:hint="eastAsia"/>
          <w:lang w:val="zh-CN"/>
        </w:rPr>
        <w:t>询问联系方式：详见</w:t>
      </w:r>
      <w:r>
        <w:rPr>
          <w:rFonts w:hint="eastAsia"/>
          <w:b/>
          <w:lang w:val="zh-CN"/>
        </w:rPr>
        <w:t>“投标人须知前附表”</w:t>
      </w:r>
      <w:r>
        <w:rPr>
          <w:rFonts w:hint="eastAsia"/>
          <w:lang w:val="zh-CN"/>
        </w:rPr>
        <w:t>。</w:t>
      </w:r>
    </w:p>
    <w:p>
      <w:pPr>
        <w:pStyle w:val="54"/>
        <w:numPr>
          <w:ilvl w:val="0"/>
          <w:numId w:val="8"/>
        </w:numPr>
        <w:spacing w:line="360" w:lineRule="auto"/>
        <w:ind w:left="284" w:hanging="284" w:firstLineChars="0"/>
        <w:rPr>
          <w:b/>
          <w:szCs w:val="24"/>
          <w:lang w:val="zh-CN"/>
        </w:rPr>
      </w:pPr>
      <w:bookmarkStart w:id="312" w:name="_Toc102116161"/>
      <w:bookmarkStart w:id="313" w:name="_Toc102057727"/>
      <w:bookmarkStart w:id="314" w:name="_Toc102114929"/>
      <w:bookmarkStart w:id="315" w:name="_Toc102116031"/>
      <w:bookmarkStart w:id="316" w:name="_Toc102119862"/>
      <w:bookmarkStart w:id="317" w:name="_Toc102056227"/>
      <w:r>
        <w:rPr>
          <w:rFonts w:hint="eastAsia"/>
          <w:b/>
          <w:szCs w:val="24"/>
          <w:lang w:val="zh-CN"/>
        </w:rPr>
        <w:t>质疑</w:t>
      </w:r>
      <w:bookmarkEnd w:id="312"/>
      <w:bookmarkEnd w:id="313"/>
      <w:bookmarkEnd w:id="314"/>
      <w:bookmarkEnd w:id="315"/>
      <w:bookmarkEnd w:id="316"/>
      <w:bookmarkEnd w:id="317"/>
    </w:p>
    <w:p>
      <w:pPr>
        <w:numPr>
          <w:ilvl w:val="0"/>
          <w:numId w:val="38"/>
        </w:numPr>
        <w:tabs>
          <w:tab w:val="left" w:pos="616"/>
        </w:tabs>
        <w:wordWrap w:val="0"/>
        <w:adjustRightInd w:val="0"/>
        <w:snapToGrid w:val="0"/>
        <w:spacing w:line="360" w:lineRule="auto"/>
        <w:ind w:left="420" w:leftChars="0" w:hanging="420" w:firstLineChars="0"/>
        <w:rPr>
          <w:lang w:val="zh-CN"/>
        </w:rPr>
      </w:pPr>
      <w:r>
        <w:rPr>
          <w:rFonts w:hint="eastAsia"/>
          <w:lang w:val="zh-CN"/>
        </w:rPr>
        <w:t>投标人认为招标文件、招标过程和中标结果使自己的权益受到损害的，可以在知道或者应知其权益受到损害之日起7个工作日内，向湖北齐兴会计师事务有限公司提出质疑。</w:t>
      </w:r>
    </w:p>
    <w:p>
      <w:pPr>
        <w:numPr>
          <w:ilvl w:val="0"/>
          <w:numId w:val="38"/>
        </w:numPr>
        <w:tabs>
          <w:tab w:val="left" w:pos="616"/>
        </w:tabs>
        <w:wordWrap w:val="0"/>
        <w:adjustRightInd w:val="0"/>
        <w:snapToGrid w:val="0"/>
        <w:spacing w:line="360" w:lineRule="auto"/>
        <w:ind w:left="420" w:leftChars="0" w:hanging="420" w:firstLineChars="0"/>
        <w:rPr>
          <w:lang w:val="zh-CN"/>
        </w:rPr>
      </w:pPr>
      <w:r>
        <w:rPr>
          <w:rFonts w:hint="eastAsia"/>
          <w:szCs w:val="24"/>
        </w:rPr>
        <w:t>质疑提出方式：</w:t>
      </w:r>
    </w:p>
    <w:p>
      <w:pPr>
        <w:pStyle w:val="54"/>
        <w:wordWrap w:val="0"/>
        <w:adjustRightInd w:val="0"/>
        <w:snapToGrid w:val="0"/>
        <w:spacing w:line="360" w:lineRule="auto"/>
        <w:ind w:left="567" w:firstLine="0" w:firstLineChars="0"/>
        <w:rPr>
          <w:szCs w:val="24"/>
        </w:rPr>
      </w:pPr>
      <w:r>
        <w:rPr>
          <w:rFonts w:hint="eastAsia"/>
          <w:szCs w:val="24"/>
        </w:rPr>
        <w:t>（1）登录电子采购平台，点击“我的质疑”→“提出质疑”，然后按提示进行操作；</w:t>
      </w:r>
    </w:p>
    <w:p>
      <w:pPr>
        <w:pStyle w:val="54"/>
        <w:wordWrap w:val="0"/>
        <w:adjustRightInd w:val="0"/>
        <w:snapToGrid w:val="0"/>
        <w:spacing w:line="360" w:lineRule="auto"/>
        <w:ind w:left="567" w:firstLine="0" w:firstLineChars="0"/>
        <w:rPr>
          <w:lang w:val="zh-CN"/>
        </w:rPr>
      </w:pPr>
      <w:r>
        <w:rPr>
          <w:rFonts w:hint="eastAsia"/>
          <w:szCs w:val="24"/>
        </w:rPr>
        <w:t>（2）线下提交《质疑函》。</w:t>
      </w:r>
      <w:r>
        <w:rPr>
          <w:rFonts w:hint="eastAsia"/>
          <w:lang w:val="zh-CN"/>
        </w:rPr>
        <w:t>质疑受理时间以签收投标质疑函时间为准。</w:t>
      </w:r>
    </w:p>
    <w:p>
      <w:pPr>
        <w:numPr>
          <w:ilvl w:val="0"/>
          <w:numId w:val="38"/>
        </w:numPr>
        <w:tabs>
          <w:tab w:val="left" w:pos="616"/>
        </w:tabs>
        <w:wordWrap w:val="0"/>
        <w:adjustRightInd w:val="0"/>
        <w:snapToGrid w:val="0"/>
        <w:spacing w:line="360" w:lineRule="auto"/>
        <w:ind w:left="420" w:leftChars="0" w:hanging="420" w:firstLineChars="0"/>
        <w:rPr>
          <w:rFonts w:hint="eastAsia"/>
          <w:szCs w:val="24"/>
          <w:lang w:val="zh-CN"/>
        </w:rPr>
      </w:pPr>
      <w:r>
        <w:rPr>
          <w:rFonts w:hint="eastAsia"/>
          <w:szCs w:val="24"/>
          <w:lang w:val="zh-CN"/>
        </w:rPr>
        <w:t>质疑</w:t>
      </w:r>
      <w:r>
        <w:rPr>
          <w:rFonts w:hint="eastAsia"/>
          <w:szCs w:val="24"/>
        </w:rPr>
        <w:t>联系方式：详见“</w:t>
      </w:r>
      <w:r>
        <w:rPr>
          <w:rFonts w:hint="eastAsia"/>
          <w:b/>
          <w:bCs/>
          <w:szCs w:val="24"/>
        </w:rPr>
        <w:t>投标人须知前附表</w:t>
      </w:r>
      <w:r>
        <w:rPr>
          <w:rFonts w:hint="eastAsia"/>
          <w:szCs w:val="24"/>
        </w:rPr>
        <w:t>”。</w:t>
      </w:r>
    </w:p>
    <w:p>
      <w:pPr>
        <w:numPr>
          <w:ilvl w:val="0"/>
          <w:numId w:val="38"/>
        </w:numPr>
        <w:tabs>
          <w:tab w:val="left" w:pos="616"/>
        </w:tabs>
        <w:wordWrap w:val="0"/>
        <w:adjustRightInd w:val="0"/>
        <w:snapToGrid w:val="0"/>
        <w:spacing w:line="360" w:lineRule="auto"/>
        <w:ind w:left="420" w:leftChars="0" w:hanging="420" w:firstLineChars="0"/>
        <w:rPr>
          <w:rFonts w:hint="eastAsia"/>
          <w:szCs w:val="24"/>
          <w:lang w:val="zh-CN"/>
        </w:rPr>
      </w:pPr>
      <w:r>
        <w:rPr>
          <w:rFonts w:hint="eastAsia"/>
          <w:szCs w:val="24"/>
          <w:lang w:val="zh-CN"/>
        </w:rPr>
        <w:t>质疑函应当按照《政府采购质疑和投诉办法》（财政部令 第94号）规定的内容和中国政府采购网“政府采购投标人质疑函范本”（http://download.ccgp.gov.cn/2018/zhiyihanfanben.zip）的格式提交。</w:t>
      </w:r>
    </w:p>
    <w:p>
      <w:pPr>
        <w:numPr>
          <w:ilvl w:val="0"/>
          <w:numId w:val="38"/>
        </w:numPr>
        <w:tabs>
          <w:tab w:val="left" w:pos="616"/>
        </w:tabs>
        <w:wordWrap w:val="0"/>
        <w:adjustRightInd w:val="0"/>
        <w:snapToGrid w:val="0"/>
        <w:spacing w:line="360" w:lineRule="auto"/>
        <w:ind w:left="420" w:leftChars="0" w:hanging="420" w:firstLineChars="0"/>
        <w:rPr>
          <w:rFonts w:hint="eastAsia"/>
          <w:szCs w:val="24"/>
          <w:lang w:val="zh-CN"/>
        </w:rPr>
      </w:pPr>
      <w:r>
        <w:rPr>
          <w:rFonts w:hint="eastAsia"/>
          <w:szCs w:val="24"/>
          <w:lang w:val="zh-CN"/>
        </w:rPr>
        <w:t>投标人未按规定的时限、内容及方式进行质疑的，采购代理机构有权不予受理。</w:t>
      </w:r>
    </w:p>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318" w:name="_Toc117244471"/>
      <w:bookmarkStart w:id="319" w:name="_Toc117244356"/>
      <w:bookmarkStart w:id="320" w:name="_Toc15312"/>
      <w:r>
        <w:rPr>
          <w:rFonts w:hint="eastAsia" w:ascii="宋体" w:hAnsi="宋体" w:eastAsia="宋体" w:cs="Times New Roman"/>
          <w:bCs w:val="0"/>
          <w:sz w:val="28"/>
          <w:szCs w:val="28"/>
          <w:lang w:val="zh-CN"/>
        </w:rPr>
        <w:t>政府采购政策</w:t>
      </w:r>
      <w:bookmarkEnd w:id="318"/>
      <w:bookmarkEnd w:id="319"/>
      <w:bookmarkEnd w:id="320"/>
    </w:p>
    <w:p>
      <w:pPr>
        <w:pStyle w:val="54"/>
        <w:numPr>
          <w:ilvl w:val="0"/>
          <w:numId w:val="8"/>
        </w:numPr>
        <w:spacing w:line="360" w:lineRule="auto"/>
        <w:ind w:left="284" w:hanging="284" w:firstLineChars="0"/>
        <w:rPr>
          <w:b/>
          <w:szCs w:val="24"/>
          <w:lang w:val="zh-CN"/>
        </w:rPr>
      </w:pPr>
      <w:bookmarkStart w:id="321" w:name="_Toc102114882"/>
      <w:bookmarkStart w:id="322" w:name="_Toc102119815"/>
      <w:bookmarkStart w:id="323" w:name="_Toc102056181"/>
      <w:bookmarkStart w:id="324" w:name="_Toc102115984"/>
      <w:bookmarkStart w:id="325" w:name="_Toc102116114"/>
      <w:bookmarkStart w:id="326" w:name="_Toc102057681"/>
      <w:r>
        <w:rPr>
          <w:rFonts w:hint="eastAsia"/>
          <w:b/>
          <w:szCs w:val="24"/>
          <w:lang w:val="zh-CN"/>
        </w:rPr>
        <w:t>政府采购政策</w:t>
      </w:r>
      <w:bookmarkEnd w:id="321"/>
      <w:bookmarkEnd w:id="322"/>
      <w:bookmarkEnd w:id="323"/>
      <w:bookmarkEnd w:id="324"/>
      <w:bookmarkEnd w:id="325"/>
      <w:bookmarkEnd w:id="326"/>
    </w:p>
    <w:p>
      <w:pPr>
        <w:wordWrap w:val="0"/>
        <w:adjustRightInd w:val="0"/>
        <w:snapToGrid w:val="0"/>
        <w:spacing w:line="360" w:lineRule="auto"/>
        <w:ind w:firstLine="480" w:firstLineChars="200"/>
        <w:rPr>
          <w:szCs w:val="24"/>
          <w:lang w:val="zh-CN"/>
        </w:rPr>
      </w:pPr>
      <w:r>
        <w:rPr>
          <w:rFonts w:hint="eastAsia"/>
          <w:szCs w:val="24"/>
          <w:lang w:val="zh-CN"/>
        </w:rPr>
        <w:t>政府采购活动中应落实节约资源、</w:t>
      </w:r>
      <w:r>
        <w:rPr>
          <w:rFonts w:hint="eastAsia" w:cs="宋体"/>
          <w:szCs w:val="24"/>
          <w:lang w:val="zh-CN"/>
        </w:rPr>
        <w:t>保护</w:t>
      </w:r>
      <w:r>
        <w:rPr>
          <w:rFonts w:hint="eastAsia"/>
          <w:szCs w:val="24"/>
          <w:lang w:val="zh-CN"/>
        </w:rPr>
        <w:t>环境、支持创新、支持绿色发展、扶持不发达地区和少数民族地区、促进中小企业发展等政策。</w:t>
      </w:r>
    </w:p>
    <w:p>
      <w:pPr>
        <w:pStyle w:val="54"/>
        <w:numPr>
          <w:ilvl w:val="0"/>
          <w:numId w:val="8"/>
        </w:numPr>
        <w:spacing w:line="360" w:lineRule="auto"/>
        <w:ind w:left="284" w:hanging="284" w:firstLineChars="0"/>
        <w:rPr>
          <w:b/>
          <w:szCs w:val="24"/>
          <w:lang w:val="zh-CN"/>
        </w:rPr>
      </w:pPr>
      <w:r>
        <w:rPr>
          <w:rFonts w:hint="eastAsia"/>
          <w:b/>
          <w:szCs w:val="24"/>
          <w:lang w:val="zh-CN"/>
        </w:rPr>
        <w:t>政府</w:t>
      </w:r>
      <w:r>
        <w:rPr>
          <w:b/>
          <w:szCs w:val="24"/>
          <w:lang w:val="zh-CN"/>
        </w:rPr>
        <w:t>采购政策</w:t>
      </w:r>
      <w:r>
        <w:rPr>
          <w:rFonts w:hint="eastAsia"/>
          <w:b/>
          <w:szCs w:val="24"/>
          <w:lang w:val="zh-CN"/>
        </w:rPr>
        <w:t>落实措施</w:t>
      </w:r>
    </w:p>
    <w:p>
      <w:pPr>
        <w:numPr>
          <w:ilvl w:val="0"/>
          <w:numId w:val="39"/>
        </w:numPr>
        <w:tabs>
          <w:tab w:val="left" w:pos="616"/>
        </w:tabs>
        <w:wordWrap w:val="0"/>
        <w:adjustRightInd w:val="0"/>
        <w:snapToGrid w:val="0"/>
        <w:spacing w:line="360" w:lineRule="auto"/>
        <w:ind w:left="420" w:leftChars="0" w:hanging="420" w:firstLineChars="0"/>
        <w:rPr>
          <w:szCs w:val="24"/>
          <w:lang w:val="zh-CN"/>
        </w:rPr>
      </w:pPr>
      <w:r>
        <w:rPr>
          <w:rFonts w:hint="eastAsia"/>
          <w:szCs w:val="24"/>
          <w:lang w:val="zh-CN"/>
        </w:rPr>
        <w:t>强制采购和优先采购：节能环保产品应按照《关于调整优化节能产品、环境标志产品政府采购执行机制的通知》（财库〔2019〕9号）、《关于印发环境标志产品政府采购品目清单的通知》（财库〔2019〕18号）和《关于印发节能产品政府采购品目清单的通知》（财库〔2019〕19号）规定执行强制和优先采购；信息安全产品应按照国家质检总局、认监委《关于部分信息安全产品实施强制性认证的公告》（2008年第7号）和《关于信息安全产品实施政府采购的通知》（财库〔2010〕48号）规定对强制性认证产品实施强制采购。项目若涉及采购节能环保产品、信息安全产品的，具体要求详见“第三章 采购需求”和“第五章 评标办法”。</w:t>
      </w:r>
    </w:p>
    <w:p>
      <w:pPr>
        <w:numPr>
          <w:ilvl w:val="0"/>
          <w:numId w:val="39"/>
        </w:numPr>
        <w:tabs>
          <w:tab w:val="left" w:pos="616"/>
        </w:tabs>
        <w:wordWrap w:val="0"/>
        <w:adjustRightInd w:val="0"/>
        <w:snapToGrid w:val="0"/>
        <w:spacing w:line="360" w:lineRule="auto"/>
        <w:ind w:left="420" w:leftChars="0" w:hanging="420" w:firstLineChars="0"/>
        <w:rPr>
          <w:strike/>
          <w:szCs w:val="24"/>
          <w:lang w:val="zh-CN"/>
        </w:rPr>
      </w:pPr>
      <w:r>
        <w:rPr>
          <w:rFonts w:hint="eastAsia"/>
          <w:szCs w:val="24"/>
          <w:lang w:val="zh-CN"/>
        </w:rPr>
        <w:t>支持国产和进口产品审批：政府采购应当采购本国产品，确需采购进口产品的，采购人应按《关于政府采购进口产品管理有关问题的通知》（财办库〔</w:t>
      </w:r>
      <w:r>
        <w:rPr>
          <w:szCs w:val="24"/>
          <w:lang w:val="zh-CN"/>
        </w:rPr>
        <w:t>2008〕</w:t>
      </w:r>
      <w:r>
        <w:rPr>
          <w:rFonts w:hint="eastAsia"/>
          <w:szCs w:val="24"/>
          <w:lang w:val="zh-CN"/>
        </w:rPr>
        <w:t>248号）规定执行（进口产品审批制）。项目若涉及采购进口产品的，具体要求详见“第三章 采购需求”。</w:t>
      </w:r>
    </w:p>
    <w:p>
      <w:pPr>
        <w:numPr>
          <w:ilvl w:val="0"/>
          <w:numId w:val="39"/>
        </w:numPr>
        <w:tabs>
          <w:tab w:val="left" w:pos="616"/>
        </w:tabs>
        <w:wordWrap w:val="0"/>
        <w:adjustRightInd w:val="0"/>
        <w:snapToGrid w:val="0"/>
        <w:spacing w:line="360" w:lineRule="auto"/>
        <w:ind w:left="420" w:leftChars="0" w:hanging="420" w:firstLineChars="0"/>
        <w:rPr>
          <w:strike/>
          <w:szCs w:val="24"/>
          <w:lang w:val="zh-CN"/>
        </w:rPr>
      </w:pPr>
      <w:r>
        <w:rPr>
          <w:rFonts w:hint="eastAsia"/>
          <w:szCs w:val="24"/>
          <w:lang w:val="zh-CN"/>
        </w:rPr>
        <w:t>预留采购份额及价格评审优惠：采购人应按《政府采购促进中小企业发展管理办法》（财库〔</w:t>
      </w:r>
      <w:r>
        <w:rPr>
          <w:szCs w:val="24"/>
          <w:lang w:val="zh-CN"/>
        </w:rPr>
        <w:t>2020〕</w:t>
      </w:r>
      <w:r>
        <w:rPr>
          <w:rFonts w:hint="eastAsia"/>
          <w:szCs w:val="24"/>
          <w:lang w:val="zh-CN"/>
        </w:rPr>
        <w:t>46号）、《关于进一步加大政府采购支持中小企业力度的通知》（财库〔2022〕19号）、</w:t>
      </w:r>
      <w:r>
        <w:rPr>
          <w:rFonts w:hint="eastAsia"/>
          <w:lang w:val="zh-CN"/>
        </w:rPr>
        <w:t>《湖北省人民政府办公厅关于印发持续深化一流营商环境建设若干措施的通知》</w:t>
      </w:r>
      <w:r>
        <w:rPr>
          <w:rFonts w:hint="eastAsia"/>
          <w:szCs w:val="24"/>
          <w:lang w:val="zh-CN"/>
        </w:rPr>
        <w:t>（鄂政办发〔</w:t>
      </w:r>
      <w:r>
        <w:rPr>
          <w:szCs w:val="24"/>
          <w:lang w:val="zh-CN"/>
        </w:rPr>
        <w:t>2022〕</w:t>
      </w:r>
      <w:r>
        <w:rPr>
          <w:rFonts w:hint="eastAsia"/>
          <w:szCs w:val="24"/>
          <w:lang w:val="zh-CN"/>
        </w:rPr>
        <w:t>2号）和《关于落实稳住经济一揽子政策进一步加大政府采购支持中小企业力度的通知》（鄂财采发〔</w:t>
      </w:r>
      <w:r>
        <w:rPr>
          <w:szCs w:val="24"/>
          <w:lang w:val="zh-CN"/>
        </w:rPr>
        <w:t>2022〕</w:t>
      </w:r>
      <w:r>
        <w:rPr>
          <w:rFonts w:hint="eastAsia"/>
          <w:szCs w:val="24"/>
          <w:lang w:val="zh-CN"/>
        </w:rPr>
        <w:t>5号）的规定，面向中小企业预留采购份额，对符合政策要求的企业进行价格评审优惠。项目若涉及预留采购份额的，具体要求详见“第一章 投标邀请”和“第三章 采购需求”；项目若涉及价格扣除的，具体要求详见“第五章 评标</w:t>
      </w:r>
      <w:r>
        <w:rPr>
          <w:szCs w:val="24"/>
          <w:lang w:val="zh-CN"/>
        </w:rPr>
        <w:t>办法</w:t>
      </w:r>
      <w:r>
        <w:rPr>
          <w:rFonts w:hint="eastAsia"/>
          <w:szCs w:val="24"/>
          <w:lang w:val="zh-CN"/>
        </w:rPr>
        <w:t>”。</w:t>
      </w:r>
    </w:p>
    <w:p>
      <w:pPr>
        <w:pStyle w:val="3"/>
        <w:numPr>
          <w:ilvl w:val="0"/>
          <w:numId w:val="7"/>
        </w:numPr>
        <w:adjustRightInd w:val="0"/>
        <w:snapToGrid w:val="0"/>
        <w:spacing w:before="218" w:beforeLines="70" w:after="0" w:line="360" w:lineRule="auto"/>
        <w:ind w:left="658" w:hanging="658"/>
        <w:jc w:val="center"/>
        <w:rPr>
          <w:rFonts w:ascii="宋体" w:hAnsi="宋体" w:eastAsia="宋体" w:cs="Times New Roman"/>
          <w:bCs w:val="0"/>
          <w:sz w:val="28"/>
          <w:szCs w:val="28"/>
          <w:lang w:val="zh-CN"/>
        </w:rPr>
      </w:pPr>
      <w:bookmarkStart w:id="327" w:name="_Toc24158"/>
      <w:bookmarkStart w:id="328" w:name="_Toc117244472"/>
      <w:bookmarkStart w:id="329" w:name="_Toc117244357"/>
      <w:bookmarkStart w:id="330" w:name="_Toc8457"/>
      <w:r>
        <w:rPr>
          <w:rFonts w:hint="eastAsia" w:ascii="宋体" w:hAnsi="宋体" w:eastAsia="宋体" w:cs="Times New Roman"/>
          <w:bCs w:val="0"/>
          <w:sz w:val="28"/>
          <w:szCs w:val="28"/>
          <w:lang w:val="zh-CN"/>
        </w:rPr>
        <w:t>其  它</w:t>
      </w:r>
      <w:bookmarkEnd w:id="327"/>
      <w:bookmarkEnd w:id="328"/>
      <w:bookmarkEnd w:id="329"/>
      <w:bookmarkEnd w:id="330"/>
    </w:p>
    <w:p>
      <w:pPr>
        <w:pStyle w:val="54"/>
        <w:numPr>
          <w:ilvl w:val="0"/>
          <w:numId w:val="8"/>
        </w:numPr>
        <w:spacing w:line="360" w:lineRule="auto"/>
        <w:ind w:left="284" w:hanging="284" w:firstLineChars="0"/>
        <w:rPr>
          <w:b/>
          <w:szCs w:val="24"/>
          <w:lang w:val="zh-CN"/>
        </w:rPr>
      </w:pPr>
      <w:bookmarkStart w:id="331" w:name="_Toc102056182"/>
      <w:bookmarkStart w:id="332" w:name="_Toc102115985"/>
      <w:bookmarkStart w:id="333" w:name="_Toc102057682"/>
      <w:bookmarkStart w:id="334" w:name="_Toc102116115"/>
      <w:bookmarkStart w:id="335" w:name="_Toc102119816"/>
      <w:bookmarkStart w:id="336" w:name="_Toc102114883"/>
      <w:r>
        <w:rPr>
          <w:rFonts w:hint="eastAsia"/>
          <w:b/>
          <w:szCs w:val="24"/>
          <w:lang w:val="zh-CN"/>
        </w:rPr>
        <w:t>重大违法记录</w:t>
      </w:r>
      <w:bookmarkEnd w:id="331"/>
      <w:bookmarkEnd w:id="332"/>
      <w:bookmarkEnd w:id="333"/>
      <w:bookmarkEnd w:id="334"/>
      <w:bookmarkEnd w:id="335"/>
      <w:bookmarkEnd w:id="336"/>
    </w:p>
    <w:p>
      <w:pPr>
        <w:numPr>
          <w:ilvl w:val="0"/>
          <w:numId w:val="40"/>
        </w:numPr>
        <w:tabs>
          <w:tab w:val="left" w:pos="616"/>
        </w:tabs>
        <w:wordWrap w:val="0"/>
        <w:adjustRightInd w:val="0"/>
        <w:snapToGrid w:val="0"/>
        <w:spacing w:line="360" w:lineRule="auto"/>
        <w:ind w:left="420" w:leftChars="0" w:hanging="420" w:firstLineChars="0"/>
        <w:rPr>
          <w:lang w:val="zh-CN"/>
        </w:rPr>
      </w:pPr>
      <w:r>
        <w:rPr>
          <w:rFonts w:hint="eastAsia"/>
          <w:szCs w:val="24"/>
          <w:lang w:val="zh-CN"/>
        </w:rPr>
        <w:t>《政府采购法》第二十二条第一款第五项所称重大违法记录，是指投标人因违法经营受到刑事处罚或者责令停产停业、吊销许可证或者执照、较大数额罚款等行政处罚。</w:t>
      </w:r>
    </w:p>
    <w:p>
      <w:pPr>
        <w:numPr>
          <w:ilvl w:val="0"/>
          <w:numId w:val="40"/>
        </w:numPr>
        <w:tabs>
          <w:tab w:val="left" w:pos="616"/>
        </w:tabs>
        <w:wordWrap w:val="0"/>
        <w:adjustRightInd w:val="0"/>
        <w:snapToGrid w:val="0"/>
        <w:spacing w:line="360" w:lineRule="auto"/>
        <w:ind w:left="420" w:leftChars="0" w:hanging="420" w:firstLineChars="0"/>
        <w:rPr>
          <w:szCs w:val="24"/>
        </w:rPr>
      </w:pPr>
      <w:r>
        <w:rPr>
          <w:rFonts w:hint="eastAsia"/>
          <w:szCs w:val="24"/>
        </w:rPr>
        <w:t>较大</w:t>
      </w:r>
      <w:r>
        <w:rPr>
          <w:rFonts w:hint="eastAsia"/>
          <w:lang w:val="zh-CN"/>
        </w:rPr>
        <w:t>数额</w:t>
      </w:r>
      <w:r>
        <w:rPr>
          <w:rFonts w:hint="eastAsia"/>
          <w:szCs w:val="24"/>
        </w:rPr>
        <w:t>罚款的认定：根据《财政部关于&lt;条例&gt;第十九条第一款“较大数额罚款”具体适用问题的意见》财库〔2022〕3号）规定，“较大数额罚款”认定为200万元以上的罚款，法律、行政法规以及国务院有关部门明确规定相关领域“较大数额罚款”标准高于200万元的，从其规定。</w:t>
      </w:r>
    </w:p>
    <w:p>
      <w:pPr>
        <w:numPr>
          <w:ilvl w:val="0"/>
          <w:numId w:val="40"/>
        </w:numPr>
        <w:tabs>
          <w:tab w:val="left" w:pos="616"/>
        </w:tabs>
        <w:wordWrap w:val="0"/>
        <w:adjustRightInd w:val="0"/>
        <w:snapToGrid w:val="0"/>
        <w:spacing w:line="360" w:lineRule="auto"/>
        <w:ind w:left="420" w:leftChars="0" w:hanging="420" w:firstLineChars="0"/>
        <w:rPr>
          <w:lang w:val="zh-CN"/>
        </w:rPr>
      </w:pPr>
      <w:r>
        <w:rPr>
          <w:rFonts w:hint="eastAsia"/>
          <w:szCs w:val="24"/>
        </w:rPr>
        <w:t>按照财政部《关于规范政府采购行政处罚有关问题的通知》的规定，</w:t>
      </w:r>
      <w:r>
        <w:rPr>
          <w:szCs w:val="24"/>
        </w:rPr>
        <w:t>各级人民政府财政部门依法对参加政府采购活动的</w:t>
      </w:r>
      <w:r>
        <w:rPr>
          <w:rFonts w:hint="eastAsia"/>
          <w:szCs w:val="24"/>
        </w:rPr>
        <w:t>投标人做</w:t>
      </w:r>
      <w:r>
        <w:rPr>
          <w:szCs w:val="24"/>
        </w:rPr>
        <w:t>出的禁止</w:t>
      </w:r>
      <w:r>
        <w:rPr>
          <w:rFonts w:hint="eastAsia"/>
          <w:szCs w:val="24"/>
        </w:rPr>
        <w:t>在一定期限内</w:t>
      </w:r>
      <w:r>
        <w:rPr>
          <w:szCs w:val="24"/>
        </w:rPr>
        <w:t>参加政府采购活动等行政处罚决定在</w:t>
      </w:r>
      <w:r>
        <w:rPr>
          <w:lang w:val="zh-CN"/>
        </w:rPr>
        <w:t>全国</w:t>
      </w:r>
      <w:r>
        <w:rPr>
          <w:szCs w:val="24"/>
        </w:rPr>
        <w:t>范围内生效</w:t>
      </w:r>
      <w:r>
        <w:rPr>
          <w:rFonts w:hint="eastAsia"/>
          <w:szCs w:val="24"/>
        </w:rPr>
        <w:t>。</w:t>
      </w:r>
    </w:p>
    <w:p>
      <w:pPr>
        <w:numPr>
          <w:ilvl w:val="0"/>
          <w:numId w:val="40"/>
        </w:numPr>
        <w:tabs>
          <w:tab w:val="left" w:pos="616"/>
        </w:tabs>
        <w:wordWrap w:val="0"/>
        <w:adjustRightInd w:val="0"/>
        <w:snapToGrid w:val="0"/>
        <w:spacing w:line="360" w:lineRule="auto"/>
        <w:ind w:left="420" w:leftChars="0" w:hanging="420" w:firstLineChars="0"/>
        <w:rPr>
          <w:lang w:val="zh-CN"/>
        </w:rPr>
      </w:pPr>
      <w:r>
        <w:rPr>
          <w:rFonts w:hint="eastAsia"/>
          <w:szCs w:val="24"/>
        </w:rPr>
        <w:t>投标人在参加政府采购活动前3年内因违法经营被禁止在一定期限内参加政府采购活动，期限届满的，可以参加政府采购活动。</w:t>
      </w:r>
    </w:p>
    <w:p>
      <w:pPr>
        <w:pStyle w:val="54"/>
        <w:numPr>
          <w:ilvl w:val="0"/>
          <w:numId w:val="8"/>
        </w:numPr>
        <w:spacing w:line="360" w:lineRule="auto"/>
        <w:ind w:left="284" w:hanging="284" w:firstLineChars="0"/>
        <w:rPr>
          <w:b/>
          <w:szCs w:val="24"/>
          <w:lang w:val="zh-CN"/>
        </w:rPr>
      </w:pPr>
      <w:r>
        <w:rPr>
          <w:rFonts w:hint="eastAsia"/>
          <w:b/>
          <w:szCs w:val="24"/>
          <w:lang w:val="zh-CN"/>
        </w:rPr>
        <w:t>适用法律</w:t>
      </w:r>
    </w:p>
    <w:p>
      <w:pPr>
        <w:pStyle w:val="54"/>
        <w:numPr>
          <w:ilvl w:val="0"/>
          <w:numId w:val="41"/>
        </w:numPr>
        <w:tabs>
          <w:tab w:val="left" w:pos="567"/>
        </w:tabs>
        <w:wordWrap w:val="0"/>
        <w:spacing w:line="360" w:lineRule="auto"/>
        <w:ind w:left="567" w:right="-120" w:rightChars="-50" w:hanging="567" w:firstLineChars="0"/>
        <w:rPr>
          <w:szCs w:val="24"/>
          <w:lang w:val="zh-CN"/>
        </w:rPr>
      </w:pPr>
      <w:r>
        <w:rPr>
          <w:rFonts w:hint="eastAsia"/>
          <w:szCs w:val="24"/>
        </w:rPr>
        <w:t>本项目招标</w:t>
      </w:r>
      <w:r>
        <w:rPr>
          <w:rFonts w:hint="eastAsia" w:cs="Helvetica"/>
          <w:szCs w:val="24"/>
          <w:lang w:val="zh-CN"/>
        </w:rPr>
        <w:t>投标</w:t>
      </w:r>
      <w:r>
        <w:rPr>
          <w:rFonts w:hint="eastAsia"/>
          <w:szCs w:val="24"/>
          <w:lang w:val="zh-CN"/>
        </w:rPr>
        <w:t>活动适用《中华人民共和国政府采购法》、《中华人民共和国政府采购法实施条例》、《政府采购货物和服务招标投标管理办法》及相关法律法规。</w:t>
      </w:r>
    </w:p>
    <w:p>
      <w:pPr>
        <w:pStyle w:val="54"/>
        <w:numPr>
          <w:ilvl w:val="0"/>
          <w:numId w:val="41"/>
        </w:numPr>
        <w:tabs>
          <w:tab w:val="left" w:pos="567"/>
        </w:tabs>
        <w:wordWrap w:val="0"/>
        <w:spacing w:line="360" w:lineRule="auto"/>
        <w:ind w:left="567" w:right="-120" w:rightChars="-50" w:hanging="567" w:firstLineChars="0"/>
        <w:rPr>
          <w:lang w:val="zh-CN"/>
        </w:rPr>
      </w:pPr>
      <w:r>
        <w:rPr>
          <w:rFonts w:hint="eastAsia" w:cs="Helvetica"/>
          <w:szCs w:val="24"/>
          <w:lang w:val="zh-CN"/>
        </w:rPr>
        <w:t>政府</w:t>
      </w:r>
      <w:r>
        <w:rPr>
          <w:rFonts w:hint="eastAsia"/>
          <w:szCs w:val="24"/>
        </w:rPr>
        <w:t>采购</w:t>
      </w:r>
      <w:r>
        <w:rPr>
          <w:rFonts w:hint="eastAsia" w:cs="Helvetica"/>
          <w:szCs w:val="24"/>
          <w:lang w:val="zh-CN"/>
        </w:rPr>
        <w:t>合同的履行、违约责任和解决争议的方法等适用《中华人民共和国民法典》。</w:t>
      </w:r>
    </w:p>
    <w:p>
      <w:pPr>
        <w:pStyle w:val="54"/>
        <w:numPr>
          <w:ilvl w:val="0"/>
          <w:numId w:val="8"/>
        </w:numPr>
        <w:spacing w:line="360" w:lineRule="auto"/>
        <w:ind w:left="284" w:hanging="284" w:firstLineChars="0"/>
        <w:rPr>
          <w:b/>
          <w:szCs w:val="24"/>
          <w:lang w:val="zh-CN"/>
        </w:rPr>
      </w:pPr>
      <w:r>
        <w:rPr>
          <w:rFonts w:hint="eastAsia"/>
          <w:b/>
          <w:szCs w:val="24"/>
          <w:lang w:val="zh-CN"/>
        </w:rPr>
        <w:t>解释权</w:t>
      </w:r>
    </w:p>
    <w:p>
      <w:pPr>
        <w:pStyle w:val="11"/>
        <w:spacing w:line="360" w:lineRule="auto"/>
        <w:ind w:firstLine="480" w:firstLineChars="200"/>
        <w:rPr>
          <w:lang w:val="zh-CN"/>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lang w:val="zh-CN"/>
        </w:rPr>
        <w:t>招标文件解释权归采购代理机构和采购人所有。</w:t>
      </w:r>
    </w:p>
    <w:p>
      <w:pPr>
        <w:pStyle w:val="2"/>
        <w:numPr>
          <w:ilvl w:val="0"/>
          <w:numId w:val="1"/>
        </w:numPr>
        <w:tabs>
          <w:tab w:val="left" w:pos="1276"/>
        </w:tabs>
        <w:wordWrap w:val="0"/>
        <w:spacing w:before="120" w:after="120" w:line="360" w:lineRule="auto"/>
        <w:ind w:left="723" w:hanging="723" w:hangingChars="200"/>
        <w:jc w:val="center"/>
        <w:rPr>
          <w:rFonts w:hint="eastAsia"/>
          <w:lang w:val="zh-CN"/>
        </w:rPr>
      </w:pPr>
      <w:bookmarkStart w:id="337" w:name="_Toc117244366"/>
      <w:bookmarkStart w:id="338" w:name="_Toc117244481"/>
      <w:bookmarkStart w:id="339" w:name="_Toc5072"/>
      <w:bookmarkStart w:id="340" w:name="_Toc102119871"/>
      <w:bookmarkStart w:id="341" w:name="_Toc102056236"/>
      <w:bookmarkStart w:id="342" w:name="_Toc117244358"/>
      <w:bookmarkStart w:id="343" w:name="_Toc117244473"/>
      <w:bookmarkStart w:id="344" w:name="_Toc102114938"/>
      <w:bookmarkStart w:id="345" w:name="_Toc102116040"/>
      <w:bookmarkStart w:id="346" w:name="_Toc102057736"/>
      <w:bookmarkStart w:id="347" w:name="_Toc102116170"/>
      <w:r>
        <w:rPr>
          <w:rFonts w:hint="eastAsia"/>
          <w:sz w:val="36"/>
          <w:szCs w:val="36"/>
        </w:rPr>
        <w:t>采购需求</w:t>
      </w:r>
      <w:bookmarkEnd w:id="337"/>
      <w:bookmarkEnd w:id="338"/>
      <w:bookmarkEnd w:id="339"/>
      <w:bookmarkStart w:id="348" w:name="_Toc339378679"/>
      <w:bookmarkStart w:id="349" w:name="_Toc494561953"/>
      <w:bookmarkStart w:id="350" w:name="_Toc338065593"/>
      <w:bookmarkStart w:id="351" w:name="_Toc511894509"/>
      <w:bookmarkStart w:id="352" w:name="_Toc511889431"/>
      <w:bookmarkStart w:id="353" w:name="_Toc511894508"/>
      <w:bookmarkStart w:id="354" w:name="_Toc494561952"/>
      <w:bookmarkStart w:id="355" w:name="_Toc511889430"/>
    </w:p>
    <w:p>
      <w:pPr>
        <w:pStyle w:val="52"/>
        <w:rPr>
          <w:rFonts w:ascii="Times New Roman" w:hAnsi="Times New Roman"/>
          <w:b/>
          <w:bCs w:val="0"/>
          <w:sz w:val="28"/>
          <w:szCs w:val="32"/>
        </w:rPr>
      </w:pPr>
      <w:r>
        <w:rPr>
          <w:rFonts w:ascii="Times New Roman" w:hAnsi="Times New Roman"/>
          <w:b/>
          <w:bCs w:val="0"/>
          <w:sz w:val="28"/>
          <w:szCs w:val="28"/>
        </w:rPr>
        <w:t>一、项目</w:t>
      </w:r>
      <w:r>
        <w:rPr>
          <w:rFonts w:ascii="Times New Roman" w:hAnsi="Times New Roman"/>
          <w:b/>
          <w:bCs w:val="0"/>
          <w:sz w:val="28"/>
          <w:szCs w:val="32"/>
        </w:rPr>
        <w:t>概况</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rPr>
        <w:t>我国提出</w:t>
      </w:r>
      <w:r>
        <w:rPr>
          <w:sz w:val="24"/>
          <w:szCs w:val="24"/>
        </w:rPr>
        <w:t>“二氧化碳排放力争于2030年前达到峰值，努力争取2060年前实现碳中和”</w:t>
      </w:r>
      <w:r>
        <w:rPr>
          <w:rFonts w:hint="eastAsia"/>
          <w:sz w:val="24"/>
          <w:szCs w:val="24"/>
        </w:rPr>
        <w:t>的目标，是</w:t>
      </w:r>
      <w:r>
        <w:rPr>
          <w:sz w:val="24"/>
          <w:szCs w:val="24"/>
        </w:rPr>
        <w:t>促进经济高质量发展的重大战略，也是推进经济社会全面绿色转型的重大机遇。实现碳中和，既要考虑减少碳排放，</w:t>
      </w:r>
      <w:r>
        <w:rPr>
          <w:rFonts w:hint="eastAsia"/>
          <w:sz w:val="24"/>
          <w:szCs w:val="24"/>
        </w:rPr>
        <w:t>也要考虑增加碳储量</w:t>
      </w:r>
      <w:r>
        <w:rPr>
          <w:sz w:val="24"/>
          <w:szCs w:val="24"/>
        </w:rPr>
        <w:t>，尤其是“增加生态系统碳汇增量”。</w:t>
      </w:r>
      <w:r>
        <w:rPr>
          <w:rFonts w:hint="eastAsia"/>
          <w:sz w:val="24"/>
          <w:szCs w:val="24"/>
        </w:rPr>
        <w:t>同时，党中央、国务院提出科学开展国土绿化决策部署，深入推进大规模国土绿化行动，提升生态系统尤其是林草碳汇能力，增强我国森林生态系统应对气候变化的能力，以实现碳中和目标。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黄冈市所辖区域具有多种多样的森林类型，也是第一批国家重点生态功能区，森林生态环境与长江中游地区湿地生态环境保护密切相关，是河流和湖泊</w:t>
      </w:r>
      <w:r>
        <w:rPr>
          <w:rFonts w:hint="eastAsia"/>
          <w:sz w:val="24"/>
          <w:szCs w:val="24"/>
        </w:rPr>
        <w:t>等湿地水体</w:t>
      </w:r>
      <w:r>
        <w:rPr>
          <w:sz w:val="24"/>
          <w:szCs w:val="24"/>
        </w:rPr>
        <w:t>水质安全的天然绿色屏障</w:t>
      </w:r>
      <w:r>
        <w:rPr>
          <w:rFonts w:hint="eastAsia"/>
          <w:sz w:val="24"/>
          <w:szCs w:val="24"/>
        </w:rPr>
        <w:t>。森林生态环境的改善</w:t>
      </w:r>
      <w:r>
        <w:rPr>
          <w:sz w:val="24"/>
          <w:szCs w:val="24"/>
        </w:rPr>
        <w:t>将促进长江流域绿色高质量发展。在国家倡导生态文明、“共同构建人与自然生命共同体”的发展理念下，本项目以《全国重要生态系统保护和修复重大工程总体规划（2021-2035年）》和《关于科学绿化的指导意见》为依据，以提高森林质量、推动国土绿化、发挥森林功能为目标，通过构建黄冈市森林碳储量评估与预测方法体系，分析黄冈市森林在不同林业活动路径下的森林碳汇现状与潜力，提出黄冈市森林增汇减排的发展路径和措施，评估黄冈市森林碳汇能力和应对气候变化功能，为有条件的地区率先实现</w:t>
      </w:r>
      <w:r>
        <w:rPr>
          <w:rFonts w:hint="eastAsia"/>
          <w:sz w:val="24"/>
          <w:szCs w:val="24"/>
        </w:rPr>
        <w:t>碳中和</w:t>
      </w:r>
      <w:r>
        <w:rPr>
          <w:sz w:val="24"/>
          <w:szCs w:val="24"/>
        </w:rPr>
        <w:t>提供实施方案与决策参考。主要开展以下4方面的研究工作：（1）黄冈市森林</w:t>
      </w:r>
      <w:r>
        <w:rPr>
          <w:rFonts w:hint="eastAsia"/>
          <w:sz w:val="24"/>
          <w:szCs w:val="24"/>
        </w:rPr>
        <w:t>碳源/</w:t>
      </w:r>
      <w:r>
        <w:rPr>
          <w:sz w:val="24"/>
          <w:szCs w:val="24"/>
        </w:rPr>
        <w:t>碳汇历史与未来变化趋势及其发展路径；（2）流域尺度土地利用变化和综合管理对碳汇功能的影响；（3）国土绿化项目碳汇功能监测体系构建；（4）CCER造林碳汇项目方法学的应用与示范。</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b/>
          <w:bCs/>
          <w:sz w:val="28"/>
          <w:szCs w:val="28"/>
        </w:rPr>
      </w:pPr>
      <w:r>
        <w:rPr>
          <w:b/>
          <w:bCs/>
          <w:sz w:val="28"/>
          <w:szCs w:val="28"/>
        </w:rPr>
        <w:t xml:space="preserve">二、技术要求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 w:val="0"/>
          <w:bCs w:val="0"/>
          <w:sz w:val="24"/>
          <w:szCs w:val="24"/>
        </w:rPr>
      </w:pPr>
      <w:r>
        <w:rPr>
          <w:b w:val="0"/>
          <w:bCs w:val="0"/>
          <w:sz w:val="24"/>
          <w:szCs w:val="24"/>
        </w:rPr>
        <w:t>（一）本项目工作主要内容：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1、主要任务</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以黄冈市森林生态系统为研究对象，基于森林连续清查数据、遥感数据等，结合土地利用变化、综合经营管理、林业活动等情景，通过构建森林碳储量评估与预测方法体系，分析黄冈市森林在不同林业活动路径下的森林碳汇现状与潜力，提出黄冈市森林增汇减排的发展路径和措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rFonts w:hint="eastAsia"/>
          <w:sz w:val="24"/>
          <w:szCs w:val="24"/>
          <w:lang w:val="en-US" w:eastAsia="zh-CN"/>
        </w:rPr>
        <w:t>2、</w:t>
      </w:r>
      <w:r>
        <w:rPr>
          <w:sz w:val="24"/>
          <w:szCs w:val="24"/>
        </w:rPr>
        <w:t>工作内容</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（1）黄冈市森林碳源/碳汇历史与未来变化趋势及其发展路径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基于森林连续清查数据分析森林碳源/碳汇的历史与未来演变趋势，量化造林再造林、人工林经营、森林恢复等不同林业活动路径下森林碳汇对抵消CO2排放的贡献并制定未来黄冈市森林增汇减排发展路径。</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（2）流域尺度土地利用变化和综合管理对碳汇功能的影响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依托黄冈市巴水和浠水流域国土绿化项目，通过遥感和实地调查等技术和数据处理，分析土地利用类型变化情况，量化不同生态系统碳储量，确定土地利用变化和生态系统综合管理对两个流域生态系统碳储量的影响。</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（3）国土绿化项目碳汇功能监测体系构建</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集成航天卫星遥感、无人机遥感、雷达、森林资源调查等技术与数据处理，构建多元协同与实时分析的森林资源状态、森林生物量和森林碳储量智慧化监测与评估体系。</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（4）CCER造林碳汇项目方法学的应用与示范</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以发布的CCER造林碳汇项目方法学为依托，利用智慧化监测与评估技术体系，以碳汇试点和典型经营单位为试点，开展CCER造林碳汇项目方法学应用与示范，并同步开展造林碳汇计量监测。</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 w:val="0"/>
          <w:bCs w:val="0"/>
          <w:sz w:val="24"/>
          <w:szCs w:val="24"/>
        </w:rPr>
      </w:pPr>
      <w:r>
        <w:rPr>
          <w:rFonts w:hint="eastAsia"/>
          <w:b w:val="0"/>
          <w:bCs w:val="0"/>
          <w:sz w:val="24"/>
          <w:szCs w:val="24"/>
          <w:lang w:val="en-US" w:eastAsia="zh-CN"/>
        </w:rPr>
        <w:t>（二）、</w:t>
      </w:r>
      <w:r>
        <w:rPr>
          <w:b w:val="0"/>
          <w:bCs w:val="0"/>
          <w:sz w:val="24"/>
          <w:szCs w:val="24"/>
        </w:rPr>
        <w:t>工作形式</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数据收集、野外调查、遥感解译、模型模拟等多元手段结合。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 w:val="0"/>
          <w:bCs w:val="0"/>
          <w:sz w:val="24"/>
          <w:szCs w:val="24"/>
        </w:rPr>
      </w:pPr>
      <w:r>
        <w:rPr>
          <w:b w:val="0"/>
          <w:bCs w:val="0"/>
          <w:sz w:val="24"/>
          <w:szCs w:val="24"/>
        </w:rPr>
        <w:t>（三）工作程序要求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（1）根据项目任务的轻重缓急，合理提出每个具体任务的分年实施方案。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（2）填写《国土绿化试点示范项目建设任务实施计划表》。</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 w:val="0"/>
          <w:bCs w:val="0"/>
          <w:sz w:val="24"/>
          <w:szCs w:val="24"/>
        </w:rPr>
      </w:pPr>
      <w:r>
        <w:rPr>
          <w:b w:val="0"/>
          <w:bCs w:val="0"/>
          <w:sz w:val="24"/>
          <w:szCs w:val="24"/>
        </w:rPr>
        <w:t>（四）工作成果要求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1、内容要求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（1）基于国土绿化项目的森林碳汇成效评估体系与监测技术1套；</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（2）《黄冈市森林碳汇成效监测报告》1份。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2、格式要求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（1）最终交付的各阶段成果报告以电子版word及纸质版报告的形式提供；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（2）其他关键节点报告、汇报等可以通过word、PPT等形式提供。</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default" w:eastAsia="宋体"/>
          <w:sz w:val="24"/>
          <w:szCs w:val="24"/>
          <w:lang w:val="en-US" w:eastAsia="zh-CN"/>
        </w:rPr>
      </w:pPr>
      <w:r>
        <w:rPr>
          <w:sz w:val="24"/>
          <w:szCs w:val="24"/>
        </w:rPr>
        <w:t>3、时间要求</w:t>
      </w:r>
      <w:r>
        <w:rPr>
          <w:rFonts w:hint="eastAsia"/>
          <w:sz w:val="24"/>
          <w:szCs w:val="24"/>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color w:val="auto"/>
          <w:sz w:val="24"/>
          <w:szCs w:val="24"/>
          <w:highlight w:val="none"/>
        </w:rPr>
      </w:pPr>
      <w:r>
        <w:rPr>
          <w:color w:val="auto"/>
          <w:sz w:val="24"/>
          <w:szCs w:val="24"/>
        </w:rPr>
        <w:t>（1</w:t>
      </w:r>
      <w:r>
        <w:rPr>
          <w:color w:val="auto"/>
          <w:sz w:val="24"/>
          <w:szCs w:val="24"/>
          <w:highlight w:val="none"/>
        </w:rPr>
        <w:t>）合同签署日起</w:t>
      </w:r>
      <w:r>
        <w:rPr>
          <w:rFonts w:hint="eastAsia"/>
          <w:color w:val="auto"/>
          <w:sz w:val="24"/>
          <w:szCs w:val="24"/>
          <w:highlight w:val="none"/>
          <w:lang w:val="en-US" w:eastAsia="zh-CN"/>
        </w:rPr>
        <w:t>4</w:t>
      </w:r>
      <w:r>
        <w:rPr>
          <w:color w:val="auto"/>
          <w:sz w:val="24"/>
          <w:szCs w:val="24"/>
          <w:highlight w:val="none"/>
        </w:rPr>
        <w:t>个月内，提交《森林碳汇成效评估体系与监测技术》</w:t>
      </w:r>
      <w:r>
        <w:rPr>
          <w:rFonts w:hint="eastAsia"/>
          <w:color w:val="auto"/>
          <w:sz w:val="24"/>
          <w:szCs w:val="24"/>
          <w:highlight w:val="none"/>
        </w:rPr>
        <w:t>终稿</w:t>
      </w:r>
      <w:r>
        <w:rPr>
          <w:color w:val="auto"/>
          <w:sz w:val="24"/>
          <w:szCs w:val="24"/>
          <w:highlight w:val="none"/>
        </w:rPr>
        <w:t>；</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color w:val="auto"/>
          <w:sz w:val="24"/>
          <w:szCs w:val="24"/>
          <w:highlight w:val="none"/>
        </w:rPr>
        <w:t>（2）合同签署日起</w:t>
      </w:r>
      <w:r>
        <w:rPr>
          <w:rFonts w:hint="eastAsia"/>
          <w:color w:val="auto"/>
          <w:sz w:val="24"/>
          <w:szCs w:val="24"/>
          <w:highlight w:val="none"/>
          <w:lang w:val="en-US" w:eastAsia="zh-CN"/>
        </w:rPr>
        <w:t>24</w:t>
      </w:r>
      <w:r>
        <w:rPr>
          <w:color w:val="auto"/>
          <w:sz w:val="24"/>
          <w:szCs w:val="24"/>
          <w:highlight w:val="none"/>
        </w:rPr>
        <w:t>个月内，</w:t>
      </w:r>
      <w:r>
        <w:rPr>
          <w:sz w:val="24"/>
          <w:szCs w:val="24"/>
        </w:rPr>
        <w:t>提交《黄冈市森林碳汇成效监测报告》</w:t>
      </w:r>
      <w:r>
        <w:rPr>
          <w:rFonts w:hint="eastAsia"/>
          <w:sz w:val="24"/>
          <w:szCs w:val="24"/>
        </w:rPr>
        <w:t>终稿</w:t>
      </w:r>
      <w:r>
        <w:rPr>
          <w:sz w:val="24"/>
          <w:szCs w:val="24"/>
        </w:rPr>
        <w:t>，召开专家评审会</w:t>
      </w:r>
      <w:r>
        <w:rPr>
          <w:rFonts w:hint="eastAsia"/>
          <w:sz w:val="24"/>
          <w:szCs w:val="24"/>
        </w:rPr>
        <w:t>并</w:t>
      </w:r>
      <w:r>
        <w:rPr>
          <w:sz w:val="24"/>
          <w:szCs w:val="24"/>
        </w:rPr>
        <w:t>获得审批通过。</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b w:val="0"/>
          <w:bCs w:val="0"/>
          <w:sz w:val="24"/>
          <w:szCs w:val="24"/>
        </w:rPr>
      </w:pPr>
      <w:r>
        <w:rPr>
          <w:b w:val="0"/>
          <w:bCs w:val="0"/>
          <w:sz w:val="24"/>
          <w:szCs w:val="24"/>
        </w:rPr>
        <w:t>（五）其他要求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1、重点难点问题分析及解决方案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功能、应用场景、目标：投标人应针对本项目实际情况并结合过往经验，指出项目实施过程中潜在的困难点、风险点，并能够给出妥善的解决方案。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2、森林碳汇成效监测评估方案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功能、应用场景、目标：详见本章技术要求。</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3、进度计划组织方案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功能、应用场景、目标：投标人应制定合理可行的进度计划组织方案，通过合理安排工作周期、合理划分阶段、提高工作效率等手段，确保项目能够按期完成。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4、人员保障方案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功能、应用场景、目标：投标人应制定合理可行的人员保障方案，通过合理安排人员组成、合理分工等手段，确保项目能够顺利实施。</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5、质量保证解决方案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功能、应用场景、目标：投标人应制定合理可行的质量保证解决方案，通过制度、辅助措施等手段，确保各项服务能够保质保量完成。</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sz w:val="24"/>
          <w:szCs w:val="24"/>
        </w:rPr>
      </w:pPr>
      <w:r>
        <w:rPr>
          <w:sz w:val="24"/>
          <w:szCs w:val="24"/>
        </w:rPr>
        <w:t>6、保密措施解决方案</w:t>
      </w:r>
    </w:p>
    <w:p>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ascii="Times New Roman" w:hAnsi="Times New Roman" w:cs="Times New Roman"/>
        </w:rPr>
      </w:pPr>
      <w:r>
        <w:rPr>
          <w:sz w:val="24"/>
          <w:szCs w:val="24"/>
        </w:rPr>
        <w:t>功能、应用场景、目标：投标人应制定保密措施解决方案，确保项目团队对项目执行中所获知信息保密。</w:t>
      </w:r>
    </w:p>
    <w:p>
      <w:pPr>
        <w:spacing w:line="360" w:lineRule="auto"/>
        <w:rPr>
          <w:rFonts w:ascii="Times New Roman" w:hAnsi="Times New Roman" w:cs="Times New Roman"/>
          <w:b/>
          <w:bCs/>
          <w:sz w:val="28"/>
          <w:szCs w:val="21"/>
        </w:rPr>
      </w:pPr>
      <w:r>
        <w:rPr>
          <w:rFonts w:ascii="Times New Roman" w:hAnsi="Times New Roman" w:cs="Times New Roman"/>
          <w:b/>
          <w:bCs/>
          <w:sz w:val="28"/>
          <w:szCs w:val="21"/>
        </w:rPr>
        <w:t>三、商务要求</w:t>
      </w:r>
    </w:p>
    <w:p>
      <w:pPr>
        <w:spacing w:line="360" w:lineRule="auto"/>
        <w:ind w:firstLine="480" w:firstLineChars="200"/>
        <w:rPr>
          <w:rFonts w:hint="eastAsia" w:ascii="Times New Roman" w:hAnsi="Times New Roman" w:cs="Times New Roman"/>
          <w:color w:val="auto"/>
          <w:sz w:val="24"/>
          <w:highlight w:val="none"/>
        </w:rPr>
      </w:pPr>
      <w:r>
        <w:rPr>
          <w:rFonts w:ascii="Times New Roman" w:hAnsi="Times New Roman" w:cs="Times New Roman"/>
          <w:color w:val="auto"/>
          <w:sz w:val="24"/>
          <w:highlight w:val="none"/>
        </w:rPr>
        <w:t>1、合同履行期限：合同签订后30天内完成方案编制、送审、答辩及配合后期项目申报等工作；合同签订后</w:t>
      </w:r>
      <w:r>
        <w:rPr>
          <w:rFonts w:hint="eastAsia" w:ascii="Times New Roman" w:hAnsi="Times New Roman" w:cs="Times New Roman"/>
          <w:color w:val="auto"/>
          <w:sz w:val="24"/>
          <w:highlight w:val="none"/>
          <w:lang w:val="en-US" w:eastAsia="zh-CN"/>
        </w:rPr>
        <w:t>24</w:t>
      </w:r>
      <w:r>
        <w:rPr>
          <w:rFonts w:ascii="Times New Roman" w:hAnsi="Times New Roman" w:cs="Times New Roman"/>
          <w:color w:val="auto"/>
          <w:sz w:val="24"/>
          <w:highlight w:val="none"/>
        </w:rPr>
        <w:t>个月完成项目</w:t>
      </w:r>
      <w:r>
        <w:rPr>
          <w:rFonts w:hint="eastAsia" w:ascii="Times New Roman" w:hAnsi="Times New Roman" w:cs="Times New Roman"/>
          <w:color w:val="auto"/>
          <w:sz w:val="24"/>
          <w:highlight w:val="none"/>
        </w:rPr>
        <w:t>内容</w:t>
      </w:r>
    </w:p>
    <w:p>
      <w:pPr>
        <w:spacing w:line="360" w:lineRule="auto"/>
        <w:ind w:firstLine="480" w:firstLineChars="200"/>
        <w:rPr>
          <w:rFonts w:hint="default" w:ascii="Times New Roman" w:hAnsi="Times New Roman" w:eastAsia="宋体" w:cs="Times New Roman"/>
          <w:color w:val="auto"/>
          <w:sz w:val="24"/>
          <w:highlight w:val="none"/>
          <w:lang w:val="en-US" w:eastAsia="zh-CN"/>
        </w:rPr>
      </w:pPr>
      <w:r>
        <w:rPr>
          <w:rFonts w:hint="eastAsia" w:ascii="Times New Roman" w:hAnsi="Times New Roman" w:cs="Times New Roman"/>
          <w:color w:val="auto"/>
          <w:sz w:val="24"/>
          <w:highlight w:val="none"/>
          <w:lang w:val="en-US" w:eastAsia="zh-CN"/>
        </w:rPr>
        <w:t>2.服务期：24个月</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lang w:val="en-US" w:eastAsia="zh-CN"/>
        </w:rPr>
        <w:t>3</w:t>
      </w:r>
      <w:r>
        <w:rPr>
          <w:rFonts w:ascii="Times New Roman" w:hAnsi="Times New Roman" w:cs="Times New Roman"/>
          <w:sz w:val="24"/>
        </w:rPr>
        <w:t>、服务地点：采购人指定地点</w:t>
      </w:r>
    </w:p>
    <w:p>
      <w:pPr>
        <w:spacing w:line="360" w:lineRule="auto"/>
        <w:ind w:firstLine="480" w:firstLineChars="200"/>
        <w:rPr>
          <w:rFonts w:hint="default" w:ascii="Times New Roman" w:hAnsi="Times New Roman" w:cs="Times New Roman"/>
          <w:sz w:val="24"/>
          <w:lang w:val="en-US"/>
        </w:rPr>
      </w:pPr>
      <w:r>
        <w:rPr>
          <w:rFonts w:hint="eastAsia" w:ascii="Times New Roman" w:hAnsi="Times New Roman" w:cs="Times New Roman"/>
          <w:sz w:val="24"/>
          <w:lang w:val="en-US" w:eastAsia="zh-CN"/>
        </w:rPr>
        <w:t>4</w:t>
      </w:r>
      <w:r>
        <w:rPr>
          <w:rFonts w:ascii="Times New Roman" w:hAnsi="Times New Roman" w:cs="Times New Roman"/>
          <w:sz w:val="24"/>
        </w:rPr>
        <w:t>、报价要求：最终报价超过预算的为无效投标</w:t>
      </w:r>
    </w:p>
    <w:p>
      <w:pPr>
        <w:spacing w:line="360" w:lineRule="auto"/>
        <w:ind w:firstLine="480" w:firstLineChars="200"/>
        <w:rPr>
          <w:rFonts w:ascii="Times New Roman" w:hAnsi="Times New Roman" w:cs="Times New Roman"/>
          <w:sz w:val="24"/>
        </w:rPr>
      </w:pPr>
      <w:r>
        <w:rPr>
          <w:rFonts w:hint="eastAsia" w:ascii="Times New Roman" w:hAnsi="Times New Roman" w:cs="Times New Roman"/>
          <w:sz w:val="24"/>
          <w:lang w:val="en-US" w:eastAsia="zh-CN"/>
        </w:rPr>
        <w:t>5</w:t>
      </w:r>
      <w:r>
        <w:rPr>
          <w:rFonts w:ascii="Times New Roman" w:hAnsi="Times New Roman" w:cs="Times New Roman"/>
          <w:sz w:val="24"/>
        </w:rPr>
        <w:t>、验收标准：达到国家验收规范合格标准</w:t>
      </w:r>
    </w:p>
    <w:p>
      <w:pPr>
        <w:spacing w:line="360" w:lineRule="auto"/>
        <w:ind w:firstLine="480" w:firstLineChars="200"/>
        <w:rPr>
          <w:rFonts w:hint="default" w:ascii="Times New Roman" w:hAnsi="Times New Roman" w:eastAsia="宋体" w:cs="Times New Roman"/>
          <w:sz w:val="24"/>
          <w:lang w:val="en-US" w:eastAsia="zh-CN"/>
        </w:rPr>
      </w:pPr>
      <w:r>
        <w:rPr>
          <w:rFonts w:hint="eastAsia" w:ascii="Times New Roman" w:hAnsi="Times New Roman" w:cs="Times New Roman"/>
          <w:sz w:val="24"/>
          <w:lang w:val="en-US" w:eastAsia="zh-CN"/>
        </w:rPr>
        <w:t>6</w:t>
      </w:r>
      <w:r>
        <w:rPr>
          <w:rFonts w:ascii="Times New Roman" w:hAnsi="Times New Roman" w:cs="Times New Roman"/>
          <w:sz w:val="24"/>
        </w:rPr>
        <w:t>、付款方式：</w:t>
      </w:r>
      <w:r>
        <w:rPr>
          <w:rFonts w:hint="eastAsia" w:ascii="Times New Roman" w:hAnsi="Times New Roman" w:cs="Times New Roman"/>
          <w:sz w:val="24"/>
          <w:lang w:val="en-US" w:eastAsia="zh-CN"/>
        </w:rPr>
        <w:t>合同中约定</w:t>
      </w:r>
    </w:p>
    <w:p>
      <w:pPr>
        <w:rPr>
          <w:rFonts w:hint="eastAsia"/>
          <w:lang w:val="zh-CN"/>
        </w:rPr>
      </w:pPr>
    </w:p>
    <w:p>
      <w:pPr>
        <w:pStyle w:val="11"/>
        <w:rPr>
          <w:rFonts w:hint="eastAsia"/>
          <w:lang w:val="zh-CN"/>
        </w:rPr>
      </w:pPr>
    </w:p>
    <w:p>
      <w:pPr>
        <w:rPr>
          <w:rFonts w:hint="eastAsia"/>
          <w:lang w:val="zh-CN"/>
        </w:rPr>
      </w:pPr>
    </w:p>
    <w:p>
      <w:pPr>
        <w:pStyle w:val="11"/>
        <w:rPr>
          <w:rFonts w:hint="eastAsia"/>
          <w:lang w:val="zh-CN"/>
        </w:rPr>
      </w:pPr>
    </w:p>
    <w:p>
      <w:pPr>
        <w:rPr>
          <w:rFonts w:hint="eastAsia"/>
          <w:lang w:val="zh-CN"/>
        </w:rPr>
      </w:pPr>
    </w:p>
    <w:p>
      <w:pPr>
        <w:pStyle w:val="11"/>
        <w:rPr>
          <w:rFonts w:hint="eastAsia"/>
          <w:lang w:val="zh-CN"/>
        </w:rPr>
      </w:pPr>
    </w:p>
    <w:bookmarkEnd w:id="348"/>
    <w:bookmarkEnd w:id="349"/>
    <w:bookmarkEnd w:id="350"/>
    <w:bookmarkEnd w:id="351"/>
    <w:bookmarkEnd w:id="352"/>
    <w:bookmarkEnd w:id="353"/>
    <w:bookmarkEnd w:id="354"/>
    <w:bookmarkEnd w:id="355"/>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356" w:name="_Toc10522"/>
      <w:r>
        <w:rPr>
          <w:rFonts w:hint="eastAsia"/>
          <w:sz w:val="36"/>
          <w:szCs w:val="36"/>
        </w:rPr>
        <w:t>资格审查</w:t>
      </w:r>
      <w:bookmarkEnd w:id="340"/>
      <w:bookmarkEnd w:id="341"/>
      <w:bookmarkEnd w:id="342"/>
      <w:bookmarkEnd w:id="343"/>
      <w:bookmarkEnd w:id="344"/>
      <w:bookmarkEnd w:id="345"/>
      <w:bookmarkEnd w:id="346"/>
      <w:bookmarkEnd w:id="347"/>
      <w:bookmarkEnd w:id="356"/>
    </w:p>
    <w:p>
      <w:pPr>
        <w:pStyle w:val="3"/>
        <w:numPr>
          <w:ilvl w:val="0"/>
          <w:numId w:val="42"/>
        </w:numPr>
        <w:wordWrap w:val="0"/>
        <w:spacing w:before="0" w:after="0" w:line="360" w:lineRule="auto"/>
        <w:ind w:left="618" w:hanging="618"/>
        <w:jc w:val="left"/>
        <w:rPr>
          <w:rFonts w:ascii="宋体" w:hAnsi="宋体" w:eastAsia="宋体" w:cs="Times New Roman"/>
          <w:bCs w:val="0"/>
          <w:sz w:val="28"/>
          <w:szCs w:val="28"/>
          <w:lang w:val="zh-CN"/>
        </w:rPr>
      </w:pPr>
      <w:bookmarkStart w:id="357" w:name="_Toc102116171"/>
      <w:bookmarkStart w:id="358" w:name="_Toc511894514"/>
      <w:bookmarkStart w:id="359" w:name="_Toc102056237"/>
      <w:bookmarkStart w:id="360" w:name="_Toc494561958"/>
      <w:bookmarkStart w:id="361" w:name="_Toc102057737"/>
      <w:bookmarkStart w:id="362" w:name="_Toc102116041"/>
      <w:bookmarkStart w:id="363" w:name="_Toc102114939"/>
      <w:bookmarkStart w:id="364" w:name="_Toc102119872"/>
      <w:bookmarkStart w:id="365" w:name="_Toc24976"/>
      <w:bookmarkStart w:id="366" w:name="_Toc117244359"/>
      <w:bookmarkStart w:id="367" w:name="_Toc117244474"/>
      <w:r>
        <w:rPr>
          <w:rFonts w:hint="eastAsia" w:ascii="宋体" w:hAnsi="宋体" w:eastAsia="宋体" w:cs="Times New Roman"/>
          <w:bCs w:val="0"/>
          <w:sz w:val="28"/>
          <w:szCs w:val="28"/>
          <w:lang w:val="zh-CN"/>
        </w:rPr>
        <w:t>资格审查</w:t>
      </w:r>
      <w:bookmarkEnd w:id="357"/>
      <w:bookmarkEnd w:id="358"/>
      <w:bookmarkEnd w:id="359"/>
      <w:bookmarkEnd w:id="360"/>
      <w:bookmarkEnd w:id="361"/>
      <w:bookmarkEnd w:id="362"/>
      <w:bookmarkEnd w:id="363"/>
      <w:bookmarkEnd w:id="364"/>
      <w:r>
        <w:rPr>
          <w:rFonts w:hint="eastAsia" w:ascii="宋体" w:hAnsi="宋体" w:eastAsia="宋体" w:cs="Times New Roman"/>
          <w:bCs w:val="0"/>
          <w:sz w:val="28"/>
          <w:szCs w:val="28"/>
          <w:lang w:val="zh-CN"/>
        </w:rPr>
        <w:t>方法</w:t>
      </w:r>
      <w:bookmarkEnd w:id="365"/>
      <w:bookmarkEnd w:id="366"/>
      <w:bookmarkEnd w:id="367"/>
    </w:p>
    <w:p>
      <w:pPr>
        <w:wordWrap w:val="0"/>
        <w:spacing w:line="360" w:lineRule="auto"/>
        <w:ind w:firstLine="420"/>
        <w:rPr>
          <w:bCs/>
          <w:lang w:val="zh-CN"/>
        </w:rPr>
      </w:pPr>
      <w:r>
        <w:rPr>
          <w:rFonts w:hint="eastAsia"/>
          <w:bCs/>
          <w:lang w:val="zh-CN"/>
        </w:rPr>
        <w:t>本项目资格审查采用合格制，即满足“第一章 投标邀请”中投标人资格要求的投标人为资格审查合格的投标人。</w:t>
      </w:r>
    </w:p>
    <w:p>
      <w:pPr>
        <w:pStyle w:val="3"/>
        <w:numPr>
          <w:ilvl w:val="0"/>
          <w:numId w:val="42"/>
        </w:numPr>
        <w:wordWrap w:val="0"/>
        <w:spacing w:before="0" w:after="0" w:line="360" w:lineRule="auto"/>
        <w:ind w:left="618" w:hanging="618"/>
        <w:jc w:val="left"/>
        <w:rPr>
          <w:rFonts w:ascii="宋体" w:hAnsi="宋体" w:eastAsia="宋体" w:cs="Times New Roman"/>
          <w:bCs w:val="0"/>
          <w:sz w:val="28"/>
          <w:szCs w:val="28"/>
          <w:lang w:val="zh-CN"/>
        </w:rPr>
      </w:pPr>
      <w:bookmarkStart w:id="368" w:name="_Toc102116042"/>
      <w:bookmarkStart w:id="369" w:name="_Toc511894515"/>
      <w:bookmarkStart w:id="370" w:name="_Toc102116172"/>
      <w:bookmarkStart w:id="371" w:name="_Toc494561959"/>
      <w:bookmarkStart w:id="372" w:name="_Toc102119873"/>
      <w:bookmarkStart w:id="373" w:name="_Toc102057738"/>
      <w:bookmarkStart w:id="374" w:name="_Toc102114940"/>
      <w:bookmarkStart w:id="375" w:name="_Toc102056238"/>
      <w:bookmarkStart w:id="376" w:name="_Toc19360"/>
      <w:bookmarkStart w:id="377" w:name="_Toc117244360"/>
      <w:bookmarkStart w:id="378" w:name="_Toc117244475"/>
      <w:bookmarkStart w:id="379" w:name="_Toc511894516"/>
      <w:r>
        <w:rPr>
          <w:rFonts w:hint="eastAsia" w:ascii="宋体" w:hAnsi="宋体" w:eastAsia="宋体" w:cs="Times New Roman"/>
          <w:bCs w:val="0"/>
          <w:sz w:val="28"/>
          <w:szCs w:val="28"/>
          <w:lang w:val="zh-CN"/>
        </w:rPr>
        <w:t>资格审查</w:t>
      </w:r>
      <w:bookmarkEnd w:id="368"/>
      <w:bookmarkEnd w:id="369"/>
      <w:bookmarkEnd w:id="370"/>
      <w:bookmarkEnd w:id="371"/>
      <w:bookmarkEnd w:id="372"/>
      <w:bookmarkEnd w:id="373"/>
      <w:bookmarkEnd w:id="374"/>
      <w:bookmarkEnd w:id="375"/>
      <w:r>
        <w:rPr>
          <w:rFonts w:hint="eastAsia" w:ascii="宋体" w:hAnsi="宋体" w:eastAsia="宋体" w:cs="Times New Roman"/>
          <w:bCs w:val="0"/>
          <w:sz w:val="28"/>
          <w:szCs w:val="28"/>
          <w:lang w:val="zh-CN"/>
        </w:rPr>
        <w:t>程序</w:t>
      </w:r>
      <w:bookmarkEnd w:id="376"/>
      <w:bookmarkEnd w:id="377"/>
      <w:bookmarkEnd w:id="378"/>
    </w:p>
    <w:p>
      <w:pPr>
        <w:pStyle w:val="54"/>
        <w:numPr>
          <w:ilvl w:val="0"/>
          <w:numId w:val="43"/>
        </w:numPr>
        <w:spacing w:line="360" w:lineRule="auto"/>
        <w:ind w:left="284" w:hanging="284" w:firstLineChars="0"/>
        <w:rPr>
          <w:rFonts w:cs="Helvetica"/>
          <w:b/>
          <w:szCs w:val="24"/>
          <w:lang w:val="zh-CN"/>
        </w:rPr>
      </w:pPr>
      <w:r>
        <w:rPr>
          <w:rFonts w:hint="eastAsia" w:cs="Helvetica"/>
          <w:b/>
          <w:szCs w:val="24"/>
          <w:lang w:val="zh-CN"/>
        </w:rPr>
        <w:t>资格审查</w:t>
      </w:r>
    </w:p>
    <w:p>
      <w:pPr>
        <w:wordWrap w:val="0"/>
        <w:spacing w:line="360" w:lineRule="auto"/>
        <w:ind w:firstLine="420"/>
        <w:rPr>
          <w:rFonts w:cs="Helvetica"/>
          <w:szCs w:val="24"/>
          <w:lang w:val="zh-CN"/>
        </w:rPr>
      </w:pPr>
      <w:r>
        <w:rPr>
          <w:rFonts w:hint="eastAsia"/>
          <w:bCs/>
          <w:lang w:val="zh-CN"/>
        </w:rPr>
        <w:t>项目开标结束后，采购人与采购代理机构成立资格审查小组。</w:t>
      </w:r>
      <w:r>
        <w:rPr>
          <w:rFonts w:hint="eastAsia" w:cs="Helvetica"/>
          <w:szCs w:val="24"/>
          <w:lang w:val="zh-CN"/>
        </w:rPr>
        <w:t>资格审查小组根据“第一章投标邀请”中投标人资格要求并按本章“资格审查标准”所列的内容，对投标人资格进行审查，不满足资格审查标准要求的按</w:t>
      </w:r>
      <w:r>
        <w:rPr>
          <w:rFonts w:hint="eastAsia" w:cs="Helvetica"/>
          <w:b/>
          <w:szCs w:val="24"/>
          <w:lang w:val="zh-CN"/>
        </w:rPr>
        <w:t>无效投标处理</w:t>
      </w:r>
      <w:r>
        <w:rPr>
          <w:rFonts w:hint="eastAsia" w:cs="Helvetica"/>
          <w:szCs w:val="24"/>
          <w:lang w:val="zh-CN"/>
        </w:rPr>
        <w:t>。</w:t>
      </w:r>
      <w:bookmarkStart w:id="380" w:name="_Toc102057716"/>
      <w:bookmarkStart w:id="381" w:name="_Toc102114918"/>
      <w:bookmarkStart w:id="382" w:name="_Toc102056216"/>
      <w:bookmarkStart w:id="383" w:name="_Toc102116150"/>
      <w:bookmarkStart w:id="384" w:name="_Toc102116020"/>
      <w:bookmarkStart w:id="385" w:name="_Toc102119851"/>
      <w:bookmarkStart w:id="386" w:name="_Toc102116173"/>
      <w:bookmarkStart w:id="387" w:name="_Toc102114941"/>
      <w:bookmarkStart w:id="388" w:name="_Toc102056239"/>
      <w:bookmarkStart w:id="389" w:name="_Toc102057739"/>
      <w:bookmarkStart w:id="390" w:name="_Toc102116043"/>
      <w:bookmarkStart w:id="391" w:name="_Toc102119874"/>
    </w:p>
    <w:p>
      <w:pPr>
        <w:pStyle w:val="54"/>
        <w:numPr>
          <w:ilvl w:val="0"/>
          <w:numId w:val="43"/>
        </w:numPr>
        <w:spacing w:line="360" w:lineRule="auto"/>
        <w:ind w:left="284" w:hanging="284" w:firstLineChars="0"/>
        <w:rPr>
          <w:rFonts w:cs="Helvetica"/>
          <w:b/>
          <w:szCs w:val="24"/>
          <w:lang w:val="zh-CN"/>
        </w:rPr>
      </w:pPr>
      <w:r>
        <w:rPr>
          <w:rFonts w:hint="eastAsia" w:cs="Helvetica"/>
          <w:b/>
          <w:szCs w:val="24"/>
          <w:lang w:val="zh-CN"/>
        </w:rPr>
        <w:t>信用信息</w:t>
      </w:r>
      <w:bookmarkEnd w:id="380"/>
      <w:bookmarkEnd w:id="381"/>
      <w:bookmarkEnd w:id="382"/>
      <w:bookmarkEnd w:id="383"/>
      <w:bookmarkEnd w:id="384"/>
      <w:bookmarkEnd w:id="385"/>
      <w:r>
        <w:rPr>
          <w:rFonts w:hint="eastAsia" w:cs="Helvetica"/>
          <w:b/>
          <w:szCs w:val="24"/>
          <w:lang w:val="zh-CN"/>
        </w:rPr>
        <w:t>核查</w:t>
      </w:r>
    </w:p>
    <w:p>
      <w:pPr>
        <w:keepNext w:val="0"/>
        <w:keepLines w:val="0"/>
        <w:pageBreakBefore w:val="0"/>
        <w:widowControl w:val="0"/>
        <w:numPr>
          <w:ilvl w:val="0"/>
          <w:numId w:val="44"/>
        </w:numPr>
        <w:kinsoku/>
        <w:wordWrap w:val="0"/>
        <w:overflowPunct/>
        <w:topLinePunct w:val="0"/>
        <w:autoSpaceDE/>
        <w:autoSpaceDN/>
        <w:bidi w:val="0"/>
        <w:adjustRightInd w:val="0"/>
        <w:snapToGrid w:val="0"/>
        <w:spacing w:line="360" w:lineRule="auto"/>
        <w:ind w:left="420" w:leftChars="0" w:hanging="420" w:firstLineChars="0"/>
        <w:textAlignment w:val="auto"/>
        <w:rPr>
          <w:rFonts w:cs="Helvetica"/>
          <w:szCs w:val="24"/>
          <w:lang w:val="zh-CN"/>
        </w:rPr>
      </w:pPr>
      <w:r>
        <w:rPr>
          <w:rFonts w:hint="eastAsia" w:cs="Helvetica"/>
          <w:szCs w:val="24"/>
          <w:lang w:val="zh-CN"/>
        </w:rPr>
        <w:t>根据《关于在政府采购活动中查询及使用信用记录有关问题的通知》（财库〔2016〕125号）要求，投标人信用信息以</w:t>
      </w:r>
      <w:r>
        <w:rPr>
          <w:rFonts w:hint="eastAsia"/>
          <w:szCs w:val="24"/>
        </w:rPr>
        <w:t>“信用中国”网</w:t>
      </w:r>
      <w:r>
        <w:rPr>
          <w:rFonts w:hint="eastAsia"/>
          <w:szCs w:val="24"/>
          <w:lang w:eastAsia="zh-CN"/>
        </w:rPr>
        <w:t>（</w:t>
      </w:r>
      <w:r>
        <w:fldChar w:fldCharType="begin"/>
      </w:r>
      <w:r>
        <w:instrText xml:space="preserve"> HYPERLINK "http://www.creditchina.gov.cn" </w:instrText>
      </w:r>
      <w:r>
        <w:fldChar w:fldCharType="separate"/>
      </w:r>
      <w:r>
        <w:rPr>
          <w:rStyle w:val="34"/>
          <w:rFonts w:hint="eastAsia"/>
          <w:color w:val="auto"/>
          <w:szCs w:val="24"/>
        </w:rPr>
        <w:t>http://www.creditchina.gov.cn</w:t>
      </w:r>
      <w:r>
        <w:rPr>
          <w:rStyle w:val="34"/>
          <w:rFonts w:hint="eastAsia"/>
          <w:color w:val="auto"/>
          <w:szCs w:val="24"/>
        </w:rPr>
        <w:fldChar w:fldCharType="end"/>
      </w:r>
      <w:r>
        <w:rPr>
          <w:rFonts w:hint="eastAsia"/>
          <w:szCs w:val="24"/>
          <w:lang w:eastAsia="zh-CN"/>
        </w:rPr>
        <w:t>）</w:t>
      </w:r>
      <w:r>
        <w:rPr>
          <w:rFonts w:hint="eastAsia"/>
          <w:szCs w:val="24"/>
        </w:rPr>
        <w:t>和中国政府采购网</w:t>
      </w:r>
      <w:r>
        <w:rPr>
          <w:rFonts w:hint="eastAsia"/>
          <w:szCs w:val="24"/>
          <w:lang w:eastAsia="zh-CN"/>
        </w:rPr>
        <w:t>（</w:t>
      </w:r>
      <w:r>
        <w:rPr>
          <w:rFonts w:hint="eastAsia"/>
          <w:szCs w:val="24"/>
        </w:rPr>
        <w:t>http://www.ccgp.gov.cn</w:t>
      </w:r>
      <w:r>
        <w:rPr>
          <w:rFonts w:hint="eastAsia"/>
          <w:szCs w:val="24"/>
          <w:lang w:eastAsia="zh-CN"/>
        </w:rPr>
        <w:t>）</w:t>
      </w:r>
      <w:r>
        <w:rPr>
          <w:rFonts w:hint="eastAsia" w:cs="Helvetica"/>
          <w:szCs w:val="24"/>
          <w:lang w:val="zh-CN"/>
        </w:rPr>
        <w:t>查询的结果为准。</w:t>
      </w:r>
    </w:p>
    <w:p>
      <w:pPr>
        <w:keepNext w:val="0"/>
        <w:keepLines w:val="0"/>
        <w:pageBreakBefore w:val="0"/>
        <w:widowControl w:val="0"/>
        <w:numPr>
          <w:ilvl w:val="0"/>
          <w:numId w:val="44"/>
        </w:numPr>
        <w:kinsoku/>
        <w:wordWrap w:val="0"/>
        <w:overflowPunct/>
        <w:topLinePunct w:val="0"/>
        <w:autoSpaceDE/>
        <w:autoSpaceDN/>
        <w:bidi w:val="0"/>
        <w:adjustRightInd w:val="0"/>
        <w:snapToGrid w:val="0"/>
        <w:spacing w:line="360" w:lineRule="auto"/>
        <w:ind w:left="420" w:leftChars="0" w:hanging="420" w:firstLineChars="0"/>
        <w:textAlignment w:val="auto"/>
        <w:rPr>
          <w:rFonts w:cs="Helvetica"/>
          <w:szCs w:val="24"/>
          <w:lang w:val="zh-CN"/>
        </w:rPr>
      </w:pPr>
      <w:r>
        <w:rPr>
          <w:rFonts w:hint="eastAsia" w:cs="Helvetica"/>
          <w:szCs w:val="24"/>
          <w:lang w:val="zh-CN"/>
        </w:rPr>
        <w:t>资格审查当日应当核查投标人信用记录，投标人被列入失信被执行人、重大税收违法案件当事人名单、政府采购严重违法失信行为记录名单的，采购代理机构拒绝其参与政府采购活动。</w:t>
      </w:r>
    </w:p>
    <w:p>
      <w:pPr>
        <w:keepNext w:val="0"/>
        <w:keepLines w:val="0"/>
        <w:pageBreakBefore w:val="0"/>
        <w:widowControl w:val="0"/>
        <w:numPr>
          <w:ilvl w:val="0"/>
          <w:numId w:val="44"/>
        </w:numPr>
        <w:kinsoku/>
        <w:wordWrap w:val="0"/>
        <w:overflowPunct/>
        <w:topLinePunct w:val="0"/>
        <w:autoSpaceDE/>
        <w:autoSpaceDN/>
        <w:bidi w:val="0"/>
        <w:adjustRightInd w:val="0"/>
        <w:snapToGrid w:val="0"/>
        <w:spacing w:line="360" w:lineRule="auto"/>
        <w:ind w:left="420" w:leftChars="0" w:hanging="420" w:firstLineChars="0"/>
        <w:textAlignment w:val="auto"/>
        <w:rPr>
          <w:rFonts w:cs="Helvetica"/>
          <w:szCs w:val="24"/>
          <w:lang w:val="zh-CN"/>
        </w:rPr>
      </w:pPr>
      <w:r>
        <w:rPr>
          <w:rFonts w:hint="eastAsia" w:cs="Helvetica"/>
          <w:szCs w:val="24"/>
          <w:lang w:val="zh-CN"/>
        </w:rPr>
        <w:t>以联合体形式投标的，应当核查联合体所有成员和信用记录，联合体成员存在不良信用记录的，视同联合体存在不良信用信息。</w:t>
      </w:r>
    </w:p>
    <w:p>
      <w:pPr>
        <w:keepNext w:val="0"/>
        <w:keepLines w:val="0"/>
        <w:pageBreakBefore w:val="0"/>
        <w:widowControl w:val="0"/>
        <w:numPr>
          <w:ilvl w:val="0"/>
          <w:numId w:val="44"/>
        </w:numPr>
        <w:kinsoku/>
        <w:wordWrap w:val="0"/>
        <w:overflowPunct/>
        <w:topLinePunct w:val="0"/>
        <w:autoSpaceDE/>
        <w:autoSpaceDN/>
        <w:bidi w:val="0"/>
        <w:adjustRightInd w:val="0"/>
        <w:snapToGrid w:val="0"/>
        <w:spacing w:line="360" w:lineRule="auto"/>
        <w:ind w:left="420" w:leftChars="0" w:hanging="420" w:firstLineChars="0"/>
        <w:textAlignment w:val="auto"/>
        <w:rPr>
          <w:rFonts w:cs="Helvetica"/>
          <w:szCs w:val="24"/>
          <w:lang w:val="zh-CN"/>
        </w:rPr>
      </w:pPr>
      <w:r>
        <w:rPr>
          <w:rFonts w:hint="eastAsia" w:cs="Helvetica"/>
          <w:szCs w:val="24"/>
          <w:lang w:val="zh-CN"/>
        </w:rPr>
        <w:t>资格审查与评标工作未在同日进行的特殊情形下，采购代理机构工作人员在评标时应对投标人的信用信息进行复核，发现评标当日存在不良信用信息的，由评标委员会按照符合性审查不合格作</w:t>
      </w:r>
      <w:r>
        <w:rPr>
          <w:rFonts w:hint="eastAsia" w:cs="Helvetica"/>
          <w:b/>
          <w:szCs w:val="24"/>
          <w:lang w:val="zh-CN"/>
        </w:rPr>
        <w:t>无效投标处理</w:t>
      </w:r>
      <w:r>
        <w:rPr>
          <w:rFonts w:hint="eastAsia" w:cs="Helvetica"/>
          <w:szCs w:val="24"/>
          <w:lang w:val="zh-CN"/>
        </w:rPr>
        <w:t>。</w:t>
      </w:r>
    </w:p>
    <w:p>
      <w:pPr>
        <w:pStyle w:val="54"/>
        <w:numPr>
          <w:ilvl w:val="0"/>
          <w:numId w:val="43"/>
        </w:numPr>
        <w:spacing w:line="360" w:lineRule="auto"/>
        <w:ind w:left="284" w:hanging="284" w:firstLineChars="0"/>
        <w:rPr>
          <w:rFonts w:cs="Helvetica"/>
          <w:b/>
          <w:szCs w:val="24"/>
          <w:lang w:val="zh-CN"/>
        </w:rPr>
      </w:pPr>
      <w:r>
        <w:rPr>
          <w:rFonts w:hint="eastAsia" w:cs="Helvetica"/>
          <w:b/>
          <w:szCs w:val="24"/>
          <w:lang w:val="zh-CN"/>
        </w:rPr>
        <w:t>资格审查</w:t>
      </w:r>
      <w:bookmarkEnd w:id="386"/>
      <w:bookmarkEnd w:id="387"/>
      <w:bookmarkEnd w:id="388"/>
      <w:bookmarkEnd w:id="389"/>
      <w:bookmarkEnd w:id="390"/>
      <w:bookmarkEnd w:id="391"/>
      <w:r>
        <w:rPr>
          <w:rFonts w:hint="eastAsia" w:cs="Helvetica"/>
          <w:b/>
          <w:szCs w:val="24"/>
          <w:lang w:val="zh-CN"/>
        </w:rPr>
        <w:t>结果</w:t>
      </w:r>
    </w:p>
    <w:p>
      <w:pPr>
        <w:numPr>
          <w:ilvl w:val="0"/>
          <w:numId w:val="45"/>
        </w:numPr>
        <w:wordWrap w:val="0"/>
        <w:adjustRightInd w:val="0"/>
        <w:snapToGrid w:val="0"/>
        <w:spacing w:line="360" w:lineRule="auto"/>
        <w:ind w:left="420" w:leftChars="0" w:hanging="420" w:firstLineChars="0"/>
        <w:rPr>
          <w:szCs w:val="24"/>
          <w:lang w:val="zh-CN"/>
        </w:rPr>
      </w:pPr>
      <w:r>
        <w:rPr>
          <w:rFonts w:hint="eastAsia" w:cs="Helvetica"/>
          <w:szCs w:val="24"/>
          <w:lang w:val="zh-CN"/>
        </w:rPr>
        <w:t>资格</w:t>
      </w:r>
      <w:r>
        <w:rPr>
          <w:rFonts w:hint="eastAsia"/>
          <w:szCs w:val="24"/>
          <w:lang w:val="zh-CN"/>
        </w:rPr>
        <w:t>审查小组应根据资格审查的情况，确定资格审查合格的投标人，并形成资格审查报告。</w:t>
      </w:r>
    </w:p>
    <w:p>
      <w:pPr>
        <w:numPr>
          <w:ilvl w:val="0"/>
          <w:numId w:val="45"/>
        </w:numPr>
        <w:wordWrap w:val="0"/>
        <w:adjustRightInd w:val="0"/>
        <w:snapToGrid w:val="0"/>
        <w:spacing w:line="360" w:lineRule="auto"/>
        <w:ind w:left="420" w:leftChars="0" w:hanging="420" w:firstLineChars="0"/>
        <w:rPr>
          <w:lang w:val="zh-CN"/>
        </w:rPr>
      </w:pPr>
      <w:r>
        <w:rPr>
          <w:rFonts w:hint="eastAsia" w:cs="Helvetica"/>
          <w:szCs w:val="24"/>
          <w:lang w:val="zh-CN"/>
        </w:rPr>
        <w:t>资格</w:t>
      </w:r>
      <w:r>
        <w:rPr>
          <w:rFonts w:hint="eastAsia"/>
          <w:szCs w:val="24"/>
          <w:lang w:val="zh-CN"/>
        </w:rPr>
        <w:t>审查合格投标人不足3家的，不得评标，应予以废标。</w:t>
      </w:r>
    </w:p>
    <w:p>
      <w:pPr>
        <w:pStyle w:val="3"/>
        <w:numPr>
          <w:ilvl w:val="0"/>
          <w:numId w:val="42"/>
        </w:numPr>
        <w:wordWrap w:val="0"/>
        <w:spacing w:before="0" w:after="0" w:line="360" w:lineRule="auto"/>
        <w:ind w:left="618" w:hanging="618"/>
        <w:jc w:val="left"/>
        <w:rPr>
          <w:rFonts w:ascii="宋体" w:hAnsi="宋体" w:eastAsia="宋体" w:cs="Times New Roman"/>
          <w:bCs w:val="0"/>
          <w:sz w:val="28"/>
          <w:szCs w:val="28"/>
          <w:lang w:val="zh-CN"/>
        </w:rPr>
      </w:pPr>
      <w:bookmarkStart w:id="392" w:name="_Toc117244361"/>
      <w:bookmarkStart w:id="393" w:name="_Toc117244476"/>
      <w:bookmarkStart w:id="394" w:name="_Toc7625"/>
      <w:r>
        <w:rPr>
          <w:rFonts w:hint="eastAsia" w:ascii="宋体" w:hAnsi="宋体" w:eastAsia="宋体" w:cs="Times New Roman"/>
          <w:bCs w:val="0"/>
          <w:sz w:val="28"/>
          <w:szCs w:val="28"/>
          <w:lang w:val="zh-CN"/>
        </w:rPr>
        <w:t>资格审查标准</w:t>
      </w:r>
      <w:bookmarkEnd w:id="392"/>
      <w:bookmarkEnd w:id="393"/>
      <w:bookmarkEnd w:id="394"/>
    </w:p>
    <w:tbl>
      <w:tblPr>
        <w:tblStyle w:val="29"/>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654"/>
        <w:gridCol w:w="3392"/>
        <w:gridCol w:w="4979"/>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8" w:hRule="atLeast"/>
          <w:jc w:val="center"/>
        </w:trPr>
        <w:tc>
          <w:tcPr>
            <w:tcW w:w="654" w:type="dxa"/>
            <w:noWrap w:val="0"/>
            <w:vAlign w:val="top"/>
          </w:tcPr>
          <w:p>
            <w:pPr>
              <w:widowControl/>
              <w:jc w:val="center"/>
              <w:rPr>
                <w:rFonts w:ascii="宋体" w:hAnsi="宋体" w:cs="宋体"/>
                <w:b/>
                <w:bCs/>
                <w:color w:val="000000"/>
                <w:kern w:val="0"/>
                <w:sz w:val="24"/>
                <w:szCs w:val="24"/>
                <w:highlight w:val="none"/>
              </w:rPr>
            </w:pPr>
            <w:bookmarkStart w:id="395" w:name="_Toc102116044"/>
            <w:bookmarkStart w:id="396" w:name="_Toc102057740"/>
            <w:bookmarkStart w:id="397" w:name="_Toc102119875"/>
            <w:bookmarkStart w:id="398" w:name="_Toc102114942"/>
            <w:bookmarkStart w:id="399" w:name="_Toc102056240"/>
            <w:bookmarkStart w:id="400" w:name="_Toc102116174"/>
            <w:r>
              <w:rPr>
                <w:rFonts w:hint="eastAsia" w:ascii="宋体" w:hAnsi="宋体" w:cs="宋体"/>
                <w:b/>
                <w:color w:val="000000"/>
                <w:kern w:val="0"/>
                <w:sz w:val="24"/>
                <w:szCs w:val="24"/>
                <w:highlight w:val="none"/>
              </w:rPr>
              <w:t>序号</w:t>
            </w:r>
          </w:p>
        </w:tc>
        <w:tc>
          <w:tcPr>
            <w:tcW w:w="3392" w:type="dxa"/>
            <w:noWrap w:val="0"/>
            <w:vAlign w:val="top"/>
          </w:tcPr>
          <w:p>
            <w:pPr>
              <w:widowControl/>
              <w:jc w:val="center"/>
              <w:rPr>
                <w:rFonts w:ascii="宋体" w:hAnsi="宋体" w:cs="宋体"/>
                <w:b/>
                <w:bCs/>
                <w:color w:val="000000"/>
                <w:kern w:val="0"/>
                <w:sz w:val="24"/>
                <w:szCs w:val="24"/>
                <w:highlight w:val="none"/>
              </w:rPr>
            </w:pPr>
            <w:r>
              <w:rPr>
                <w:rFonts w:hint="eastAsia" w:ascii="宋体" w:hAnsi="宋体" w:cs="宋体"/>
                <w:b/>
                <w:color w:val="000000"/>
                <w:kern w:val="0"/>
                <w:sz w:val="24"/>
                <w:szCs w:val="24"/>
                <w:highlight w:val="none"/>
              </w:rPr>
              <w:t>资格要求</w:t>
            </w:r>
          </w:p>
        </w:tc>
        <w:tc>
          <w:tcPr>
            <w:tcW w:w="4979" w:type="dxa"/>
            <w:noWrap w:val="0"/>
            <w:vAlign w:val="top"/>
          </w:tcPr>
          <w:p>
            <w:pPr>
              <w:widowControl/>
              <w:jc w:val="center"/>
              <w:rPr>
                <w:rFonts w:ascii="宋体" w:hAnsi="宋体" w:cs="宋体"/>
                <w:b/>
                <w:bCs/>
                <w:color w:val="000000"/>
                <w:kern w:val="0"/>
                <w:sz w:val="24"/>
                <w:szCs w:val="24"/>
                <w:highlight w:val="none"/>
              </w:rPr>
            </w:pPr>
            <w:r>
              <w:rPr>
                <w:rFonts w:hint="eastAsia" w:ascii="宋体" w:hAnsi="宋体" w:cs="宋体"/>
                <w:b/>
                <w:color w:val="000000"/>
                <w:kern w:val="0"/>
                <w:sz w:val="24"/>
                <w:szCs w:val="24"/>
                <w:highlight w:val="none"/>
              </w:rPr>
              <w:t>须提供的资料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871" w:hRule="atLeast"/>
          <w:jc w:val="center"/>
        </w:trPr>
        <w:tc>
          <w:tcPr>
            <w:tcW w:w="654" w:type="dxa"/>
            <w:noWrap w:val="0"/>
            <w:vAlign w:val="center"/>
          </w:tcPr>
          <w:p>
            <w:pPr>
              <w:widowControl/>
              <w:jc w:val="center"/>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1</w:t>
            </w:r>
          </w:p>
        </w:tc>
        <w:tc>
          <w:tcPr>
            <w:tcW w:w="3392" w:type="dxa"/>
            <w:noWrap w:val="0"/>
            <w:vAlign w:val="center"/>
          </w:tcPr>
          <w:p>
            <w:pPr>
              <w:widowControl/>
              <w:rPr>
                <w:rFonts w:ascii="宋体" w:hAnsi="宋体" w:cs="宋体"/>
                <w:b/>
                <w:bCs/>
                <w:color w:val="000000"/>
                <w:kern w:val="0"/>
                <w:sz w:val="24"/>
                <w:szCs w:val="24"/>
                <w:highlight w:val="none"/>
              </w:rPr>
            </w:pPr>
            <w:r>
              <w:rPr>
                <w:rFonts w:hint="eastAsia" w:ascii="宋体" w:hAnsi="宋体" w:cs="宋体"/>
                <w:color w:val="000000"/>
                <w:kern w:val="0"/>
                <w:sz w:val="24"/>
                <w:szCs w:val="24"/>
                <w:highlight w:val="none"/>
              </w:rPr>
              <w:t>具有</w:t>
            </w:r>
            <w:r>
              <w:rPr>
                <w:rFonts w:hint="eastAsia" w:ascii="宋体" w:hAnsi="宋体" w:cs="宋体"/>
                <w:sz w:val="24"/>
                <w:szCs w:val="24"/>
                <w:highlight w:val="none"/>
                <w:lang w:val="zh-CN"/>
              </w:rPr>
              <w:t>合格有效的营业执照或登记证书等</w:t>
            </w:r>
          </w:p>
        </w:tc>
        <w:tc>
          <w:tcPr>
            <w:tcW w:w="4979" w:type="dxa"/>
            <w:noWrap w:val="0"/>
            <w:vAlign w:val="top"/>
          </w:tcPr>
          <w:p>
            <w:pPr>
              <w:widowControl/>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投标人为企业（包括合伙企业），提供在工商部门注册的有效“企业法人营业执照”或“营业执照”。</w:t>
            </w:r>
          </w:p>
          <w:p>
            <w:pPr>
              <w:widowControl/>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投标人为事业单位，提供有效的“事业单位法人证书”。投标人是非企业专业服务机构的，提供执业许可证等证明文件。</w:t>
            </w:r>
          </w:p>
          <w:p>
            <w:pPr>
              <w:pStyle w:val="15"/>
              <w:rPr>
                <w:rFonts w:hAnsi="宋体" w:cs="宋体"/>
                <w:color w:val="000000"/>
                <w:sz w:val="24"/>
                <w:szCs w:val="24"/>
                <w:highlight w:val="none"/>
              </w:rPr>
            </w:pPr>
            <w:r>
              <w:rPr>
                <w:rFonts w:hint="eastAsia" w:hAnsi="宋体" w:cs="宋体"/>
                <w:color w:val="000000"/>
                <w:sz w:val="24"/>
                <w:szCs w:val="24"/>
                <w:highlight w:val="none"/>
              </w:rPr>
              <w:t>投标人为个体工商户，提供有效的“个体工商户营业执照”。</w:t>
            </w:r>
          </w:p>
          <w:p>
            <w:pPr>
              <w:rPr>
                <w:rFonts w:ascii="宋体" w:hAnsi="宋体"/>
                <w:sz w:val="24"/>
                <w:szCs w:val="24"/>
                <w:highlight w:val="none"/>
              </w:rPr>
            </w:pPr>
            <w:r>
              <w:rPr>
                <w:rFonts w:hint="eastAsia" w:ascii="宋体" w:hAnsi="宋体" w:cs="宋体"/>
                <w:color w:val="000000"/>
                <w:sz w:val="24"/>
                <w:szCs w:val="24"/>
                <w:highlight w:val="none"/>
              </w:rPr>
              <w:t>投标人</w:t>
            </w:r>
            <w:r>
              <w:rPr>
                <w:rFonts w:hint="eastAsia" w:ascii="宋体" w:hAnsi="宋体" w:cs="宋体"/>
                <w:color w:val="000000"/>
                <w:kern w:val="0"/>
                <w:sz w:val="24"/>
                <w:szCs w:val="24"/>
                <w:highlight w:val="none"/>
              </w:rPr>
              <w:t>为自然人，提供有效的自然人身份证明。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450" w:hRule="atLeast"/>
          <w:jc w:val="center"/>
        </w:trPr>
        <w:tc>
          <w:tcPr>
            <w:tcW w:w="654" w:type="dxa"/>
            <w:noWrap w:val="0"/>
            <w:vAlign w:val="center"/>
          </w:tcPr>
          <w:p>
            <w:pPr>
              <w:widowControl/>
              <w:jc w:val="center"/>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2</w:t>
            </w:r>
          </w:p>
        </w:tc>
        <w:tc>
          <w:tcPr>
            <w:tcW w:w="3392" w:type="dxa"/>
            <w:noWrap w:val="0"/>
            <w:vAlign w:val="center"/>
          </w:tcPr>
          <w:p>
            <w:pPr>
              <w:widowControl/>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具有良好的商业信誉和健全的财务会计制度</w:t>
            </w:r>
          </w:p>
        </w:tc>
        <w:tc>
          <w:tcPr>
            <w:tcW w:w="4979" w:type="dxa"/>
            <w:noWrap w:val="0"/>
            <w:vAlign w:val="top"/>
          </w:tcPr>
          <w:p>
            <w:pPr>
              <w:widowControl/>
              <w:rPr>
                <w:rFonts w:ascii="宋体" w:hAnsi="宋体" w:cs="宋体"/>
                <w:color w:val="000000"/>
                <w:kern w:val="0"/>
                <w:sz w:val="24"/>
                <w:szCs w:val="24"/>
                <w:highlight w:val="none"/>
              </w:rPr>
            </w:pPr>
            <w:r>
              <w:rPr>
                <w:rFonts w:hint="eastAsia" w:ascii="宋体" w:hAnsi="宋体" w:cs="宋体"/>
                <w:color w:val="000000"/>
                <w:sz w:val="24"/>
                <w:szCs w:val="24"/>
                <w:highlight w:val="none"/>
              </w:rPr>
              <w:t>投标人</w:t>
            </w:r>
            <w:r>
              <w:rPr>
                <w:rFonts w:hint="eastAsia" w:ascii="宋体" w:hAnsi="宋体" w:cs="宋体"/>
                <w:color w:val="000000"/>
                <w:kern w:val="0"/>
                <w:sz w:val="24"/>
                <w:szCs w:val="24"/>
                <w:highlight w:val="none"/>
              </w:rPr>
              <w:t>为法人，提供</w:t>
            </w:r>
            <w:r>
              <w:rPr>
                <w:rFonts w:hint="eastAsia" w:cs="宋体"/>
                <w:color w:val="000000"/>
                <w:kern w:val="0"/>
                <w:sz w:val="24"/>
                <w:szCs w:val="24"/>
                <w:highlight w:val="none"/>
                <w:lang w:val="en-US" w:eastAsia="zh-CN"/>
              </w:rPr>
              <w:t>2022</w:t>
            </w:r>
            <w:r>
              <w:rPr>
                <w:rFonts w:hint="eastAsia" w:ascii="宋体" w:hAnsi="宋体" w:cs="宋体"/>
                <w:color w:val="000000"/>
                <w:kern w:val="0"/>
                <w:sz w:val="24"/>
                <w:szCs w:val="24"/>
                <w:highlight w:val="none"/>
              </w:rPr>
              <w:t>年度经审计的财务报告，或其基本开户银行出具的资信证明。其他组织和自然人，没有经审计的财务报告，提供银行出具的资信证明。</w:t>
            </w:r>
          </w:p>
          <w:p>
            <w:pPr>
              <w:pStyle w:val="15"/>
              <w:rPr>
                <w:rFonts w:hAnsi="宋体"/>
                <w:sz w:val="24"/>
                <w:szCs w:val="24"/>
                <w:highlight w:val="none"/>
              </w:rPr>
            </w:pPr>
            <w:r>
              <w:rPr>
                <w:rFonts w:hint="eastAsia" w:hAnsi="宋体" w:cs="宋体"/>
                <w:color w:val="000000"/>
                <w:sz w:val="24"/>
                <w:szCs w:val="24"/>
                <w:highlight w:val="none"/>
              </w:rPr>
              <w:t>专业担保机构对投标人进行资信审查后出具投标担保函的，可以不用提供经审计的财务报告和银行资信证明文件。</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654" w:type="dxa"/>
            <w:noWrap w:val="0"/>
            <w:vAlign w:val="center"/>
          </w:tcPr>
          <w:p>
            <w:pPr>
              <w:widowControl/>
              <w:jc w:val="center"/>
              <w:rPr>
                <w:rFonts w:hint="eastAsia" w:ascii="宋体" w:hAnsi="宋体" w:cs="宋体"/>
                <w:bCs/>
                <w:color w:val="000000"/>
                <w:kern w:val="0"/>
                <w:sz w:val="24"/>
                <w:szCs w:val="24"/>
                <w:highlight w:val="none"/>
              </w:rPr>
            </w:pPr>
            <w:r>
              <w:rPr>
                <w:rFonts w:hint="eastAsia" w:ascii="宋体" w:hAnsi="宋体" w:cs="宋体"/>
                <w:bCs/>
                <w:color w:val="000000"/>
                <w:kern w:val="0"/>
                <w:sz w:val="24"/>
                <w:szCs w:val="24"/>
                <w:highlight w:val="none"/>
              </w:rPr>
              <w:t>3</w:t>
            </w:r>
          </w:p>
        </w:tc>
        <w:tc>
          <w:tcPr>
            <w:tcW w:w="3392" w:type="dxa"/>
            <w:noWrap w:val="0"/>
            <w:vAlign w:val="center"/>
          </w:tcPr>
          <w:p>
            <w:pPr>
              <w:widowControl/>
              <w:rPr>
                <w:rFonts w:hint="eastAsia" w:ascii="宋体" w:hAnsi="宋体" w:cs="宋体"/>
                <w:bCs/>
                <w:color w:val="000000"/>
                <w:kern w:val="0"/>
                <w:sz w:val="24"/>
                <w:szCs w:val="24"/>
                <w:highlight w:val="none"/>
              </w:rPr>
            </w:pPr>
            <w:r>
              <w:rPr>
                <w:rFonts w:hint="eastAsia" w:ascii="宋体" w:hAnsi="宋体" w:cs="宋体"/>
                <w:color w:val="000000"/>
                <w:kern w:val="0"/>
                <w:sz w:val="24"/>
                <w:szCs w:val="24"/>
                <w:highlight w:val="none"/>
              </w:rPr>
              <w:t>有依法交纳税收和社会保障资金的良好记录</w:t>
            </w:r>
          </w:p>
        </w:tc>
        <w:tc>
          <w:tcPr>
            <w:tcW w:w="4979" w:type="dxa"/>
            <w:noWrap w:val="0"/>
            <w:vAlign w:val="top"/>
          </w:tcPr>
          <w:p>
            <w:pPr>
              <w:widowControl/>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缴纳税收的证明材料是指</w:t>
            </w:r>
            <w:r>
              <w:rPr>
                <w:rFonts w:hint="eastAsia" w:ascii="宋体" w:hAnsi="宋体" w:cs="宋体"/>
                <w:color w:val="000000"/>
                <w:sz w:val="24"/>
                <w:szCs w:val="24"/>
                <w:highlight w:val="none"/>
              </w:rPr>
              <w:t>投标人</w:t>
            </w:r>
            <w:r>
              <w:rPr>
                <w:rFonts w:hint="eastAsia" w:ascii="宋体" w:hAnsi="宋体" w:cs="宋体"/>
                <w:bCs/>
                <w:color w:val="000000"/>
                <w:kern w:val="0"/>
                <w:sz w:val="24"/>
                <w:szCs w:val="24"/>
                <w:highlight w:val="none"/>
              </w:rPr>
              <w:t>税务登记证（或统一社会信用代码、营业执照）和参加政府采购活动近期缴纳税收的凭据（完税证、缴款书、印花税票、银行代扣（代缴）转账凭证等均可）。</w:t>
            </w:r>
          </w:p>
          <w:p>
            <w:pPr>
              <w:widowControl/>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缴纳社会保障资金的证明材料是指参加政府采购活动近期缴纳社会保险的凭据（专用收据或其他缴纳的凭据）。</w:t>
            </w:r>
          </w:p>
          <w:p>
            <w:pPr>
              <w:widowControl/>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其他组织和自然人也需要提供缴纳税收的凭据和缴纳社会保险的凭据。</w:t>
            </w:r>
          </w:p>
          <w:p>
            <w:pPr>
              <w:widowControl/>
              <w:rPr>
                <w:rFonts w:hint="eastAsia" w:hAnsi="宋体" w:cs="宋体"/>
                <w:color w:val="000000"/>
                <w:sz w:val="24"/>
                <w:szCs w:val="24"/>
                <w:highlight w:val="none"/>
              </w:rPr>
            </w:pPr>
            <w:r>
              <w:rPr>
                <w:rFonts w:hint="eastAsia" w:ascii="宋体" w:hAnsi="宋体" w:cs="宋体"/>
                <w:bCs/>
                <w:color w:val="000000"/>
                <w:kern w:val="0"/>
                <w:sz w:val="24"/>
                <w:szCs w:val="24"/>
                <w:highlight w:val="none"/>
              </w:rPr>
              <w:t>依法免税或不需要缴纳社会保障资金的</w:t>
            </w:r>
            <w:r>
              <w:rPr>
                <w:rFonts w:hint="eastAsia" w:ascii="宋体" w:hAnsi="宋体" w:cs="宋体"/>
                <w:color w:val="000000"/>
                <w:sz w:val="24"/>
                <w:szCs w:val="24"/>
                <w:highlight w:val="none"/>
              </w:rPr>
              <w:t>投标人</w:t>
            </w:r>
            <w:r>
              <w:rPr>
                <w:rFonts w:hint="eastAsia" w:ascii="宋体" w:hAnsi="宋体" w:cs="宋体"/>
                <w:bCs/>
                <w:color w:val="000000"/>
                <w:kern w:val="0"/>
                <w:sz w:val="24"/>
                <w:szCs w:val="24"/>
                <w:highlight w:val="none"/>
              </w:rPr>
              <w:t>，应提供相应文件证明其依法免税或不需要缴纳社会保障资金。</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86" w:hRule="atLeast"/>
          <w:jc w:val="center"/>
        </w:trPr>
        <w:tc>
          <w:tcPr>
            <w:tcW w:w="654" w:type="dxa"/>
            <w:noWrap w:val="0"/>
            <w:vAlign w:val="center"/>
          </w:tcPr>
          <w:p>
            <w:pPr>
              <w:widowControl/>
              <w:jc w:val="center"/>
              <w:rPr>
                <w:rFonts w:hint="eastAsia" w:ascii="宋体" w:hAnsi="宋体" w:cs="宋体"/>
                <w:bCs/>
                <w:color w:val="000000"/>
                <w:kern w:val="0"/>
                <w:sz w:val="24"/>
                <w:szCs w:val="24"/>
                <w:highlight w:val="none"/>
              </w:rPr>
            </w:pPr>
            <w:r>
              <w:rPr>
                <w:rFonts w:hint="eastAsia" w:ascii="宋体" w:hAnsi="宋体" w:cs="宋体"/>
                <w:bCs/>
                <w:color w:val="000000"/>
                <w:kern w:val="0"/>
                <w:sz w:val="24"/>
                <w:szCs w:val="24"/>
                <w:highlight w:val="none"/>
              </w:rPr>
              <w:t>4</w:t>
            </w:r>
          </w:p>
        </w:tc>
        <w:tc>
          <w:tcPr>
            <w:tcW w:w="3392" w:type="dxa"/>
            <w:noWrap w:val="0"/>
            <w:vAlign w:val="center"/>
          </w:tcPr>
          <w:p>
            <w:pPr>
              <w:widowControl/>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具有履行合同所必需的设备和专业技术能力</w:t>
            </w:r>
          </w:p>
        </w:tc>
        <w:tc>
          <w:tcPr>
            <w:tcW w:w="4979" w:type="dxa"/>
            <w:noWrap w:val="0"/>
            <w:vAlign w:val="center"/>
          </w:tcPr>
          <w:p>
            <w:pPr>
              <w:pStyle w:val="15"/>
              <w:rPr>
                <w:rFonts w:hAnsi="宋体" w:cs="宋体"/>
                <w:color w:val="000000"/>
                <w:sz w:val="24"/>
                <w:szCs w:val="24"/>
                <w:highlight w:val="none"/>
              </w:rPr>
            </w:pPr>
            <w:r>
              <w:rPr>
                <w:rFonts w:hint="eastAsia" w:hAnsi="宋体" w:cs="宋体"/>
                <w:color w:val="000000"/>
                <w:sz w:val="24"/>
                <w:szCs w:val="24"/>
                <w:highlight w:val="none"/>
              </w:rPr>
              <w:t>提供具备履行合同所必需的设备和专业技术能力的相关证明材料</w:t>
            </w:r>
            <w:r>
              <w:rPr>
                <w:rFonts w:hint="eastAsia" w:hAnsi="宋体" w:cs="宋体"/>
                <w:color w:val="000000"/>
                <w:sz w:val="24"/>
                <w:szCs w:val="24"/>
                <w:highlight w:val="none"/>
                <w:lang w:val="en-US" w:eastAsia="zh-CN"/>
              </w:rPr>
              <w:t>或声明函</w:t>
            </w:r>
            <w:r>
              <w:rPr>
                <w:rFonts w:hint="eastAsia" w:hAnsi="宋体" w:cs="宋体"/>
                <w:color w:val="000000"/>
                <w:sz w:val="24"/>
                <w:szCs w:val="24"/>
                <w:highlight w:val="none"/>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0" w:hRule="atLeast"/>
          <w:jc w:val="center"/>
        </w:trPr>
        <w:tc>
          <w:tcPr>
            <w:tcW w:w="654" w:type="dxa"/>
            <w:noWrap w:val="0"/>
            <w:vAlign w:val="center"/>
          </w:tcPr>
          <w:p>
            <w:pPr>
              <w:widowControl/>
              <w:jc w:val="center"/>
              <w:rPr>
                <w:rFonts w:ascii="宋体" w:hAnsi="宋体" w:cs="宋体"/>
                <w:bCs/>
                <w:color w:val="000000"/>
                <w:kern w:val="0"/>
                <w:sz w:val="24"/>
                <w:szCs w:val="24"/>
                <w:highlight w:val="none"/>
              </w:rPr>
            </w:pPr>
            <w:r>
              <w:rPr>
                <w:rFonts w:hint="eastAsia" w:ascii="宋体" w:hAnsi="宋体" w:cs="宋体"/>
                <w:bCs/>
                <w:color w:val="000000"/>
                <w:kern w:val="0"/>
                <w:sz w:val="24"/>
                <w:szCs w:val="24"/>
                <w:highlight w:val="none"/>
              </w:rPr>
              <w:t>5</w:t>
            </w:r>
          </w:p>
        </w:tc>
        <w:tc>
          <w:tcPr>
            <w:tcW w:w="3392" w:type="dxa"/>
            <w:noWrap w:val="0"/>
            <w:vAlign w:val="center"/>
          </w:tcPr>
          <w:p>
            <w:pPr>
              <w:widowControl/>
              <w:rPr>
                <w:rFonts w:ascii="宋体" w:hAnsi="宋体" w:cs="宋体"/>
                <w:color w:val="000000"/>
                <w:kern w:val="0"/>
                <w:sz w:val="24"/>
                <w:szCs w:val="24"/>
                <w:highlight w:val="none"/>
              </w:rPr>
            </w:pPr>
            <w:r>
              <w:rPr>
                <w:rFonts w:hint="eastAsia" w:ascii="宋体" w:hAnsi="宋体" w:cs="宋体"/>
                <w:color w:val="000000"/>
                <w:kern w:val="0"/>
                <w:sz w:val="24"/>
                <w:szCs w:val="24"/>
                <w:highlight w:val="none"/>
              </w:rPr>
              <w:t>参加本次活动前三年内，在经营活动中没有重大违法记录</w:t>
            </w:r>
          </w:p>
        </w:tc>
        <w:tc>
          <w:tcPr>
            <w:tcW w:w="4979" w:type="dxa"/>
            <w:noWrap w:val="0"/>
            <w:vAlign w:val="center"/>
          </w:tcPr>
          <w:p>
            <w:pPr>
              <w:rPr>
                <w:rFonts w:hint="eastAsia" w:ascii="宋体" w:hAnsi="宋体" w:eastAsia="宋体"/>
                <w:kern w:val="0"/>
                <w:sz w:val="24"/>
                <w:szCs w:val="24"/>
                <w:highlight w:val="none"/>
                <w:lang w:eastAsia="zh-CN"/>
              </w:rPr>
            </w:pPr>
            <w:r>
              <w:rPr>
                <w:rFonts w:hint="eastAsia" w:cs="宋体"/>
                <w:kern w:val="0"/>
                <w:sz w:val="24"/>
                <w:szCs w:val="24"/>
                <w:highlight w:val="none"/>
                <w:lang w:val="en-US" w:eastAsia="zh-CN"/>
              </w:rPr>
              <w:t>提供</w:t>
            </w:r>
            <w:r>
              <w:rPr>
                <w:rFonts w:hint="eastAsia" w:ascii="宋体" w:hAnsi="宋体" w:cs="宋体"/>
                <w:kern w:val="0"/>
                <w:sz w:val="24"/>
                <w:szCs w:val="24"/>
                <w:highlight w:val="none"/>
              </w:rPr>
              <w:t>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654" w:type="dxa"/>
            <w:noWrap w:val="0"/>
            <w:vAlign w:val="center"/>
          </w:tcPr>
          <w:p>
            <w:pPr>
              <w:widowControl/>
              <w:jc w:val="center"/>
              <w:rPr>
                <w:rFonts w:hint="eastAsia" w:ascii="宋体" w:hAnsi="宋体" w:eastAsia="宋体" w:cs="宋体"/>
                <w:bCs/>
                <w:color w:val="000000"/>
                <w:kern w:val="0"/>
                <w:sz w:val="24"/>
                <w:szCs w:val="24"/>
                <w:highlight w:val="none"/>
                <w:lang w:val="en-US" w:eastAsia="zh-CN"/>
              </w:rPr>
            </w:pPr>
            <w:r>
              <w:rPr>
                <w:rFonts w:hint="eastAsia" w:cs="宋体"/>
                <w:bCs/>
                <w:color w:val="000000"/>
                <w:kern w:val="0"/>
                <w:sz w:val="24"/>
                <w:szCs w:val="24"/>
                <w:highlight w:val="none"/>
                <w:lang w:val="en-US" w:eastAsia="zh-CN"/>
              </w:rPr>
              <w:t>6</w:t>
            </w:r>
          </w:p>
        </w:tc>
        <w:tc>
          <w:tcPr>
            <w:tcW w:w="3392" w:type="dxa"/>
            <w:noWrap w:val="0"/>
            <w:vAlign w:val="center"/>
          </w:tcPr>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textAlignment w:val="auto"/>
              <w:rPr>
                <w:rFonts w:hint="eastAsia"/>
                <w:szCs w:val="24"/>
              </w:rPr>
            </w:pPr>
            <w:r>
              <w:rPr>
                <w:rFonts w:hint="eastAsia"/>
                <w:szCs w:val="24"/>
              </w:rPr>
              <w:t>单位负责人为同一人或者存在直接控股、管理关系的不同投标人，不得参加本项目同一合同项下的政府采购活动。</w:t>
            </w:r>
          </w:p>
        </w:tc>
        <w:tc>
          <w:tcPr>
            <w:tcW w:w="4979" w:type="dxa"/>
            <w:noWrap w:val="0"/>
            <w:vAlign w:val="center"/>
          </w:tcPr>
          <w:p>
            <w:pPr>
              <w:widowControl/>
              <w:rPr>
                <w:rFonts w:hint="default" w:eastAsia="宋体"/>
                <w:szCs w:val="24"/>
                <w:lang w:val="en-US" w:eastAsia="zh-CN"/>
              </w:rPr>
            </w:pPr>
            <w:r>
              <w:rPr>
                <w:rFonts w:hint="eastAsia" w:cs="Times New Roman"/>
                <w:bCs w:val="0"/>
                <w:sz w:val="24"/>
                <w:szCs w:val="24"/>
                <w:lang w:val="en-US" w:eastAsia="zh-CN"/>
              </w:rPr>
              <w:t>提供</w:t>
            </w:r>
            <w:r>
              <w:rPr>
                <w:rFonts w:hint="eastAsia" w:ascii="宋体" w:hAnsi="宋体" w:cs="宋体"/>
                <w:kern w:val="0"/>
                <w:sz w:val="24"/>
                <w:szCs w:val="24"/>
                <w:highlight w:val="none"/>
              </w:rPr>
              <w:t>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14" w:hRule="atLeast"/>
          <w:jc w:val="center"/>
        </w:trPr>
        <w:tc>
          <w:tcPr>
            <w:tcW w:w="654" w:type="dxa"/>
            <w:noWrap w:val="0"/>
            <w:vAlign w:val="center"/>
          </w:tcPr>
          <w:p>
            <w:pPr>
              <w:widowControl/>
              <w:jc w:val="center"/>
              <w:rPr>
                <w:rFonts w:hint="eastAsia" w:ascii="宋体" w:hAnsi="宋体" w:eastAsia="宋体" w:cs="宋体"/>
                <w:bCs/>
                <w:color w:val="000000"/>
                <w:kern w:val="0"/>
                <w:sz w:val="24"/>
                <w:szCs w:val="24"/>
                <w:highlight w:val="none"/>
                <w:lang w:val="en-US" w:eastAsia="zh-CN"/>
              </w:rPr>
            </w:pPr>
            <w:r>
              <w:rPr>
                <w:rFonts w:hint="eastAsia" w:cs="宋体"/>
                <w:bCs/>
                <w:color w:val="000000"/>
                <w:kern w:val="0"/>
                <w:sz w:val="24"/>
                <w:szCs w:val="24"/>
                <w:highlight w:val="none"/>
                <w:lang w:val="en-US" w:eastAsia="zh-CN"/>
              </w:rPr>
              <w:t>7</w:t>
            </w:r>
          </w:p>
        </w:tc>
        <w:tc>
          <w:tcPr>
            <w:tcW w:w="3392" w:type="dxa"/>
            <w:noWrap w:val="0"/>
            <w:vAlign w:val="center"/>
          </w:tcPr>
          <w:p>
            <w:pPr>
              <w:keepNext w:val="0"/>
              <w:keepLines w:val="0"/>
              <w:pageBreakBefore w:val="0"/>
              <w:widowControl w:val="0"/>
              <w:numPr>
                <w:ilvl w:val="0"/>
                <w:numId w:val="0"/>
              </w:numPr>
              <w:tabs>
                <w:tab w:val="left" w:pos="0"/>
                <w:tab w:val="left" w:pos="851"/>
              </w:tabs>
              <w:kinsoku/>
              <w:wordWrap w:val="0"/>
              <w:overflowPunct/>
              <w:topLinePunct w:val="0"/>
              <w:autoSpaceDE/>
              <w:autoSpaceDN/>
              <w:bidi w:val="0"/>
              <w:adjustRightInd/>
              <w:snapToGrid/>
              <w:spacing w:line="360" w:lineRule="auto"/>
              <w:textAlignment w:val="auto"/>
              <w:rPr>
                <w:rFonts w:hint="eastAsia"/>
                <w:szCs w:val="24"/>
              </w:rPr>
            </w:pPr>
            <w:r>
              <w:rPr>
                <w:rFonts w:hint="eastAsia"/>
                <w:szCs w:val="24"/>
              </w:rPr>
              <w:t>为本采购项目提供整体设计、规范编制或者项目管理、监理、检测等服务的，不得再参加本项目的其他招标采购活动。</w:t>
            </w:r>
          </w:p>
        </w:tc>
        <w:tc>
          <w:tcPr>
            <w:tcW w:w="4979" w:type="dxa"/>
            <w:noWrap w:val="0"/>
            <w:vAlign w:val="center"/>
          </w:tcPr>
          <w:p>
            <w:pPr>
              <w:widowControl/>
              <w:rPr>
                <w:rFonts w:hint="default" w:eastAsia="宋体"/>
                <w:szCs w:val="24"/>
                <w:lang w:val="en-US" w:eastAsia="zh-CN"/>
              </w:rPr>
            </w:pPr>
            <w:r>
              <w:rPr>
                <w:rFonts w:hint="eastAsia" w:cs="Times New Roman"/>
                <w:bCs w:val="0"/>
                <w:sz w:val="24"/>
                <w:szCs w:val="24"/>
                <w:lang w:val="en-US" w:eastAsia="zh-CN"/>
              </w:rPr>
              <w:t>提供</w:t>
            </w:r>
            <w:r>
              <w:rPr>
                <w:rFonts w:hint="eastAsia" w:ascii="宋体" w:hAnsi="宋体" w:cs="宋体"/>
                <w:kern w:val="0"/>
                <w:sz w:val="24"/>
                <w:szCs w:val="24"/>
                <w:highlight w:val="none"/>
              </w:rPr>
              <w:t>声明函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654" w:type="dxa"/>
            <w:noWrap w:val="0"/>
            <w:vAlign w:val="center"/>
          </w:tcPr>
          <w:p>
            <w:pPr>
              <w:widowControl/>
              <w:jc w:val="center"/>
              <w:rPr>
                <w:rFonts w:hint="eastAsia" w:ascii="宋体" w:hAnsi="宋体" w:eastAsia="宋体" w:cs="宋体"/>
                <w:bCs/>
                <w:color w:val="000000"/>
                <w:kern w:val="0"/>
                <w:sz w:val="24"/>
                <w:szCs w:val="24"/>
                <w:highlight w:val="none"/>
                <w:lang w:eastAsia="zh-CN"/>
              </w:rPr>
            </w:pPr>
            <w:r>
              <w:rPr>
                <w:rFonts w:hint="eastAsia" w:cs="宋体"/>
                <w:bCs/>
                <w:color w:val="000000"/>
                <w:kern w:val="0"/>
                <w:sz w:val="24"/>
                <w:szCs w:val="24"/>
                <w:highlight w:val="none"/>
                <w:lang w:val="en-US" w:eastAsia="zh-CN"/>
              </w:rPr>
              <w:t>8</w:t>
            </w:r>
          </w:p>
        </w:tc>
        <w:tc>
          <w:tcPr>
            <w:tcW w:w="3392" w:type="dxa"/>
            <w:noWrap w:val="0"/>
            <w:vAlign w:val="center"/>
          </w:tcPr>
          <w:p>
            <w:pPr>
              <w:widowControl/>
              <w:rPr>
                <w:rFonts w:hint="eastAsia"/>
                <w:szCs w:val="24"/>
              </w:rPr>
            </w:pPr>
            <w:r>
              <w:rPr>
                <w:rFonts w:hint="eastAsia"/>
                <w:szCs w:val="24"/>
              </w:rPr>
              <w:t>在“信用中国”网站（www.creditchina.gov.cn）和中国政府采购网（www.ccgp.gov.cn）上未被列入失信被执行人、重大税收违法案件当事人名单、政府采购严重违法失信行为记录名单等不良行为记录</w:t>
            </w:r>
          </w:p>
        </w:tc>
        <w:tc>
          <w:tcPr>
            <w:tcW w:w="4979" w:type="dxa"/>
            <w:noWrap w:val="0"/>
            <w:vAlign w:val="center"/>
          </w:tcPr>
          <w:p>
            <w:pPr>
              <w:widowControl/>
              <w:rPr>
                <w:rFonts w:hint="eastAsia"/>
                <w:szCs w:val="24"/>
              </w:rPr>
            </w:pPr>
            <w:r>
              <w:rPr>
                <w:rFonts w:hint="eastAsia"/>
                <w:szCs w:val="24"/>
                <w:lang w:val="en-US" w:eastAsia="zh-CN"/>
              </w:rPr>
              <w:t>提供</w:t>
            </w:r>
            <w:r>
              <w:rPr>
                <w:rFonts w:hint="eastAsia" w:ascii="宋体" w:hAnsi="宋体" w:cs="宋体"/>
                <w:kern w:val="0"/>
                <w:sz w:val="24"/>
                <w:szCs w:val="24"/>
                <w:highlight w:val="none"/>
              </w:rPr>
              <w:t>声明函</w:t>
            </w:r>
            <w:r>
              <w:rPr>
                <w:rFonts w:hint="eastAsia"/>
                <w:szCs w:val="24"/>
                <w:lang w:val="en-US" w:eastAsia="zh-CN"/>
              </w:rPr>
              <w:t>，格式自拟</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368" w:hRule="atLeast"/>
          <w:jc w:val="center"/>
        </w:trPr>
        <w:tc>
          <w:tcPr>
            <w:tcW w:w="654" w:type="dxa"/>
            <w:noWrap w:val="0"/>
            <w:vAlign w:val="center"/>
          </w:tcPr>
          <w:p>
            <w:pPr>
              <w:widowControl/>
              <w:jc w:val="center"/>
              <w:rPr>
                <w:rFonts w:hint="default" w:ascii="宋体" w:hAnsi="宋体" w:eastAsia="宋体" w:cs="宋体"/>
                <w:bCs/>
                <w:color w:val="000000"/>
                <w:kern w:val="0"/>
                <w:sz w:val="24"/>
                <w:szCs w:val="24"/>
                <w:highlight w:val="none"/>
                <w:lang w:val="en-US" w:eastAsia="zh-CN"/>
              </w:rPr>
            </w:pPr>
            <w:r>
              <w:rPr>
                <w:rFonts w:hint="eastAsia" w:cs="宋体"/>
                <w:bCs/>
                <w:color w:val="000000"/>
                <w:kern w:val="0"/>
                <w:sz w:val="24"/>
                <w:szCs w:val="24"/>
                <w:highlight w:val="none"/>
                <w:lang w:val="en-US" w:eastAsia="zh-CN"/>
              </w:rPr>
              <w:t>9</w:t>
            </w:r>
          </w:p>
        </w:tc>
        <w:tc>
          <w:tcPr>
            <w:tcW w:w="3392" w:type="dxa"/>
            <w:noWrap w:val="0"/>
            <w:vAlign w:val="center"/>
          </w:tcPr>
          <w:p>
            <w:pPr>
              <w:widowControl/>
              <w:rPr>
                <w:rFonts w:hint="eastAsia"/>
                <w:szCs w:val="24"/>
              </w:rPr>
            </w:pPr>
            <w:r>
              <w:rPr>
                <w:rFonts w:hint="eastAsia"/>
                <w:szCs w:val="24"/>
              </w:rPr>
              <w:t>在“</w:t>
            </w:r>
            <w:r>
              <w:rPr>
                <w:rFonts w:hint="eastAsia"/>
                <w:szCs w:val="24"/>
                <w:lang w:eastAsia="zh-CN"/>
              </w:rPr>
              <w:t>湖北公共资源交易电子服务系统-信用信息平台</w:t>
            </w:r>
            <w:r>
              <w:rPr>
                <w:rFonts w:hint="eastAsia"/>
                <w:szCs w:val="24"/>
              </w:rPr>
              <w:t>”（</w:t>
            </w:r>
            <w:r>
              <w:rPr>
                <w:rFonts w:hint="eastAsia"/>
                <w:szCs w:val="24"/>
                <w:lang w:val="en-US" w:eastAsia="zh-CN"/>
              </w:rPr>
              <w:t>http://xypt.hbggzyfwpt.cn</w:t>
            </w:r>
            <w:r>
              <w:rPr>
                <w:rFonts w:hint="eastAsia"/>
                <w:szCs w:val="24"/>
              </w:rPr>
              <w:t>）未被</w:t>
            </w:r>
            <w:r>
              <w:rPr>
                <w:rFonts w:hint="eastAsia"/>
                <w:szCs w:val="24"/>
                <w:lang w:eastAsia="zh-CN"/>
              </w:rPr>
              <w:t>列入重点监管对象</w:t>
            </w:r>
          </w:p>
        </w:tc>
        <w:tc>
          <w:tcPr>
            <w:tcW w:w="4979" w:type="dxa"/>
            <w:noWrap w:val="0"/>
            <w:vAlign w:val="center"/>
          </w:tcPr>
          <w:p>
            <w:pPr>
              <w:widowControl/>
              <w:rPr>
                <w:rFonts w:hint="default"/>
                <w:szCs w:val="24"/>
                <w:lang w:val="en-US" w:eastAsia="zh-CN"/>
              </w:rPr>
            </w:pPr>
            <w:r>
              <w:rPr>
                <w:rFonts w:hint="eastAsia"/>
                <w:szCs w:val="24"/>
                <w:lang w:val="en-US" w:eastAsia="zh-CN"/>
              </w:rPr>
              <w:t>提供</w:t>
            </w:r>
            <w:r>
              <w:rPr>
                <w:rFonts w:hint="eastAsia" w:ascii="宋体" w:hAnsi="宋体" w:cs="宋体"/>
                <w:kern w:val="0"/>
                <w:sz w:val="24"/>
                <w:szCs w:val="24"/>
                <w:highlight w:val="none"/>
              </w:rPr>
              <w:t>声明函</w:t>
            </w:r>
            <w:r>
              <w:rPr>
                <w:rFonts w:hint="eastAsia"/>
                <w:szCs w:val="24"/>
                <w:lang w:val="en-US" w:eastAsia="zh-CN"/>
              </w:rPr>
              <w:t>，格式自拟</w:t>
            </w:r>
          </w:p>
        </w:tc>
      </w:tr>
    </w:tbl>
    <w:p>
      <w:pPr>
        <w:wordWrap w:val="0"/>
        <w:spacing w:line="360" w:lineRule="auto"/>
        <w:ind w:firstLine="420"/>
        <w:rPr>
          <w:b/>
          <w:bCs/>
          <w:kern w:val="44"/>
          <w:szCs w:val="24"/>
        </w:rPr>
      </w:pPr>
      <w:r>
        <w:rPr>
          <w:sz w:val="36"/>
          <w:szCs w:val="36"/>
        </w:rPr>
        <w:br w:type="page"/>
      </w: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401" w:name="_Toc117244362"/>
      <w:bookmarkStart w:id="402" w:name="_Toc22071"/>
      <w:bookmarkStart w:id="403" w:name="_Toc117244477"/>
      <w:r>
        <w:rPr>
          <w:rFonts w:hint="eastAsia"/>
          <w:sz w:val="36"/>
          <w:szCs w:val="36"/>
        </w:rPr>
        <w:t>评标</w:t>
      </w:r>
      <w:bookmarkEnd w:id="379"/>
      <w:bookmarkEnd w:id="395"/>
      <w:bookmarkEnd w:id="396"/>
      <w:bookmarkEnd w:id="397"/>
      <w:bookmarkEnd w:id="398"/>
      <w:bookmarkEnd w:id="399"/>
      <w:bookmarkEnd w:id="400"/>
      <w:r>
        <w:rPr>
          <w:rFonts w:hint="eastAsia"/>
          <w:sz w:val="36"/>
          <w:szCs w:val="36"/>
        </w:rPr>
        <w:t>办法</w:t>
      </w:r>
      <w:bookmarkEnd w:id="401"/>
      <w:bookmarkEnd w:id="402"/>
      <w:bookmarkEnd w:id="403"/>
    </w:p>
    <w:p>
      <w:pPr>
        <w:pStyle w:val="3"/>
        <w:numPr>
          <w:ilvl w:val="0"/>
          <w:numId w:val="46"/>
        </w:numPr>
        <w:wordWrap w:val="0"/>
        <w:spacing w:before="0" w:after="0" w:line="360" w:lineRule="auto"/>
        <w:ind w:left="616" w:hanging="616"/>
        <w:jc w:val="left"/>
        <w:rPr>
          <w:rFonts w:ascii="宋体" w:hAnsi="宋体" w:eastAsia="宋体" w:cs="Times New Roman"/>
          <w:bCs w:val="0"/>
          <w:sz w:val="28"/>
          <w:szCs w:val="28"/>
          <w:lang w:val="zh-CN"/>
        </w:rPr>
      </w:pPr>
      <w:bookmarkStart w:id="404" w:name="_Toc278891605"/>
      <w:bookmarkStart w:id="405" w:name="_Toc272247708"/>
      <w:bookmarkStart w:id="406" w:name="_Toc102057741"/>
      <w:bookmarkStart w:id="407" w:name="_Toc511894517"/>
      <w:bookmarkStart w:id="408" w:name="_Toc102114943"/>
      <w:bookmarkStart w:id="409" w:name="_Toc102119876"/>
      <w:bookmarkStart w:id="410" w:name="_Toc102116175"/>
      <w:bookmarkStart w:id="411" w:name="_Toc16477"/>
      <w:bookmarkStart w:id="412" w:name="_Toc102116045"/>
      <w:bookmarkStart w:id="413" w:name="_Toc117244478"/>
      <w:bookmarkStart w:id="414" w:name="_Toc117244363"/>
      <w:bookmarkStart w:id="415" w:name="_Toc102056241"/>
      <w:bookmarkStart w:id="416" w:name="_Toc494561961"/>
      <w:r>
        <w:rPr>
          <w:rFonts w:hint="eastAsia" w:ascii="宋体" w:hAnsi="宋体" w:eastAsia="宋体" w:cs="Times New Roman"/>
          <w:bCs w:val="0"/>
          <w:sz w:val="28"/>
          <w:szCs w:val="28"/>
          <w:lang w:val="zh-CN"/>
        </w:rPr>
        <w:t>评标</w:t>
      </w:r>
      <w:bookmarkEnd w:id="404"/>
      <w:bookmarkEnd w:id="405"/>
      <w:r>
        <w:rPr>
          <w:rFonts w:hint="eastAsia" w:ascii="宋体" w:hAnsi="宋体" w:eastAsia="宋体" w:cs="Times New Roman"/>
          <w:bCs w:val="0"/>
          <w:sz w:val="28"/>
          <w:szCs w:val="28"/>
          <w:lang w:val="zh-CN"/>
        </w:rPr>
        <w:t>方法</w:t>
      </w:r>
      <w:bookmarkEnd w:id="406"/>
      <w:bookmarkEnd w:id="407"/>
      <w:bookmarkEnd w:id="408"/>
      <w:bookmarkEnd w:id="409"/>
      <w:bookmarkEnd w:id="410"/>
      <w:bookmarkEnd w:id="411"/>
      <w:bookmarkEnd w:id="412"/>
      <w:bookmarkEnd w:id="413"/>
      <w:bookmarkEnd w:id="414"/>
      <w:bookmarkEnd w:id="415"/>
      <w:bookmarkEnd w:id="416"/>
    </w:p>
    <w:p>
      <w:pPr>
        <w:wordWrap w:val="0"/>
        <w:spacing w:line="360" w:lineRule="auto"/>
        <w:ind w:firstLine="480" w:firstLineChars="200"/>
        <w:rPr>
          <w:bCs/>
          <w:lang w:val="zh-CN"/>
        </w:rPr>
      </w:pPr>
      <w:r>
        <w:rPr>
          <w:rFonts w:hint="eastAsia"/>
          <w:bCs/>
          <w:szCs w:val="24"/>
          <w:lang w:val="zh-CN"/>
        </w:rPr>
        <w:t>本项目评标采用综合评分法。综合评分法</w:t>
      </w:r>
      <w:r>
        <w:rPr>
          <w:bCs/>
          <w:szCs w:val="24"/>
          <w:lang w:val="zh-CN"/>
        </w:rPr>
        <w:t>是指投标文件满足招标文件全部实质性要求</w:t>
      </w:r>
      <w:r>
        <w:rPr>
          <w:rFonts w:hint="eastAsia"/>
          <w:bCs/>
          <w:szCs w:val="24"/>
          <w:lang w:val="zh-CN"/>
        </w:rPr>
        <w:t>，并</w:t>
      </w:r>
      <w:r>
        <w:rPr>
          <w:bCs/>
          <w:szCs w:val="24"/>
          <w:lang w:val="zh-CN"/>
        </w:rPr>
        <w:t>按照评</w:t>
      </w:r>
      <w:r>
        <w:rPr>
          <w:bCs/>
          <w:lang w:val="zh-CN"/>
        </w:rPr>
        <w:t>审因素的量化指标评审得分最高的投标人为中标候选人的评标方法。</w:t>
      </w:r>
      <w:bookmarkStart w:id="417" w:name="_Toc494561962"/>
      <w:bookmarkStart w:id="418" w:name="_Toc278891606"/>
      <w:bookmarkStart w:id="419" w:name="_Toc272247709"/>
      <w:bookmarkStart w:id="420" w:name="_Toc511894518"/>
    </w:p>
    <w:bookmarkEnd w:id="417"/>
    <w:bookmarkEnd w:id="418"/>
    <w:bookmarkEnd w:id="419"/>
    <w:bookmarkEnd w:id="420"/>
    <w:p>
      <w:pPr>
        <w:pStyle w:val="3"/>
        <w:numPr>
          <w:ilvl w:val="0"/>
          <w:numId w:val="46"/>
        </w:numPr>
        <w:wordWrap w:val="0"/>
        <w:spacing w:before="0" w:after="0" w:line="360" w:lineRule="auto"/>
        <w:ind w:left="616" w:hanging="616"/>
        <w:jc w:val="left"/>
        <w:rPr>
          <w:rFonts w:ascii="宋体" w:hAnsi="宋体" w:eastAsia="宋体" w:cs="Times New Roman"/>
          <w:bCs w:val="0"/>
          <w:sz w:val="28"/>
          <w:szCs w:val="28"/>
          <w:lang w:val="zh-CN"/>
        </w:rPr>
      </w:pPr>
      <w:bookmarkStart w:id="421" w:name="_Toc102057742"/>
      <w:bookmarkStart w:id="422" w:name="_Toc102056242"/>
      <w:bookmarkStart w:id="423" w:name="_Toc9993"/>
      <w:bookmarkStart w:id="424" w:name="_Toc117244479"/>
      <w:bookmarkStart w:id="425" w:name="_Toc102116176"/>
      <w:bookmarkStart w:id="426" w:name="_Toc102119877"/>
      <w:bookmarkStart w:id="427" w:name="_Toc102114944"/>
      <w:bookmarkStart w:id="428" w:name="_Toc102116046"/>
      <w:bookmarkStart w:id="429" w:name="_Toc117244364"/>
      <w:bookmarkStart w:id="430" w:name="_Toc117244480"/>
      <w:bookmarkStart w:id="431" w:name="_Toc102056251"/>
      <w:bookmarkStart w:id="432" w:name="_Toc117244365"/>
      <w:bookmarkStart w:id="433" w:name="_Toc102119886"/>
      <w:bookmarkStart w:id="434" w:name="_Toc102116055"/>
      <w:bookmarkStart w:id="435" w:name="_Toc102057751"/>
      <w:bookmarkStart w:id="436" w:name="_Toc102114953"/>
      <w:bookmarkStart w:id="437" w:name="_Toc102116185"/>
      <w:bookmarkStart w:id="438" w:name="_Toc511894519"/>
      <w:bookmarkStart w:id="439" w:name="_Toc494561963"/>
      <w:r>
        <w:rPr>
          <w:rFonts w:hint="eastAsia" w:ascii="宋体" w:hAnsi="宋体" w:eastAsia="宋体" w:cs="Times New Roman"/>
          <w:bCs w:val="0"/>
          <w:sz w:val="28"/>
          <w:szCs w:val="28"/>
          <w:lang w:val="zh-CN"/>
        </w:rPr>
        <w:t>评标程序</w:t>
      </w:r>
      <w:bookmarkEnd w:id="421"/>
      <w:bookmarkEnd w:id="422"/>
      <w:bookmarkEnd w:id="423"/>
      <w:bookmarkEnd w:id="424"/>
      <w:bookmarkEnd w:id="425"/>
      <w:bookmarkEnd w:id="426"/>
      <w:bookmarkEnd w:id="427"/>
      <w:bookmarkEnd w:id="428"/>
      <w:bookmarkEnd w:id="429"/>
    </w:p>
    <w:p>
      <w:pPr>
        <w:pStyle w:val="54"/>
        <w:numPr>
          <w:ilvl w:val="0"/>
          <w:numId w:val="47"/>
        </w:numPr>
        <w:spacing w:line="360" w:lineRule="auto"/>
        <w:ind w:left="284" w:hanging="284" w:firstLineChars="0"/>
        <w:rPr>
          <w:b/>
          <w:strike/>
          <w:szCs w:val="24"/>
          <w:lang w:val="zh-CN"/>
        </w:rPr>
      </w:pPr>
      <w:bookmarkStart w:id="440" w:name="_Toc102116177"/>
      <w:bookmarkStart w:id="441" w:name="_Toc102116047"/>
      <w:bookmarkStart w:id="442" w:name="_Toc102119878"/>
      <w:bookmarkStart w:id="443" w:name="_Toc102114945"/>
      <w:bookmarkStart w:id="444" w:name="_Toc102056243"/>
      <w:bookmarkStart w:id="445" w:name="_Toc102057743"/>
      <w:r>
        <w:rPr>
          <w:rFonts w:hint="eastAsia"/>
          <w:b/>
          <w:szCs w:val="24"/>
          <w:lang w:val="zh-CN"/>
        </w:rPr>
        <w:t>符合性审查</w:t>
      </w:r>
      <w:bookmarkEnd w:id="440"/>
      <w:bookmarkEnd w:id="441"/>
      <w:bookmarkEnd w:id="442"/>
      <w:bookmarkEnd w:id="443"/>
      <w:bookmarkEnd w:id="444"/>
      <w:bookmarkEnd w:id="445"/>
    </w:p>
    <w:p>
      <w:pPr>
        <w:wordWrap w:val="0"/>
        <w:spacing w:line="360" w:lineRule="auto"/>
        <w:ind w:firstLine="470" w:firstLineChars="196"/>
        <w:rPr>
          <w:b/>
          <w:bCs/>
          <w:lang w:val="zh-CN"/>
        </w:rPr>
      </w:pPr>
      <w:r>
        <w:rPr>
          <w:rFonts w:cs="Helvetica"/>
          <w:szCs w:val="24"/>
          <w:lang w:val="zh-CN"/>
        </w:rPr>
        <w:t>评标委员会应当</w:t>
      </w:r>
      <w:r>
        <w:rPr>
          <w:rFonts w:hint="eastAsia" w:cs="Helvetica"/>
          <w:szCs w:val="24"/>
          <w:lang w:val="zh-CN"/>
        </w:rPr>
        <w:t>按照本章“三、评标标准”中“符合性审查”的内容</w:t>
      </w:r>
      <w:r>
        <w:rPr>
          <w:rFonts w:cs="Helvetica"/>
          <w:szCs w:val="24"/>
          <w:lang w:val="zh-CN"/>
        </w:rPr>
        <w:t>对</w:t>
      </w:r>
      <w:r>
        <w:rPr>
          <w:rFonts w:hint="eastAsia" w:cs="Helvetica"/>
          <w:szCs w:val="24"/>
          <w:lang w:val="zh-CN"/>
        </w:rPr>
        <w:t>通过资格审查</w:t>
      </w:r>
      <w:r>
        <w:rPr>
          <w:rFonts w:cs="Helvetica"/>
          <w:szCs w:val="24"/>
          <w:lang w:val="zh-CN"/>
        </w:rPr>
        <w:t>的投标人的投标文件进行符合性审查，以确定其是否满足招标文件实质性要求</w:t>
      </w:r>
      <w:r>
        <w:rPr>
          <w:rFonts w:hint="eastAsia"/>
          <w:bCs/>
          <w:lang w:val="zh-CN"/>
        </w:rPr>
        <w:t>。不满足招标文件实质性要求的按照</w:t>
      </w:r>
      <w:r>
        <w:rPr>
          <w:rFonts w:hint="eastAsia"/>
          <w:b/>
          <w:bCs/>
          <w:lang w:val="zh-CN"/>
        </w:rPr>
        <w:t>无效投标处理。</w:t>
      </w:r>
    </w:p>
    <w:p>
      <w:pPr>
        <w:pStyle w:val="54"/>
        <w:numPr>
          <w:ilvl w:val="0"/>
          <w:numId w:val="47"/>
        </w:numPr>
        <w:spacing w:line="360" w:lineRule="auto"/>
        <w:ind w:left="284" w:hanging="284" w:firstLineChars="0"/>
        <w:rPr>
          <w:b/>
          <w:szCs w:val="24"/>
          <w:lang w:val="zh-CN"/>
        </w:rPr>
      </w:pPr>
      <w:bookmarkStart w:id="446" w:name="_Toc102114946"/>
      <w:bookmarkStart w:id="447" w:name="_Toc102119879"/>
      <w:bookmarkStart w:id="448" w:name="_Toc102057744"/>
      <w:bookmarkStart w:id="449" w:name="_Toc102116048"/>
      <w:bookmarkStart w:id="450" w:name="_Toc102116178"/>
      <w:bookmarkStart w:id="451" w:name="_Toc102056244"/>
      <w:r>
        <w:rPr>
          <w:rFonts w:hint="eastAsia"/>
          <w:b/>
          <w:szCs w:val="24"/>
          <w:lang w:val="zh-CN"/>
        </w:rPr>
        <w:t>投标文件澄清</w:t>
      </w:r>
      <w:bookmarkEnd w:id="446"/>
      <w:bookmarkEnd w:id="447"/>
      <w:bookmarkEnd w:id="448"/>
      <w:bookmarkEnd w:id="449"/>
      <w:bookmarkEnd w:id="450"/>
      <w:bookmarkEnd w:id="451"/>
    </w:p>
    <w:p>
      <w:pPr>
        <w:numPr>
          <w:ilvl w:val="0"/>
          <w:numId w:val="48"/>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评标期间，</w:t>
      </w:r>
      <w:r>
        <w:rPr>
          <w:rFonts w:cs="Helvetica"/>
          <w:szCs w:val="24"/>
          <w:lang w:val="zh-CN"/>
        </w:rPr>
        <w:t>对于投标文件中含义不明确、同类问题表述不一致或者有明显文字和计算错误的内容，评标委员会</w:t>
      </w:r>
      <w:r>
        <w:rPr>
          <w:rFonts w:hint="eastAsia" w:cs="Helvetica"/>
          <w:szCs w:val="24"/>
          <w:lang w:val="zh-CN"/>
        </w:rPr>
        <w:t>应当在电子采购平台上以书面的形式</w:t>
      </w:r>
      <w:r>
        <w:rPr>
          <w:rFonts w:cs="Helvetica"/>
          <w:szCs w:val="24"/>
          <w:lang w:val="zh-CN"/>
        </w:rPr>
        <w:t>要求投标人</w:t>
      </w:r>
      <w:r>
        <w:rPr>
          <w:rFonts w:hint="eastAsia" w:cs="Helvetica"/>
          <w:szCs w:val="24"/>
          <w:lang w:val="zh-CN"/>
        </w:rPr>
        <w:t>作</w:t>
      </w:r>
      <w:r>
        <w:rPr>
          <w:rFonts w:cs="Helvetica"/>
          <w:szCs w:val="24"/>
          <w:lang w:val="zh-CN"/>
        </w:rPr>
        <w:t>出必要的澄清、说明或者补正。</w:t>
      </w:r>
    </w:p>
    <w:p>
      <w:pPr>
        <w:numPr>
          <w:ilvl w:val="0"/>
          <w:numId w:val="48"/>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投标人</w:t>
      </w:r>
      <w:r>
        <w:rPr>
          <w:rFonts w:hint="eastAsia"/>
          <w:bCs/>
          <w:lang w:val="zh-CN"/>
        </w:rPr>
        <w:t>应</w:t>
      </w:r>
      <w:r>
        <w:rPr>
          <w:rFonts w:hint="eastAsia" w:cs="Helvetica"/>
          <w:szCs w:val="24"/>
          <w:lang w:val="zh-CN"/>
        </w:rPr>
        <w:t>按照</w:t>
      </w:r>
      <w:r>
        <w:rPr>
          <w:rFonts w:hint="eastAsia"/>
          <w:bCs/>
          <w:lang w:val="zh-CN"/>
        </w:rPr>
        <w:t>评标委员会要求在规定时间内作出澄清、说明或者补正，</w:t>
      </w:r>
      <w:r>
        <w:rPr>
          <w:rFonts w:cs="Helvetica"/>
          <w:szCs w:val="24"/>
          <w:lang w:val="zh-CN"/>
        </w:rPr>
        <w:t>澄清、说明或者补正不得超出投标文件的范围或者改变投标文件的实质性内容。</w:t>
      </w:r>
    </w:p>
    <w:p>
      <w:pPr>
        <w:numPr>
          <w:ilvl w:val="0"/>
          <w:numId w:val="48"/>
        </w:numPr>
        <w:wordWrap w:val="0"/>
        <w:adjustRightInd w:val="0"/>
        <w:snapToGrid w:val="0"/>
        <w:spacing w:line="360" w:lineRule="auto"/>
        <w:ind w:left="420" w:leftChars="0" w:hanging="420" w:firstLineChars="0"/>
        <w:rPr>
          <w:lang w:val="zh-CN"/>
        </w:rPr>
      </w:pPr>
      <w:r>
        <w:rPr>
          <w:rFonts w:hint="eastAsia" w:cs="Helvetica"/>
          <w:szCs w:val="24"/>
          <w:lang w:val="zh-CN"/>
        </w:rPr>
        <w:t>投标人</w:t>
      </w:r>
      <w:r>
        <w:rPr>
          <w:rFonts w:hint="eastAsia"/>
          <w:lang w:val="zh-CN"/>
        </w:rPr>
        <w:t>的</w:t>
      </w:r>
      <w:r>
        <w:rPr>
          <w:rFonts w:cs="Helvetica"/>
          <w:szCs w:val="24"/>
          <w:lang w:val="zh-CN"/>
        </w:rPr>
        <w:t>澄清、说明或者补正</w:t>
      </w:r>
      <w:r>
        <w:rPr>
          <w:rFonts w:hint="eastAsia"/>
          <w:lang w:val="zh-CN"/>
        </w:rPr>
        <w:t>是其投标文件的有效组成部分，</w:t>
      </w:r>
      <w:r>
        <w:rPr>
          <w:rFonts w:cs="Helvetica"/>
          <w:szCs w:val="24"/>
          <w:lang w:val="zh-CN"/>
        </w:rPr>
        <w:t>澄清、说明或者补正应当</w:t>
      </w:r>
      <w:r>
        <w:rPr>
          <w:rFonts w:hint="eastAsia" w:cs="Helvetica"/>
          <w:szCs w:val="24"/>
          <w:lang w:val="zh-CN"/>
        </w:rPr>
        <w:t>在电子采购平台</w:t>
      </w:r>
      <w:r>
        <w:rPr>
          <w:szCs w:val="24"/>
          <w:lang w:val="zh-CN"/>
        </w:rPr>
        <w:t>加盖电子印章</w:t>
      </w:r>
      <w:r>
        <w:rPr>
          <w:rFonts w:hint="eastAsia"/>
          <w:szCs w:val="24"/>
          <w:lang w:val="zh-CN"/>
        </w:rPr>
        <w:t>后</w:t>
      </w:r>
      <w:r>
        <w:rPr>
          <w:rFonts w:hint="eastAsia" w:cs="Helvetica"/>
          <w:szCs w:val="24"/>
          <w:lang w:val="zh-CN"/>
        </w:rPr>
        <w:t>提交</w:t>
      </w:r>
      <w:r>
        <w:rPr>
          <w:rFonts w:cs="Helvetica"/>
          <w:szCs w:val="24"/>
          <w:lang w:val="zh-CN"/>
        </w:rPr>
        <w:t>。</w:t>
      </w:r>
    </w:p>
    <w:p>
      <w:pPr>
        <w:numPr>
          <w:ilvl w:val="0"/>
          <w:numId w:val="48"/>
        </w:numPr>
        <w:wordWrap w:val="0"/>
        <w:adjustRightInd w:val="0"/>
        <w:snapToGrid w:val="0"/>
        <w:spacing w:line="360" w:lineRule="auto"/>
        <w:ind w:left="420" w:leftChars="0" w:hanging="420" w:firstLineChars="0"/>
        <w:rPr>
          <w:bCs/>
          <w:lang w:val="zh-CN"/>
        </w:rPr>
      </w:pPr>
      <w:r>
        <w:rPr>
          <w:rFonts w:cs="Helvetica"/>
          <w:szCs w:val="24"/>
          <w:lang w:val="zh-CN"/>
        </w:rPr>
        <w:t>投标</w:t>
      </w:r>
      <w:r>
        <w:rPr>
          <w:lang w:val="zh-CN"/>
        </w:rPr>
        <w:t>文件</w:t>
      </w:r>
      <w:r>
        <w:rPr>
          <w:bCs/>
          <w:lang w:val="zh-CN"/>
        </w:rPr>
        <w:t>报价出现前后不一致的，按照下列规定修正：</w:t>
      </w:r>
    </w:p>
    <w:p>
      <w:pPr>
        <w:tabs>
          <w:tab w:val="left" w:pos="851"/>
          <w:tab w:val="left" w:pos="1418"/>
        </w:tabs>
        <w:wordWrap w:val="0"/>
        <w:spacing w:line="360" w:lineRule="auto"/>
        <w:ind w:left="1051" w:leftChars="202" w:hanging="566" w:hangingChars="236"/>
        <w:rPr>
          <w:szCs w:val="24"/>
          <w:lang w:val="zh-CN"/>
        </w:rPr>
      </w:pPr>
      <w:r>
        <w:rPr>
          <w:rFonts w:hint="eastAsia"/>
          <w:szCs w:val="24"/>
          <w:lang w:val="zh-CN"/>
        </w:rPr>
        <w:t>（1）</w:t>
      </w:r>
      <w:r>
        <w:rPr>
          <w:szCs w:val="24"/>
          <w:lang w:val="zh-CN"/>
        </w:rPr>
        <w:t>投标文件中开标一览表</w:t>
      </w:r>
      <w:r>
        <w:rPr>
          <w:rFonts w:hint="eastAsia"/>
          <w:szCs w:val="24"/>
          <w:lang w:val="zh-CN"/>
        </w:rPr>
        <w:t>（报价表）</w:t>
      </w:r>
      <w:r>
        <w:rPr>
          <w:szCs w:val="24"/>
          <w:lang w:val="zh-CN"/>
        </w:rPr>
        <w:t>内容与投标文件中相应内容不一致的，以开标一览表</w:t>
      </w:r>
      <w:r>
        <w:rPr>
          <w:rFonts w:hint="eastAsia"/>
          <w:szCs w:val="24"/>
          <w:lang w:val="zh-CN"/>
        </w:rPr>
        <w:t>（报价表）</w:t>
      </w:r>
      <w:r>
        <w:rPr>
          <w:szCs w:val="24"/>
          <w:lang w:val="zh-CN"/>
        </w:rPr>
        <w:t>为准</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（2）</w:t>
      </w:r>
      <w:r>
        <w:rPr>
          <w:szCs w:val="24"/>
          <w:lang w:val="zh-CN"/>
        </w:rPr>
        <w:t>大写金额和小写金额不一致的，以大写金额为准</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（3）</w:t>
      </w:r>
      <w:r>
        <w:rPr>
          <w:szCs w:val="24"/>
          <w:lang w:val="zh-CN"/>
        </w:rPr>
        <w:t>单价金额小数点或百分比有明显错位的，以开标一览表的总价为准，并修改单价</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（4）</w:t>
      </w:r>
      <w:r>
        <w:rPr>
          <w:szCs w:val="24"/>
          <w:lang w:val="zh-CN"/>
        </w:rPr>
        <w:t>总价金额与按单价汇总金额不一致的，以单价金额计算结果为准</w:t>
      </w:r>
      <w:r>
        <w:rPr>
          <w:rFonts w:hint="eastAsia"/>
          <w:szCs w:val="24"/>
          <w:lang w:val="zh-CN"/>
        </w:rPr>
        <w:t>。</w:t>
      </w:r>
    </w:p>
    <w:p>
      <w:pPr>
        <w:tabs>
          <w:tab w:val="left" w:pos="851"/>
          <w:tab w:val="left" w:pos="1418"/>
        </w:tabs>
        <w:wordWrap w:val="0"/>
        <w:spacing w:line="360" w:lineRule="auto"/>
        <w:ind w:left="1331" w:leftChars="203" w:hanging="844" w:hangingChars="352"/>
        <w:rPr>
          <w:szCs w:val="24"/>
          <w:lang w:val="zh-CN"/>
        </w:rPr>
      </w:pPr>
      <w:r>
        <w:rPr>
          <w:rFonts w:hint="eastAsia"/>
          <w:szCs w:val="24"/>
          <w:lang w:val="zh-CN"/>
        </w:rPr>
        <w:t>（5）</w:t>
      </w:r>
      <w:r>
        <w:rPr>
          <w:szCs w:val="24"/>
          <w:lang w:val="zh-CN"/>
        </w:rPr>
        <w:t>同时出现两种以上不一致的，按照前款规定的顺序修正</w:t>
      </w:r>
      <w:r>
        <w:rPr>
          <w:rFonts w:hint="eastAsia"/>
          <w:szCs w:val="24"/>
          <w:lang w:val="zh-CN"/>
        </w:rPr>
        <w:t>。</w:t>
      </w:r>
    </w:p>
    <w:p>
      <w:pPr>
        <w:tabs>
          <w:tab w:val="left" w:pos="851"/>
          <w:tab w:val="left" w:pos="1418"/>
        </w:tabs>
        <w:wordWrap w:val="0"/>
        <w:spacing w:line="360" w:lineRule="auto"/>
        <w:ind w:left="1051" w:leftChars="202" w:hanging="566" w:hangingChars="236"/>
        <w:rPr>
          <w:szCs w:val="24"/>
          <w:lang w:val="zh-CN"/>
        </w:rPr>
      </w:pPr>
      <w:r>
        <w:rPr>
          <w:rFonts w:hint="eastAsia"/>
          <w:szCs w:val="24"/>
          <w:lang w:val="zh-CN"/>
        </w:rPr>
        <w:t>（6）</w:t>
      </w:r>
      <w:r>
        <w:rPr>
          <w:szCs w:val="24"/>
          <w:lang w:val="zh-CN"/>
        </w:rPr>
        <w:t>修正后的报价按照</w:t>
      </w:r>
      <w:r>
        <w:rPr>
          <w:rFonts w:hint="eastAsia"/>
          <w:szCs w:val="24"/>
          <w:lang w:val="zh-CN"/>
        </w:rPr>
        <w:t>本节第2.3条规定</w:t>
      </w:r>
      <w:r>
        <w:rPr>
          <w:szCs w:val="24"/>
          <w:lang w:val="zh-CN"/>
        </w:rPr>
        <w:t>经投标人确认后产生约束力，投标人不确认的，</w:t>
      </w:r>
      <w:r>
        <w:rPr>
          <w:rFonts w:hint="eastAsia"/>
          <w:szCs w:val="24"/>
          <w:lang w:val="zh-CN"/>
        </w:rPr>
        <w:t>按照</w:t>
      </w:r>
      <w:r>
        <w:rPr>
          <w:szCs w:val="24"/>
          <w:lang w:val="zh-CN"/>
        </w:rPr>
        <w:t>无</w:t>
      </w:r>
      <w:r>
        <w:rPr>
          <w:b/>
          <w:szCs w:val="24"/>
          <w:lang w:val="zh-CN"/>
        </w:rPr>
        <w:t>效</w:t>
      </w:r>
      <w:r>
        <w:rPr>
          <w:rFonts w:hint="eastAsia"/>
          <w:b/>
          <w:szCs w:val="24"/>
          <w:lang w:val="zh-CN"/>
        </w:rPr>
        <w:t>投标处理</w:t>
      </w:r>
      <w:r>
        <w:rPr>
          <w:szCs w:val="24"/>
          <w:lang w:val="zh-CN"/>
        </w:rPr>
        <w:t>。</w:t>
      </w:r>
    </w:p>
    <w:p>
      <w:pPr>
        <w:pStyle w:val="54"/>
        <w:numPr>
          <w:ilvl w:val="0"/>
          <w:numId w:val="47"/>
        </w:numPr>
        <w:spacing w:line="360" w:lineRule="auto"/>
        <w:ind w:left="284" w:hanging="284" w:firstLineChars="0"/>
        <w:rPr>
          <w:b/>
          <w:szCs w:val="24"/>
          <w:lang w:val="zh-CN"/>
        </w:rPr>
      </w:pPr>
      <w:bookmarkStart w:id="452" w:name="_Toc102114947"/>
      <w:bookmarkStart w:id="453" w:name="_Toc102119880"/>
      <w:bookmarkStart w:id="454" w:name="_Toc102056245"/>
      <w:bookmarkStart w:id="455" w:name="_Toc102057745"/>
      <w:bookmarkStart w:id="456" w:name="_Toc102116049"/>
      <w:bookmarkStart w:id="457" w:name="_Toc102116179"/>
      <w:r>
        <w:rPr>
          <w:rFonts w:hint="eastAsia"/>
          <w:b/>
          <w:szCs w:val="24"/>
          <w:lang w:val="zh-CN"/>
        </w:rPr>
        <w:t>商务技术评</w:t>
      </w:r>
      <w:bookmarkEnd w:id="452"/>
      <w:bookmarkEnd w:id="453"/>
      <w:bookmarkEnd w:id="454"/>
      <w:bookmarkEnd w:id="455"/>
      <w:bookmarkEnd w:id="456"/>
      <w:bookmarkEnd w:id="457"/>
      <w:r>
        <w:rPr>
          <w:rFonts w:hint="eastAsia"/>
          <w:b/>
          <w:szCs w:val="24"/>
          <w:lang w:val="zh-CN"/>
        </w:rPr>
        <w:t>审</w:t>
      </w:r>
    </w:p>
    <w:p>
      <w:pPr>
        <w:wordWrap w:val="0"/>
        <w:spacing w:line="360" w:lineRule="auto"/>
        <w:ind w:firstLine="480" w:firstLineChars="200"/>
        <w:rPr>
          <w:bCs/>
          <w:lang w:val="zh-CN"/>
        </w:rPr>
      </w:pPr>
      <w:r>
        <w:rPr>
          <w:rFonts w:hint="eastAsia"/>
          <w:bCs/>
          <w:lang w:val="zh-CN"/>
        </w:rPr>
        <w:t>评标委员会</w:t>
      </w:r>
      <w:r>
        <w:rPr>
          <w:bCs/>
          <w:lang w:val="zh-CN"/>
        </w:rPr>
        <w:t>应</w:t>
      </w:r>
      <w:r>
        <w:rPr>
          <w:rFonts w:hint="eastAsia"/>
          <w:bCs/>
          <w:lang w:val="zh-CN"/>
        </w:rPr>
        <w:t>对符合性审查合格的投标文件进行商务和技术评审，并</w:t>
      </w:r>
      <w:r>
        <w:rPr>
          <w:bCs/>
          <w:lang w:val="zh-CN"/>
        </w:rPr>
        <w:t>按照</w:t>
      </w:r>
      <w:r>
        <w:rPr>
          <w:rFonts w:hint="eastAsia"/>
          <w:bCs/>
          <w:lang w:val="zh-CN"/>
        </w:rPr>
        <w:t>招标</w:t>
      </w:r>
      <w:r>
        <w:rPr>
          <w:bCs/>
          <w:lang w:val="zh-CN"/>
        </w:rPr>
        <w:t>文件要求及</w:t>
      </w:r>
      <w:r>
        <w:rPr>
          <w:rFonts w:hint="eastAsia"/>
          <w:bCs/>
          <w:lang w:val="zh-CN"/>
        </w:rPr>
        <w:t>本章“三、评标标准”中“商务评分”和“技术评分”的内容进行综合比较和评价。以</w:t>
      </w:r>
      <w:r>
        <w:rPr>
          <w:bCs/>
          <w:lang w:val="zh-CN"/>
        </w:rPr>
        <w:t>联合体形式投标的，</w:t>
      </w:r>
      <w:r>
        <w:rPr>
          <w:rFonts w:hint="eastAsia"/>
          <w:bCs/>
          <w:lang w:val="zh-CN"/>
        </w:rPr>
        <w:t>评分时只对联合体主体进行评审。</w:t>
      </w:r>
    </w:p>
    <w:p>
      <w:pPr>
        <w:pStyle w:val="54"/>
        <w:numPr>
          <w:ilvl w:val="0"/>
          <w:numId w:val="47"/>
        </w:numPr>
        <w:spacing w:line="360" w:lineRule="auto"/>
        <w:ind w:left="284" w:hanging="284" w:firstLineChars="0"/>
        <w:rPr>
          <w:b/>
          <w:szCs w:val="24"/>
          <w:lang w:val="zh-CN"/>
        </w:rPr>
      </w:pPr>
      <w:bookmarkStart w:id="458" w:name="_Toc102056247"/>
      <w:bookmarkStart w:id="459" w:name="_Toc102116181"/>
      <w:bookmarkStart w:id="460" w:name="_Toc102114949"/>
      <w:bookmarkStart w:id="461" w:name="_Toc102116051"/>
      <w:bookmarkStart w:id="462" w:name="_Toc102057747"/>
      <w:bookmarkStart w:id="463" w:name="_Toc102119882"/>
      <w:r>
        <w:rPr>
          <w:rFonts w:hint="eastAsia"/>
          <w:b/>
          <w:szCs w:val="24"/>
          <w:lang w:val="zh-CN"/>
        </w:rPr>
        <w:t>报价评</w:t>
      </w:r>
      <w:bookmarkEnd w:id="458"/>
      <w:bookmarkEnd w:id="459"/>
      <w:bookmarkEnd w:id="460"/>
      <w:bookmarkEnd w:id="461"/>
      <w:bookmarkEnd w:id="462"/>
      <w:bookmarkEnd w:id="463"/>
      <w:r>
        <w:rPr>
          <w:rFonts w:hint="eastAsia"/>
          <w:b/>
          <w:szCs w:val="24"/>
          <w:lang w:val="zh-CN"/>
        </w:rPr>
        <w:t>审</w:t>
      </w:r>
    </w:p>
    <w:p>
      <w:pPr>
        <w:wordWrap w:val="0"/>
        <w:spacing w:after="62" w:afterLines="20" w:line="360" w:lineRule="auto"/>
        <w:ind w:firstLine="470" w:firstLineChars="196"/>
        <w:rPr>
          <w:rFonts w:cs="Helvetica"/>
          <w:szCs w:val="24"/>
          <w:lang w:val="zh-CN"/>
        </w:rPr>
      </w:pPr>
      <w:r>
        <w:rPr>
          <w:rFonts w:hint="eastAsia" w:cs="Helvetica"/>
          <w:szCs w:val="24"/>
          <w:lang w:val="zh-CN"/>
        </w:rPr>
        <w:t>评标委员会应对符合性审查合格的投标文件报价进行评审。</w:t>
      </w:r>
    </w:p>
    <w:p>
      <w:pPr>
        <w:numPr>
          <w:ilvl w:val="0"/>
          <w:numId w:val="49"/>
        </w:numPr>
        <w:wordWrap w:val="0"/>
        <w:adjustRightInd w:val="0"/>
        <w:snapToGrid w:val="0"/>
        <w:spacing w:line="360" w:lineRule="auto"/>
        <w:ind w:left="420" w:leftChars="0" w:hanging="420" w:firstLineChars="0"/>
        <w:rPr>
          <w:bCs/>
          <w:szCs w:val="21"/>
          <w:lang w:val="zh-CN"/>
        </w:rPr>
      </w:pPr>
      <w:r>
        <w:rPr>
          <w:rFonts w:hint="eastAsia"/>
          <w:szCs w:val="24"/>
          <w:lang w:val="zh-CN"/>
        </w:rPr>
        <w:t>报价合理性说明：</w:t>
      </w:r>
      <w:r>
        <w:rPr>
          <w:rFonts w:cs="Helvetica"/>
          <w:szCs w:val="24"/>
          <w:lang w:val="zh-CN"/>
        </w:rPr>
        <w:t>评标委员会认为投标人的报价明显低于其他通过符合性审查投标人的报价，有可能影响产品质量或者不能诚信履约的，应当要求其</w:t>
      </w:r>
      <w:r>
        <w:rPr>
          <w:rFonts w:hint="eastAsia" w:cs="Helvetica"/>
          <w:szCs w:val="24"/>
          <w:lang w:val="zh-CN"/>
        </w:rPr>
        <w:t>在</w:t>
      </w:r>
      <w:r>
        <w:rPr>
          <w:rFonts w:cs="Helvetica"/>
          <w:szCs w:val="24"/>
          <w:lang w:val="zh-CN"/>
        </w:rPr>
        <w:t>合理的时间内提供说明，必要时提交相关证明材料；投标人不能证明其报价合理性的，评标委员</w:t>
      </w:r>
      <w:r>
        <w:rPr>
          <w:rFonts w:hint="eastAsia" w:cs="Helvetica"/>
          <w:szCs w:val="24"/>
          <w:lang w:val="zh-CN"/>
        </w:rPr>
        <w:t>应当将其作为</w:t>
      </w:r>
      <w:r>
        <w:rPr>
          <w:rFonts w:cs="Helvetica"/>
          <w:b/>
          <w:szCs w:val="24"/>
          <w:lang w:val="zh-CN"/>
        </w:rPr>
        <w:t>无效投标处理</w:t>
      </w:r>
      <w:r>
        <w:rPr>
          <w:rFonts w:cs="Helvetica"/>
          <w:szCs w:val="24"/>
          <w:lang w:val="zh-CN"/>
        </w:rPr>
        <w:t>。</w:t>
      </w:r>
    </w:p>
    <w:p>
      <w:pPr>
        <w:numPr>
          <w:ilvl w:val="0"/>
          <w:numId w:val="49"/>
        </w:numPr>
        <w:wordWrap w:val="0"/>
        <w:adjustRightInd w:val="0"/>
        <w:snapToGrid w:val="0"/>
        <w:spacing w:line="360" w:lineRule="auto"/>
        <w:ind w:left="420" w:leftChars="0" w:hanging="420" w:firstLineChars="0"/>
        <w:rPr>
          <w:szCs w:val="24"/>
          <w:lang w:val="zh-CN"/>
        </w:rPr>
      </w:pPr>
      <w:r>
        <w:rPr>
          <w:rFonts w:hint="eastAsia"/>
          <w:szCs w:val="24"/>
          <w:lang w:val="zh-CN"/>
        </w:rPr>
        <w:t>价格扣除：</w:t>
      </w:r>
      <w:r>
        <w:rPr>
          <w:szCs w:val="24"/>
          <w:lang w:val="zh-CN"/>
        </w:rPr>
        <w:t xml:space="preserve"> </w:t>
      </w:r>
    </w:p>
    <w:p>
      <w:pPr>
        <w:wordWrap w:val="0"/>
        <w:adjustRightInd w:val="0"/>
        <w:snapToGrid w:val="0"/>
        <w:spacing w:line="360" w:lineRule="auto"/>
        <w:ind w:left="1052" w:leftChars="202" w:hanging="567"/>
        <w:rPr>
          <w:bCs/>
          <w:szCs w:val="24"/>
          <w:lang w:val="zh-CN"/>
        </w:rPr>
      </w:pPr>
      <w:r>
        <w:rPr>
          <w:rFonts w:hint="eastAsia"/>
          <w:bCs/>
          <w:szCs w:val="24"/>
          <w:lang w:val="zh-CN"/>
        </w:rPr>
        <w:t>（1）非专门面向中小企业的采购项目或采购包，对符合规定的小微企业</w:t>
      </w:r>
      <w:r>
        <w:rPr>
          <w:rFonts w:hint="eastAsia" w:ascii="楷体" w:hAnsi="楷体" w:eastAsia="楷体"/>
          <w:bCs/>
          <w:szCs w:val="24"/>
          <w:lang w:val="zh-CN"/>
        </w:rPr>
        <w:t>（监狱企业、残疾人福利性单位、联合体各方均为小微企业的联合体、符合小微企业划分标准的个体工商户视同小微企业）</w:t>
      </w:r>
      <w:r>
        <w:rPr>
          <w:rFonts w:hint="eastAsia"/>
          <w:bCs/>
          <w:szCs w:val="24"/>
          <w:lang w:val="zh-CN"/>
        </w:rPr>
        <w:t>报价给予</w:t>
      </w:r>
      <w:r>
        <w:rPr>
          <w:rFonts w:hint="eastAsia"/>
          <w:b/>
          <w:bCs/>
          <w:i/>
          <w:iCs/>
          <w:szCs w:val="24"/>
          <w:u w:val="single"/>
          <w:lang w:val="zh-CN"/>
        </w:rPr>
        <w:t>10%-20%</w:t>
      </w:r>
      <w:r>
        <w:rPr>
          <w:rFonts w:hint="eastAsia"/>
          <w:b/>
          <w:bCs/>
          <w:i/>
          <w:iCs/>
          <w:szCs w:val="24"/>
          <w:u w:val="single"/>
          <w:lang w:eastAsia="zh-CN"/>
        </w:rPr>
        <w:t>（</w:t>
      </w:r>
      <w:r>
        <w:rPr>
          <w:rFonts w:hint="eastAsia"/>
          <w:b/>
          <w:bCs/>
          <w:i/>
          <w:iCs/>
          <w:szCs w:val="24"/>
          <w:u w:val="single"/>
        </w:rPr>
        <w:t>选一个确定</w:t>
      </w:r>
      <w:r>
        <w:rPr>
          <w:b/>
          <w:bCs/>
          <w:i/>
          <w:iCs/>
          <w:szCs w:val="24"/>
          <w:u w:val="single"/>
        </w:rPr>
        <w:t>的</w:t>
      </w:r>
      <w:r>
        <w:rPr>
          <w:rFonts w:hint="eastAsia"/>
          <w:b/>
          <w:bCs/>
          <w:i/>
          <w:iCs/>
          <w:szCs w:val="24"/>
          <w:u w:val="single"/>
        </w:rPr>
        <w:t>整数值）</w:t>
      </w:r>
      <w:r>
        <w:rPr>
          <w:rFonts w:hint="eastAsia"/>
          <w:bCs/>
          <w:szCs w:val="24"/>
          <w:lang w:val="zh-CN"/>
        </w:rPr>
        <w:t>的扣除，对小微企业中的监狱企业、残疾人福利性单位、采购产品纳入创新产品应用示范推荐目录内企业、采购产品获得节能产品或环境标志产品认证证书的企业报价给予</w:t>
      </w:r>
      <w:r>
        <w:rPr>
          <w:rFonts w:hint="eastAsia"/>
          <w:b/>
          <w:bCs/>
          <w:szCs w:val="24"/>
          <w:lang w:val="zh-CN"/>
        </w:rPr>
        <w:t>20%</w:t>
      </w:r>
      <w:r>
        <w:rPr>
          <w:rFonts w:hint="eastAsia"/>
          <w:bCs/>
          <w:szCs w:val="24"/>
          <w:lang w:val="zh-CN"/>
        </w:rPr>
        <w:t>的价格扣除，用扣除后的价格计算评标基准价。</w:t>
      </w:r>
    </w:p>
    <w:p>
      <w:pPr>
        <w:wordWrap w:val="0"/>
        <w:adjustRightInd w:val="0"/>
        <w:snapToGrid w:val="0"/>
        <w:spacing w:line="360" w:lineRule="auto"/>
        <w:ind w:left="1052" w:leftChars="202" w:hanging="567"/>
        <w:rPr>
          <w:bCs/>
          <w:szCs w:val="24"/>
          <w:lang w:val="zh-CN"/>
        </w:rPr>
      </w:pPr>
      <w:r>
        <w:rPr>
          <w:rFonts w:hint="eastAsia"/>
          <w:bCs/>
          <w:szCs w:val="24"/>
          <w:lang w:val="zh-CN"/>
        </w:rPr>
        <w:t>（2）接受大中型企业与小微企业组成联合体或者允许大中型企业向一家或者多家小微企业分包的采购项目，对于联合投标协议或者分包意向协议约定小微企业的合同份额占到合同总金额30%以上的，对联合体或者大中型企业的报价给予</w:t>
      </w:r>
      <w:r>
        <w:rPr>
          <w:rFonts w:hint="eastAsia"/>
          <w:b/>
          <w:bCs/>
          <w:i/>
          <w:iCs/>
          <w:szCs w:val="24"/>
          <w:u w:val="single"/>
          <w:lang w:val="zh-CN"/>
        </w:rPr>
        <w:t>4%-6%</w:t>
      </w:r>
      <w:r>
        <w:rPr>
          <w:rFonts w:hint="eastAsia"/>
          <w:b/>
          <w:bCs/>
          <w:i/>
          <w:iCs/>
          <w:szCs w:val="24"/>
          <w:u w:val="single"/>
          <w:lang w:eastAsia="zh-CN"/>
        </w:rPr>
        <w:t>（</w:t>
      </w:r>
      <w:r>
        <w:rPr>
          <w:rFonts w:hint="eastAsia"/>
          <w:b/>
          <w:bCs/>
          <w:i/>
          <w:iCs/>
          <w:szCs w:val="24"/>
          <w:u w:val="single"/>
        </w:rPr>
        <w:t>选一个确定的整数值）</w:t>
      </w:r>
      <w:r>
        <w:rPr>
          <w:rFonts w:hint="eastAsia"/>
          <w:bCs/>
          <w:szCs w:val="24"/>
          <w:lang w:val="zh-CN"/>
        </w:rPr>
        <w:t>的扣除，用扣除后的价格计算评标基准价。</w:t>
      </w:r>
    </w:p>
    <w:p>
      <w:pPr>
        <w:wordWrap w:val="0"/>
        <w:adjustRightInd w:val="0"/>
        <w:snapToGrid w:val="0"/>
        <w:spacing w:line="360" w:lineRule="auto"/>
        <w:ind w:left="1052" w:leftChars="202" w:hanging="567"/>
        <w:rPr>
          <w:bCs/>
          <w:szCs w:val="24"/>
          <w:lang w:val="zh-CN"/>
        </w:rPr>
      </w:pPr>
      <w:r>
        <w:rPr>
          <w:rFonts w:hint="eastAsia"/>
          <w:bCs/>
          <w:szCs w:val="24"/>
          <w:lang w:val="zh-CN"/>
        </w:rPr>
        <w:t>（3）参加政府采购活动的小微企业（含节能环保、创新产品企业）未提供“中小企业声明函”的；</w:t>
      </w:r>
      <w:r>
        <w:rPr>
          <w:rFonts w:hint="eastAsia"/>
          <w:szCs w:val="24"/>
          <w:lang w:val="zh-CN"/>
        </w:rPr>
        <w:t>监狱企业未提供</w:t>
      </w:r>
      <w:r>
        <w:rPr>
          <w:rFonts w:hint="eastAsia"/>
          <w:bCs/>
          <w:szCs w:val="24"/>
          <w:lang w:val="zh-CN"/>
        </w:rPr>
        <w:t>“监狱企业证明文件”的；监狱企业中的小微企业未提供“中小企业声明函”的；残疾人福利性单位未提供“残疾人福利性单位声明函”的；残疾人福利性单位中的小微企业未提供“中小企业声明函”的；</w:t>
      </w:r>
      <w:r>
        <w:rPr>
          <w:rFonts w:hint="eastAsia"/>
          <w:b/>
          <w:bCs/>
          <w:szCs w:val="24"/>
          <w:lang w:val="zh-CN"/>
        </w:rPr>
        <w:t>不得享受相应的价格扣除优惠</w:t>
      </w:r>
      <w:r>
        <w:rPr>
          <w:rFonts w:hint="eastAsia"/>
          <w:bCs/>
          <w:szCs w:val="24"/>
          <w:lang w:val="zh-CN"/>
        </w:rPr>
        <w:t>。组成联合体或者接受分包的小微企业与联合体内其他企业、分包企业之间存在直接控股、管理关系的，</w:t>
      </w:r>
      <w:r>
        <w:rPr>
          <w:rFonts w:hint="eastAsia"/>
          <w:b/>
          <w:bCs/>
          <w:szCs w:val="24"/>
          <w:lang w:val="zh-CN"/>
        </w:rPr>
        <w:t>不得享受价格扣除优惠</w:t>
      </w:r>
      <w:r>
        <w:rPr>
          <w:rFonts w:hint="eastAsia"/>
          <w:bCs/>
          <w:szCs w:val="24"/>
          <w:lang w:val="zh-CN"/>
        </w:rPr>
        <w:t>。</w:t>
      </w:r>
    </w:p>
    <w:p>
      <w:pPr>
        <w:wordWrap w:val="0"/>
        <w:adjustRightInd w:val="0"/>
        <w:snapToGrid w:val="0"/>
        <w:spacing w:line="360" w:lineRule="auto"/>
        <w:ind w:left="1052" w:leftChars="202" w:hanging="567"/>
        <w:rPr>
          <w:b/>
          <w:bCs/>
          <w:lang w:val="zh-CN"/>
        </w:rPr>
      </w:pPr>
      <w:r>
        <w:rPr>
          <w:rFonts w:hint="eastAsia"/>
          <w:szCs w:val="24"/>
          <w:lang w:val="zh-CN"/>
        </w:rPr>
        <w:t>（4）</w:t>
      </w:r>
      <w:r>
        <w:rPr>
          <w:rFonts w:hint="eastAsia"/>
          <w:bCs/>
          <w:szCs w:val="24"/>
          <w:lang w:val="zh-CN"/>
        </w:rPr>
        <w:t>专门面向中小企业</w:t>
      </w:r>
      <w:r>
        <w:rPr>
          <w:rFonts w:hint="eastAsia"/>
          <w:bCs/>
          <w:lang w:val="zh-CN"/>
        </w:rPr>
        <w:t>、</w:t>
      </w:r>
      <w:r>
        <w:rPr>
          <w:rFonts w:hint="eastAsia"/>
          <w:szCs w:val="24"/>
          <w:lang w:val="zh-CN"/>
        </w:rPr>
        <w:t>预留部分采购份额面向中小企业采购的项目或采购包</w:t>
      </w:r>
      <w:r>
        <w:rPr>
          <w:rFonts w:hint="eastAsia"/>
          <w:bCs/>
          <w:lang w:val="zh-CN"/>
        </w:rPr>
        <w:t>，</w:t>
      </w:r>
      <w:r>
        <w:rPr>
          <w:rFonts w:hint="eastAsia"/>
          <w:bCs/>
          <w:szCs w:val="24"/>
          <w:lang w:val="zh-CN"/>
        </w:rPr>
        <w:t>评审时不再进行价格扣除</w:t>
      </w:r>
      <w:r>
        <w:rPr>
          <w:rFonts w:hint="eastAsia"/>
          <w:b/>
          <w:bCs/>
          <w:lang w:val="zh-CN"/>
        </w:rPr>
        <w:t xml:space="preserve">。 </w:t>
      </w:r>
    </w:p>
    <w:p>
      <w:pPr>
        <w:numPr>
          <w:ilvl w:val="0"/>
          <w:numId w:val="49"/>
        </w:numPr>
        <w:wordWrap w:val="0"/>
        <w:adjustRightInd w:val="0"/>
        <w:snapToGrid w:val="0"/>
        <w:spacing w:line="360" w:lineRule="auto"/>
        <w:ind w:left="420" w:leftChars="0" w:hanging="420" w:firstLineChars="0"/>
        <w:rPr>
          <w:rFonts w:hint="eastAsia"/>
          <w:szCs w:val="24"/>
          <w:lang w:val="zh-CN"/>
        </w:rPr>
      </w:pPr>
      <w:r>
        <w:rPr>
          <w:rFonts w:hint="eastAsia"/>
          <w:szCs w:val="24"/>
          <w:lang w:val="zh-CN"/>
        </w:rPr>
        <w:t>价格分采用低价优先法计算，不得去掉报价中的最高报价和最低报价。计算方法详见本章评分标准中“4.报价评分”中的具体计算公式。</w:t>
      </w:r>
    </w:p>
    <w:p>
      <w:pPr>
        <w:pStyle w:val="54"/>
        <w:numPr>
          <w:ilvl w:val="0"/>
          <w:numId w:val="47"/>
        </w:numPr>
        <w:spacing w:line="360" w:lineRule="auto"/>
        <w:ind w:left="284" w:hanging="284" w:firstLineChars="0"/>
        <w:rPr>
          <w:b/>
          <w:szCs w:val="24"/>
          <w:lang w:val="zh-CN"/>
        </w:rPr>
      </w:pPr>
      <w:bookmarkStart w:id="464" w:name="_Toc102116052"/>
      <w:bookmarkStart w:id="465" w:name="_Toc102119883"/>
      <w:bookmarkStart w:id="466" w:name="_Toc102057748"/>
      <w:bookmarkStart w:id="467" w:name="_Toc102114950"/>
      <w:bookmarkStart w:id="468" w:name="_Toc102116182"/>
      <w:bookmarkStart w:id="469" w:name="_Toc102056248"/>
      <w:r>
        <w:rPr>
          <w:rFonts w:hint="eastAsia"/>
          <w:b/>
          <w:szCs w:val="24"/>
          <w:lang w:val="zh-CN"/>
        </w:rPr>
        <w:t>相同品牌处理</w:t>
      </w:r>
      <w:bookmarkEnd w:id="464"/>
      <w:bookmarkEnd w:id="465"/>
      <w:bookmarkEnd w:id="466"/>
      <w:bookmarkEnd w:id="467"/>
      <w:bookmarkEnd w:id="468"/>
      <w:bookmarkEnd w:id="469"/>
      <w:r>
        <w:rPr>
          <w:rFonts w:hint="eastAsia"/>
          <w:b/>
          <w:szCs w:val="24"/>
          <w:lang w:val="zh-CN"/>
        </w:rPr>
        <w:t>原则</w:t>
      </w:r>
    </w:p>
    <w:p>
      <w:pPr>
        <w:numPr>
          <w:ilvl w:val="0"/>
          <w:numId w:val="50"/>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单一</w:t>
      </w:r>
      <w:r>
        <w:rPr>
          <w:rFonts w:hint="eastAsia"/>
          <w:szCs w:val="24"/>
          <w:lang w:val="zh-CN"/>
        </w:rPr>
        <w:t>产品</w:t>
      </w:r>
      <w:r>
        <w:rPr>
          <w:rFonts w:hint="eastAsia" w:cs="Helvetica"/>
          <w:szCs w:val="24"/>
          <w:lang w:val="zh-CN"/>
        </w:rPr>
        <w:t>采购（或非单一产品采购中的核心产品），</w:t>
      </w:r>
      <w:r>
        <w:rPr>
          <w:rFonts w:cs="Helvetica"/>
          <w:szCs w:val="24"/>
          <w:lang w:val="zh-CN"/>
        </w:rPr>
        <w:t>提供相同品牌产品且通过资格审查、符合性审查的不同投标人参加同一合同项下投标的，按一家投标人计算，评审后得分最高的同品牌投标人获得中标</w:t>
      </w:r>
      <w:r>
        <w:rPr>
          <w:rFonts w:hint="eastAsia" w:cs="Helvetica"/>
          <w:szCs w:val="24"/>
          <w:lang w:val="zh-CN"/>
        </w:rPr>
        <w:t>候选</w:t>
      </w:r>
      <w:r>
        <w:rPr>
          <w:rFonts w:cs="Helvetica"/>
          <w:szCs w:val="24"/>
          <w:lang w:val="zh-CN"/>
        </w:rPr>
        <w:t>人推荐资格；评审得分相同的，由采购人</w:t>
      </w:r>
      <w:r>
        <w:rPr>
          <w:rFonts w:hint="eastAsia" w:cs="Helvetica"/>
          <w:szCs w:val="24"/>
          <w:lang w:val="zh-CN"/>
        </w:rPr>
        <w:t>确定</w:t>
      </w:r>
      <w:r>
        <w:rPr>
          <w:rFonts w:cs="Helvetica"/>
          <w:szCs w:val="24"/>
          <w:lang w:val="zh-CN"/>
        </w:rPr>
        <w:t>或者采购人委托评标委员会</w:t>
      </w:r>
      <w:r>
        <w:rPr>
          <w:rFonts w:hint="eastAsia" w:cs="Helvetica"/>
          <w:szCs w:val="24"/>
          <w:lang w:val="zh-CN"/>
        </w:rPr>
        <w:t>以投票方式</w:t>
      </w:r>
      <w:r>
        <w:rPr>
          <w:rFonts w:cs="Helvetica"/>
          <w:szCs w:val="24"/>
          <w:lang w:val="zh-CN"/>
        </w:rPr>
        <w:t>确定一</w:t>
      </w:r>
      <w:r>
        <w:rPr>
          <w:rFonts w:hint="eastAsia" w:cs="Helvetica"/>
          <w:szCs w:val="24"/>
          <w:lang w:val="zh-CN"/>
        </w:rPr>
        <w:t>家</w:t>
      </w:r>
      <w:r>
        <w:rPr>
          <w:rFonts w:cs="Helvetica"/>
          <w:szCs w:val="24"/>
          <w:lang w:val="zh-CN"/>
        </w:rPr>
        <w:t>投标人获得中标人推荐资格，其</w:t>
      </w:r>
      <w:r>
        <w:rPr>
          <w:rFonts w:hint="eastAsia" w:cs="Helvetica"/>
          <w:szCs w:val="24"/>
          <w:lang w:val="zh-CN"/>
        </w:rPr>
        <w:t>它</w:t>
      </w:r>
      <w:r>
        <w:rPr>
          <w:rFonts w:cs="Helvetica"/>
          <w:szCs w:val="24"/>
          <w:lang w:val="zh-CN"/>
        </w:rPr>
        <w:t>同品牌投标人不作为中标候选人。</w:t>
      </w:r>
    </w:p>
    <w:p>
      <w:pPr>
        <w:numPr>
          <w:ilvl w:val="0"/>
          <w:numId w:val="50"/>
        </w:numPr>
        <w:wordWrap w:val="0"/>
        <w:adjustRightInd w:val="0"/>
        <w:snapToGrid w:val="0"/>
        <w:spacing w:line="360" w:lineRule="auto"/>
        <w:ind w:left="420" w:leftChars="0" w:hanging="420" w:firstLineChars="0"/>
        <w:rPr>
          <w:szCs w:val="24"/>
          <w:lang w:val="zh-CN"/>
        </w:rPr>
      </w:pPr>
      <w:r>
        <w:rPr>
          <w:rFonts w:hint="eastAsia"/>
          <w:szCs w:val="24"/>
          <w:lang w:val="zh-CN"/>
        </w:rPr>
        <w:t>非单一产品采购项目，采购人应当根据采购项目技术构成、产品价格比重等合理确定一个核心产品（采购清单中作“与核心产品相同〈或同一〉品牌”实质性要求的产品，视为一个核心产品），并以“核心产品”在招标文件中载明，评审时按前款规定处理。</w:t>
      </w:r>
    </w:p>
    <w:p>
      <w:pPr>
        <w:pStyle w:val="54"/>
        <w:numPr>
          <w:ilvl w:val="0"/>
          <w:numId w:val="47"/>
        </w:numPr>
        <w:spacing w:line="360" w:lineRule="auto"/>
        <w:ind w:left="284" w:hanging="284" w:firstLineChars="0"/>
        <w:rPr>
          <w:b/>
          <w:szCs w:val="24"/>
          <w:lang w:val="zh-CN"/>
        </w:rPr>
      </w:pPr>
      <w:bookmarkStart w:id="470" w:name="_Toc102114951"/>
      <w:bookmarkStart w:id="471" w:name="_Toc102056249"/>
      <w:bookmarkStart w:id="472" w:name="_Toc102116053"/>
      <w:bookmarkStart w:id="473" w:name="_Toc102057749"/>
      <w:bookmarkStart w:id="474" w:name="_Toc102119884"/>
      <w:bookmarkStart w:id="475" w:name="_Toc102116183"/>
      <w:r>
        <w:rPr>
          <w:rFonts w:hint="eastAsia"/>
          <w:b/>
          <w:szCs w:val="24"/>
          <w:lang w:val="zh-CN"/>
        </w:rPr>
        <w:t>计分办法及复核</w:t>
      </w:r>
      <w:bookmarkEnd w:id="470"/>
      <w:bookmarkEnd w:id="471"/>
      <w:bookmarkEnd w:id="472"/>
      <w:bookmarkEnd w:id="473"/>
      <w:bookmarkEnd w:id="474"/>
      <w:bookmarkEnd w:id="475"/>
    </w:p>
    <w:p>
      <w:pPr>
        <w:numPr>
          <w:ilvl w:val="0"/>
          <w:numId w:val="51"/>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评标过程中，各项分值一般精确到小数点后两位，评标得分应为商务评分、技术评分、报价</w:t>
      </w:r>
      <w:r>
        <w:rPr>
          <w:rFonts w:hint="eastAsia"/>
          <w:szCs w:val="24"/>
          <w:lang w:val="zh-CN"/>
        </w:rPr>
        <w:t>评分</w:t>
      </w:r>
      <w:r>
        <w:rPr>
          <w:rFonts w:hint="eastAsia" w:cs="Helvetica"/>
          <w:szCs w:val="24"/>
          <w:lang w:val="zh-CN"/>
        </w:rPr>
        <w:t>之和。评标委员会各成员应汇总每个投标人的得分。</w:t>
      </w:r>
    </w:p>
    <w:p>
      <w:pPr>
        <w:numPr>
          <w:ilvl w:val="0"/>
          <w:numId w:val="51"/>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评标结果汇总完成后，采购代理机构应对评标结果进行复核。经复核发现存在以下情形之一的，评标委员会应当当场修改评标结果，并在评标报告中记载：</w:t>
      </w:r>
    </w:p>
    <w:p>
      <w:pPr>
        <w:pStyle w:val="11"/>
        <w:wordWrap w:val="0"/>
        <w:spacing w:line="360" w:lineRule="auto"/>
        <w:ind w:firstLine="480" w:firstLineChars="200"/>
        <w:rPr>
          <w:lang w:val="zh-CN"/>
        </w:rPr>
      </w:pPr>
      <w:r>
        <w:rPr>
          <w:rFonts w:hint="eastAsia"/>
          <w:lang w:val="zh-CN"/>
        </w:rPr>
        <w:t>（1）分值汇总计算错误的；</w:t>
      </w:r>
    </w:p>
    <w:p>
      <w:pPr>
        <w:pStyle w:val="11"/>
        <w:wordWrap w:val="0"/>
        <w:spacing w:line="360" w:lineRule="auto"/>
        <w:ind w:firstLine="480" w:firstLineChars="200"/>
        <w:rPr>
          <w:lang w:val="zh-CN"/>
        </w:rPr>
      </w:pPr>
      <w:r>
        <w:rPr>
          <w:rFonts w:hint="eastAsia"/>
          <w:lang w:val="zh-CN"/>
        </w:rPr>
        <w:t>（2）分项评分超出评分标准范围的；</w:t>
      </w:r>
    </w:p>
    <w:p>
      <w:pPr>
        <w:pStyle w:val="11"/>
        <w:wordWrap w:val="0"/>
        <w:spacing w:line="360" w:lineRule="auto"/>
        <w:ind w:firstLine="480" w:firstLineChars="200"/>
        <w:rPr>
          <w:lang w:val="zh-CN"/>
        </w:rPr>
      </w:pPr>
      <w:r>
        <w:rPr>
          <w:rFonts w:hint="eastAsia"/>
          <w:lang w:val="zh-CN"/>
        </w:rPr>
        <w:t>（3）评标委员会成员对客观评审因素评分不一致的；</w:t>
      </w:r>
    </w:p>
    <w:p>
      <w:pPr>
        <w:pStyle w:val="11"/>
        <w:wordWrap w:val="0"/>
        <w:spacing w:line="360" w:lineRule="auto"/>
        <w:ind w:firstLine="480" w:firstLineChars="200"/>
        <w:rPr>
          <w:lang w:val="zh-CN"/>
        </w:rPr>
      </w:pPr>
      <w:r>
        <w:rPr>
          <w:rFonts w:hint="eastAsia"/>
          <w:lang w:val="zh-CN"/>
        </w:rPr>
        <w:t>（4）经评标委员会认定评分畸高、畸低的。</w:t>
      </w:r>
    </w:p>
    <w:p>
      <w:pPr>
        <w:numPr>
          <w:ilvl w:val="0"/>
          <w:numId w:val="51"/>
        </w:numPr>
        <w:wordWrap w:val="0"/>
        <w:adjustRightInd w:val="0"/>
        <w:snapToGrid w:val="0"/>
        <w:spacing w:line="360" w:lineRule="auto"/>
        <w:ind w:left="420" w:leftChars="0" w:hanging="420" w:firstLineChars="0"/>
        <w:rPr>
          <w:rFonts w:hint="eastAsia" w:cs="Helvetica"/>
          <w:szCs w:val="24"/>
          <w:lang w:val="zh-CN"/>
        </w:rPr>
      </w:pPr>
      <w:r>
        <w:rPr>
          <w:rFonts w:hint="eastAsia" w:cs="Helvetica"/>
          <w:szCs w:val="24"/>
          <w:lang w:val="zh-CN"/>
        </w:rPr>
        <w:t>各投标人的最终得分为评标委员会所有成员对各投标人评标得分汇总后的算术平均值。</w:t>
      </w:r>
    </w:p>
    <w:p>
      <w:pPr>
        <w:pStyle w:val="54"/>
        <w:numPr>
          <w:ilvl w:val="0"/>
          <w:numId w:val="47"/>
        </w:numPr>
        <w:spacing w:line="360" w:lineRule="auto"/>
        <w:ind w:left="284" w:hanging="284" w:firstLineChars="0"/>
        <w:rPr>
          <w:b/>
          <w:szCs w:val="24"/>
          <w:lang w:val="zh-CN"/>
        </w:rPr>
      </w:pPr>
      <w:bookmarkStart w:id="476" w:name="_Toc102116054"/>
      <w:bookmarkStart w:id="477" w:name="_Toc102056250"/>
      <w:bookmarkStart w:id="478" w:name="_Toc102114952"/>
      <w:bookmarkStart w:id="479" w:name="_Toc102057750"/>
      <w:bookmarkStart w:id="480" w:name="_Toc102116184"/>
      <w:bookmarkStart w:id="481" w:name="_Toc102119885"/>
      <w:r>
        <w:rPr>
          <w:rFonts w:hint="eastAsia"/>
          <w:b/>
          <w:szCs w:val="24"/>
          <w:lang w:val="zh-CN"/>
        </w:rPr>
        <w:t>评标报告</w:t>
      </w:r>
      <w:bookmarkEnd w:id="476"/>
      <w:bookmarkEnd w:id="477"/>
      <w:bookmarkEnd w:id="478"/>
      <w:bookmarkEnd w:id="479"/>
      <w:bookmarkEnd w:id="480"/>
      <w:bookmarkEnd w:id="481"/>
    </w:p>
    <w:p>
      <w:pPr>
        <w:numPr>
          <w:ilvl w:val="0"/>
          <w:numId w:val="52"/>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评标委员会按照招标文件确定的评标方法、程序及标准，对投标文件进行评审。</w:t>
      </w:r>
      <w:r>
        <w:rPr>
          <w:rFonts w:cs="Helvetica"/>
          <w:szCs w:val="24"/>
          <w:lang w:val="zh-CN"/>
        </w:rPr>
        <w:t>评标结果</w:t>
      </w:r>
      <w:r>
        <w:rPr>
          <w:rFonts w:hint="eastAsia" w:cs="Helvetica"/>
          <w:szCs w:val="24"/>
          <w:lang w:val="zh-CN"/>
        </w:rPr>
        <w:t>排序</w:t>
      </w:r>
      <w:r>
        <w:rPr>
          <w:rFonts w:cs="Helvetica"/>
          <w:szCs w:val="24"/>
          <w:lang w:val="zh-CN"/>
        </w:rPr>
        <w:t>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p>
    <w:p>
      <w:pPr>
        <w:numPr>
          <w:ilvl w:val="0"/>
          <w:numId w:val="52"/>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评标委员会依据评标结果，按评审得分由高到低的顺序向采购人推荐中标候选人名单，并形成评标报告。</w:t>
      </w:r>
    </w:p>
    <w:p>
      <w:pPr>
        <w:numPr>
          <w:ilvl w:val="0"/>
          <w:numId w:val="52"/>
        </w:numPr>
        <w:wordWrap w:val="0"/>
        <w:adjustRightInd w:val="0"/>
        <w:snapToGrid w:val="0"/>
        <w:spacing w:line="360" w:lineRule="auto"/>
        <w:ind w:left="420" w:leftChars="0" w:hanging="420" w:firstLineChars="0"/>
        <w:rPr>
          <w:rFonts w:cs="Helvetica"/>
          <w:szCs w:val="24"/>
          <w:lang w:val="zh-CN"/>
        </w:rPr>
      </w:pPr>
      <w:r>
        <w:rPr>
          <w:rFonts w:hint="eastAsia" w:cs="Helvetica"/>
          <w:szCs w:val="24"/>
          <w:lang w:val="zh-CN"/>
        </w:rPr>
        <w:t>评标委员会应当在评标报告上签名，对自己的评审意见承担法律责任。对需要共同认定的事项存在争议的，应当按照少数服从多数的原则作出结论。持不同意见的评标委员会成员应当在评标报告上签署不同意见，并说明理由，否则视为同意评标报告。</w:t>
      </w:r>
    </w:p>
    <w:p>
      <w:pPr>
        <w:pStyle w:val="54"/>
        <w:numPr>
          <w:ilvl w:val="0"/>
          <w:numId w:val="47"/>
        </w:numPr>
        <w:spacing w:line="360" w:lineRule="auto"/>
        <w:ind w:left="284" w:hanging="284" w:firstLineChars="0"/>
        <w:rPr>
          <w:b/>
          <w:szCs w:val="24"/>
          <w:lang w:val="zh-CN"/>
        </w:rPr>
      </w:pPr>
      <w:bookmarkStart w:id="482" w:name="_Toc102114919"/>
      <w:bookmarkStart w:id="483" w:name="_Toc102116151"/>
      <w:bookmarkStart w:id="484" w:name="_Toc102056217"/>
      <w:bookmarkStart w:id="485" w:name="_Toc102119852"/>
      <w:bookmarkStart w:id="486" w:name="_Toc102116021"/>
      <w:bookmarkStart w:id="487" w:name="_Toc102057717"/>
      <w:r>
        <w:rPr>
          <w:rFonts w:hint="eastAsia"/>
          <w:b/>
          <w:szCs w:val="24"/>
          <w:lang w:val="zh-CN"/>
        </w:rPr>
        <w:t>应予废标的情形</w:t>
      </w:r>
      <w:bookmarkEnd w:id="482"/>
      <w:bookmarkEnd w:id="483"/>
      <w:bookmarkEnd w:id="484"/>
      <w:bookmarkEnd w:id="485"/>
      <w:bookmarkEnd w:id="486"/>
      <w:bookmarkEnd w:id="487"/>
    </w:p>
    <w:p>
      <w:pPr>
        <w:numPr>
          <w:ilvl w:val="0"/>
          <w:numId w:val="53"/>
        </w:numPr>
        <w:wordWrap w:val="0"/>
        <w:adjustRightInd w:val="0"/>
        <w:snapToGrid w:val="0"/>
        <w:spacing w:line="360" w:lineRule="auto"/>
        <w:ind w:left="420" w:leftChars="0" w:hanging="420" w:firstLineChars="0"/>
        <w:rPr>
          <w:szCs w:val="24"/>
          <w:lang w:val="zh-CN"/>
        </w:rPr>
      </w:pPr>
      <w:r>
        <w:rPr>
          <w:rFonts w:hint="eastAsia"/>
          <w:szCs w:val="24"/>
          <w:lang w:val="zh-CN"/>
        </w:rPr>
        <w:t>在招标采购过程中，出现下列情形之一的，应予废标：</w:t>
      </w:r>
    </w:p>
    <w:p>
      <w:pPr>
        <w:pStyle w:val="11"/>
        <w:wordWrap w:val="0"/>
        <w:adjustRightInd w:val="0"/>
        <w:snapToGrid w:val="0"/>
        <w:spacing w:line="360" w:lineRule="auto"/>
        <w:ind w:firstLine="480" w:firstLineChars="200"/>
        <w:rPr>
          <w:szCs w:val="24"/>
          <w:lang w:val="zh-CN"/>
        </w:rPr>
      </w:pPr>
      <w:r>
        <w:rPr>
          <w:rFonts w:hint="eastAsia"/>
          <w:szCs w:val="24"/>
          <w:lang w:val="zh-CN"/>
        </w:rPr>
        <w:t>（1）符合专业条件的投标人或者对招标文件作实质响应的投标人不足3家的；</w:t>
      </w:r>
    </w:p>
    <w:p>
      <w:pPr>
        <w:pStyle w:val="11"/>
        <w:wordWrap w:val="0"/>
        <w:adjustRightInd w:val="0"/>
        <w:snapToGrid w:val="0"/>
        <w:spacing w:line="360" w:lineRule="auto"/>
        <w:ind w:firstLine="480" w:firstLineChars="200"/>
        <w:rPr>
          <w:szCs w:val="24"/>
          <w:lang w:val="zh-CN"/>
        </w:rPr>
      </w:pPr>
      <w:r>
        <w:rPr>
          <w:rFonts w:hint="eastAsia"/>
          <w:szCs w:val="24"/>
          <w:lang w:val="zh-CN"/>
        </w:rPr>
        <w:t>（2）出现影响采购公正的违法、违规行为的；</w:t>
      </w:r>
    </w:p>
    <w:p>
      <w:pPr>
        <w:pStyle w:val="11"/>
        <w:wordWrap w:val="0"/>
        <w:adjustRightInd w:val="0"/>
        <w:snapToGrid w:val="0"/>
        <w:spacing w:line="360" w:lineRule="auto"/>
        <w:ind w:firstLine="480" w:firstLineChars="200"/>
        <w:rPr>
          <w:szCs w:val="24"/>
          <w:lang w:val="zh-CN"/>
        </w:rPr>
      </w:pPr>
      <w:r>
        <w:rPr>
          <w:rFonts w:hint="eastAsia"/>
          <w:szCs w:val="24"/>
          <w:lang w:val="zh-CN"/>
        </w:rPr>
        <w:t>（3）投标人的报价均超过了采购预算，采购人不能支付的；</w:t>
      </w:r>
    </w:p>
    <w:p>
      <w:pPr>
        <w:pStyle w:val="11"/>
        <w:wordWrap w:val="0"/>
        <w:adjustRightInd w:val="0"/>
        <w:snapToGrid w:val="0"/>
        <w:spacing w:line="360" w:lineRule="auto"/>
        <w:ind w:firstLine="480" w:firstLineChars="200"/>
        <w:rPr>
          <w:szCs w:val="24"/>
          <w:lang w:val="zh-CN"/>
        </w:rPr>
      </w:pPr>
      <w:r>
        <w:rPr>
          <w:rFonts w:hint="eastAsia"/>
          <w:szCs w:val="24"/>
          <w:lang w:val="zh-CN"/>
        </w:rPr>
        <w:t>（4）因重大变故，采购任务取消的。</w:t>
      </w:r>
    </w:p>
    <w:p>
      <w:pPr>
        <w:numPr>
          <w:ilvl w:val="0"/>
          <w:numId w:val="53"/>
        </w:numPr>
        <w:wordWrap w:val="0"/>
        <w:adjustRightInd w:val="0"/>
        <w:snapToGrid w:val="0"/>
        <w:spacing w:line="360" w:lineRule="auto"/>
        <w:ind w:left="420" w:leftChars="0" w:hanging="420" w:firstLineChars="0"/>
        <w:rPr>
          <w:rFonts w:hint="eastAsia"/>
          <w:szCs w:val="24"/>
          <w:lang w:val="zh-CN"/>
        </w:rPr>
      </w:pPr>
      <w:r>
        <w:rPr>
          <w:rFonts w:hint="eastAsia"/>
          <w:szCs w:val="24"/>
          <w:lang w:val="zh-CN"/>
        </w:rPr>
        <w:t>废标后，采购人应当将废标理由通知所有投标人。</w:t>
      </w:r>
    </w:p>
    <w:p>
      <w:pPr>
        <w:pStyle w:val="54"/>
        <w:numPr>
          <w:ilvl w:val="0"/>
          <w:numId w:val="47"/>
        </w:numPr>
        <w:spacing w:line="360" w:lineRule="auto"/>
        <w:ind w:left="284" w:hanging="284" w:firstLineChars="0"/>
        <w:rPr>
          <w:b/>
          <w:szCs w:val="24"/>
          <w:lang w:val="zh-CN"/>
        </w:rPr>
      </w:pPr>
      <w:bookmarkStart w:id="488" w:name="_Toc102057718"/>
      <w:bookmarkStart w:id="489" w:name="_Toc102114920"/>
      <w:bookmarkStart w:id="490" w:name="_Toc102119853"/>
      <w:bookmarkStart w:id="491" w:name="_Toc102056218"/>
      <w:bookmarkStart w:id="492" w:name="_Toc102116022"/>
      <w:bookmarkStart w:id="493" w:name="_Toc102116152"/>
      <w:r>
        <w:rPr>
          <w:rFonts w:hint="eastAsia"/>
          <w:b/>
          <w:szCs w:val="24"/>
          <w:lang w:val="zh-CN"/>
        </w:rPr>
        <w:t>停止评标的情形</w:t>
      </w:r>
      <w:bookmarkEnd w:id="488"/>
      <w:bookmarkEnd w:id="489"/>
      <w:bookmarkEnd w:id="490"/>
      <w:bookmarkEnd w:id="491"/>
      <w:bookmarkEnd w:id="492"/>
      <w:bookmarkEnd w:id="493"/>
    </w:p>
    <w:p>
      <w:pPr>
        <w:pStyle w:val="11"/>
        <w:wordWrap w:val="0"/>
        <w:adjustRightInd w:val="0"/>
        <w:snapToGrid w:val="0"/>
        <w:spacing w:line="360" w:lineRule="auto"/>
        <w:ind w:firstLine="480" w:firstLineChars="200"/>
        <w:rPr>
          <w:szCs w:val="24"/>
          <w:lang w:val="zh-CN"/>
        </w:rPr>
      </w:pPr>
      <w:r>
        <w:rPr>
          <w:rFonts w:hint="eastAsia"/>
          <w:szCs w:val="24"/>
          <w:lang w:val="zh-CN"/>
        </w:rPr>
        <w:t>评标委员会发现招标文件存在歧义、重大缺陷导致评标工作无法进行，或者招标文件内容违反国家有关强制性规定的，应当停止评标工作，与采购人或者采购代理机构沟通并作书面记录。采购人或者采购代理机构确认后，应当修改招标文件，重新组织采购活动。</w:t>
      </w:r>
    </w:p>
    <w:p>
      <w:pPr>
        <w:pStyle w:val="3"/>
        <w:numPr>
          <w:ilvl w:val="0"/>
          <w:numId w:val="46"/>
        </w:numPr>
        <w:wordWrap w:val="0"/>
        <w:spacing w:before="0" w:after="0" w:line="360" w:lineRule="auto"/>
        <w:ind w:left="616" w:hanging="616"/>
        <w:jc w:val="left"/>
        <w:rPr>
          <w:rFonts w:ascii="宋体" w:hAnsi="宋体" w:eastAsia="宋体" w:cs="Times New Roman"/>
          <w:bCs w:val="0"/>
          <w:sz w:val="28"/>
          <w:szCs w:val="28"/>
          <w:lang w:val="zh-CN"/>
        </w:rPr>
      </w:pPr>
      <w:bookmarkStart w:id="494" w:name="_Toc9566"/>
      <w:r>
        <w:rPr>
          <w:rFonts w:hint="eastAsia" w:ascii="宋体" w:hAnsi="宋体" w:eastAsia="宋体" w:cs="Times New Roman"/>
          <w:bCs w:val="0"/>
          <w:sz w:val="28"/>
          <w:szCs w:val="28"/>
          <w:lang w:val="zh-CN"/>
        </w:rPr>
        <w:t>评标标准</w:t>
      </w:r>
      <w:bookmarkEnd w:id="430"/>
      <w:bookmarkEnd w:id="431"/>
      <w:bookmarkEnd w:id="432"/>
      <w:bookmarkEnd w:id="433"/>
      <w:bookmarkEnd w:id="434"/>
      <w:bookmarkEnd w:id="435"/>
      <w:bookmarkEnd w:id="436"/>
      <w:bookmarkEnd w:id="437"/>
      <w:bookmarkEnd w:id="494"/>
    </w:p>
    <w:bookmarkEnd w:id="438"/>
    <w:bookmarkEnd w:id="439"/>
    <w:p>
      <w:pPr>
        <w:pStyle w:val="54"/>
        <w:numPr>
          <w:ilvl w:val="0"/>
          <w:numId w:val="54"/>
        </w:numPr>
        <w:spacing w:line="360" w:lineRule="auto"/>
        <w:ind w:left="284" w:hanging="284" w:firstLineChars="0"/>
        <w:rPr>
          <w:b/>
          <w:szCs w:val="24"/>
          <w:lang w:val="zh-CN"/>
        </w:rPr>
      </w:pPr>
      <w:bookmarkStart w:id="495" w:name="_Toc102116186"/>
      <w:bookmarkStart w:id="496" w:name="_Toc102057752"/>
      <w:bookmarkStart w:id="497" w:name="_Toc102116056"/>
      <w:bookmarkStart w:id="498" w:name="_Toc102114954"/>
      <w:bookmarkStart w:id="499" w:name="_Toc102119887"/>
      <w:bookmarkStart w:id="500" w:name="_Toc102056252"/>
      <w:r>
        <w:rPr>
          <w:rFonts w:hint="eastAsia"/>
          <w:b/>
          <w:szCs w:val="24"/>
          <w:lang w:val="zh-CN"/>
        </w:rPr>
        <w:t>符合性审查（不满足本表任意要求之一的，视为符合性审查不通过）</w:t>
      </w:r>
    </w:p>
    <w:tbl>
      <w:tblPr>
        <w:tblStyle w:val="30"/>
        <w:tblW w:w="9859" w:type="dxa"/>
        <w:jc w:val="center"/>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Layout w:type="fixed"/>
        <w:tblCellMar>
          <w:top w:w="0" w:type="dxa"/>
          <w:left w:w="108" w:type="dxa"/>
          <w:bottom w:w="0" w:type="dxa"/>
          <w:right w:w="108" w:type="dxa"/>
        </w:tblCellMar>
      </w:tblPr>
      <w:tblGrid>
        <w:gridCol w:w="817"/>
        <w:gridCol w:w="9042"/>
      </w:tblGrid>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trHeight w:val="392" w:hRule="atLeast"/>
          <w:jc w:val="center"/>
        </w:trPr>
        <w:tc>
          <w:tcPr>
            <w:tcW w:w="817" w:type="dxa"/>
            <w:tcBorders>
              <w:tl2br w:val="nil"/>
              <w:tr2bl w:val="nil"/>
            </w:tcBorders>
            <w:shd w:val="pct10" w:color="C3BD96" w:fill="DDD9C4"/>
            <w:noWrap w:val="0"/>
            <w:vAlign w:val="top"/>
          </w:tcPr>
          <w:p>
            <w:pPr>
              <w:wordWrap w:val="0"/>
              <w:spacing w:line="360" w:lineRule="auto"/>
              <w:jc w:val="center"/>
              <w:rPr>
                <w:b/>
                <w:bCs/>
                <w:highlight w:val="none"/>
                <w:lang w:val="zh-CN"/>
              </w:rPr>
            </w:pPr>
            <w:r>
              <w:rPr>
                <w:rFonts w:hint="eastAsia"/>
                <w:b/>
                <w:bCs/>
                <w:highlight w:val="none"/>
                <w:lang w:val="zh-CN"/>
              </w:rPr>
              <w:t>序号</w:t>
            </w:r>
          </w:p>
        </w:tc>
        <w:tc>
          <w:tcPr>
            <w:tcW w:w="9042" w:type="dxa"/>
            <w:tcBorders>
              <w:tl2br w:val="nil"/>
              <w:tr2bl w:val="nil"/>
            </w:tcBorders>
            <w:shd w:val="pct10" w:color="C3BD96" w:fill="DDD9C4"/>
            <w:noWrap w:val="0"/>
            <w:vAlign w:val="top"/>
          </w:tcPr>
          <w:p>
            <w:pPr>
              <w:wordWrap w:val="0"/>
              <w:spacing w:line="360" w:lineRule="auto"/>
              <w:jc w:val="center"/>
              <w:rPr>
                <w:b/>
                <w:bCs/>
                <w:highlight w:val="none"/>
                <w:lang w:val="zh-CN"/>
              </w:rPr>
            </w:pPr>
            <w:r>
              <w:rPr>
                <w:rFonts w:hint="eastAsia"/>
                <w:b/>
                <w:bCs/>
                <w:highlight w:val="none"/>
                <w:lang w:val="zh-CN"/>
              </w:rPr>
              <w:t>审查内容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tabs>
                <w:tab w:val="left" w:pos="284"/>
              </w:tabs>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投标总报价未超过项目预算金额或最高限价；</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color w:val="0000FF"/>
                <w:szCs w:val="24"/>
                <w:highlight w:val="none"/>
                <w:lang w:val="zh-CN"/>
              </w:rPr>
            </w:pPr>
            <w:r>
              <w:rPr>
                <w:rFonts w:hint="eastAsia"/>
                <w:color w:val="000000"/>
                <w:szCs w:val="24"/>
                <w:highlight w:val="none"/>
                <w:lang w:val="zh-CN"/>
              </w:rPr>
              <w:t>应提供《投标书》、《开标一览表》、《投标报价明细表》，且符合招标文件要求</w:t>
            </w:r>
            <w:r>
              <w:rPr>
                <w:rFonts w:hint="eastAsia"/>
                <w:color w:val="0000FF"/>
                <w:szCs w:val="24"/>
                <w:highlight w:val="none"/>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合同履行期限（交货期</w:t>
            </w:r>
            <w:r>
              <w:rPr>
                <w:rFonts w:hint="eastAsia"/>
                <w:szCs w:val="24"/>
                <w:highlight w:val="none"/>
                <w:lang w:val="en-US" w:eastAsia="zh-CN"/>
              </w:rPr>
              <w:t>/项目</w:t>
            </w:r>
            <w:r>
              <w:rPr>
                <w:rFonts w:hint="eastAsia"/>
                <w:szCs w:val="24"/>
                <w:highlight w:val="none"/>
                <w:lang w:val="zh-CN"/>
              </w:rPr>
              <w:t>工期）、质保期（服务期）符合招标文件要求；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未出现两个或两个以上投标方案；</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投标报价不存在缺项、漏项；</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投标有效期符合招标文件要求；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cs="宋体"/>
                <w:highlight w:val="none"/>
              </w:rPr>
              <w:t>《法定代表人授权书》</w:t>
            </w:r>
            <w:r>
              <w:rPr>
                <w:rFonts w:hint="eastAsia" w:cs="宋体"/>
                <w:highlight w:val="none"/>
                <w:lang w:eastAsia="zh-CN"/>
              </w:rPr>
              <w:t>有</w:t>
            </w:r>
            <w:r>
              <w:rPr>
                <w:rFonts w:hint="eastAsia" w:cs="宋体"/>
                <w:highlight w:val="none"/>
              </w:rPr>
              <w:t>法定代表人签字（签章）和加盖公章；符合招标文件第二章</w:t>
            </w:r>
            <w:r>
              <w:rPr>
                <w:rFonts w:cs="宋体"/>
                <w:b/>
                <w:highlight w:val="none"/>
              </w:rPr>
              <w:t>5</w:t>
            </w:r>
            <w:r>
              <w:rPr>
                <w:rFonts w:hint="eastAsia" w:cs="宋体"/>
                <w:b/>
                <w:highlight w:val="none"/>
              </w:rPr>
              <w:t>.3条</w:t>
            </w:r>
            <w:r>
              <w:rPr>
                <w:rFonts w:hint="eastAsia" w:cs="宋体"/>
                <w:highlight w:val="none"/>
              </w:rPr>
              <w:t>规定情形，以分公司形式参与投标的，法定代表人授权书</w:t>
            </w:r>
            <w:r>
              <w:rPr>
                <w:rFonts w:hint="eastAsia" w:cs="宋体"/>
                <w:highlight w:val="none"/>
                <w:lang w:eastAsia="zh-CN"/>
              </w:rPr>
              <w:t>应</w:t>
            </w:r>
            <w:r>
              <w:rPr>
                <w:rFonts w:hint="eastAsia" w:cs="宋体"/>
                <w:highlight w:val="none"/>
              </w:rPr>
              <w:t>由其总公司法定代表人签字（签章）并加盖公章；</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szCs w:val="24"/>
                <w:highlight w:val="none"/>
                <w:lang w:val="zh-CN"/>
              </w:rPr>
            </w:pPr>
            <w:r>
              <w:rPr>
                <w:rFonts w:hint="eastAsia"/>
                <w:szCs w:val="24"/>
                <w:highlight w:val="none"/>
                <w:lang w:val="zh-CN"/>
              </w:rPr>
              <w:t>应按招标文件要求盖章或签字（签章）</w:t>
            </w:r>
            <w:r>
              <w:rPr>
                <w:rFonts w:hint="eastAsia" w:cs="宋体"/>
                <w:highlight w:val="none"/>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应提供所投货物（或服务）确定的参数值或功能表述（服务内容或标准），且明确响应招标文件采购需求；</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未</w:t>
            </w:r>
            <w:r>
              <w:rPr>
                <w:szCs w:val="24"/>
                <w:highlight w:val="none"/>
                <w:lang w:val="zh-CN"/>
              </w:rPr>
              <w:t>含有采购人不能接受的附加条件</w:t>
            </w:r>
            <w:r>
              <w:rPr>
                <w:rFonts w:hint="eastAsia"/>
                <w:szCs w:val="24"/>
                <w:highlight w:val="none"/>
                <w:lang w:val="zh-CN"/>
              </w:rPr>
              <w:t>；</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应按要求提供《符合性审查对照表》、《商务要求响应偏离说明表》、《商务评分对照表》、《技术要求响应偏离说明表》、《技术评分对照表》；</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trike/>
                <w:szCs w:val="24"/>
                <w:highlight w:val="none"/>
                <w:lang w:val="zh-CN"/>
              </w:rPr>
            </w:pPr>
            <w:r>
              <w:rPr>
                <w:rFonts w:hint="eastAsia"/>
                <w:szCs w:val="24"/>
                <w:highlight w:val="none"/>
                <w:lang w:val="zh-CN"/>
              </w:rPr>
              <w:t>投标人不存在招标文件第二章</w:t>
            </w:r>
            <w:r>
              <w:rPr>
                <w:rFonts w:hint="eastAsia"/>
                <w:b/>
                <w:szCs w:val="24"/>
                <w:highlight w:val="none"/>
                <w:lang w:val="zh-CN"/>
              </w:rPr>
              <w:t>27.1条</w:t>
            </w:r>
            <w:r>
              <w:rPr>
                <w:rFonts w:hint="eastAsia"/>
                <w:szCs w:val="24"/>
                <w:highlight w:val="none"/>
                <w:lang w:val="zh-CN"/>
              </w:rPr>
              <w:t>规定的串通投标行为；</w:t>
            </w:r>
          </w:p>
        </w:tc>
      </w:tr>
      <w:tr>
        <w:tblPrEx>
          <w:tblBorders>
            <w:top w:val="single" w:color="auto" w:sz="12" w:space="0"/>
            <w:left w:val="single" w:color="auto" w:sz="12" w:space="0"/>
            <w:bottom w:val="single" w:color="auto" w:sz="12" w:space="0"/>
            <w:right w:val="single" w:color="auto" w:sz="12" w:space="0"/>
            <w:insideH w:val="single" w:color="auto" w:sz="2" w:space="0"/>
            <w:insideV w:val="single" w:color="auto" w:sz="2" w:space="0"/>
          </w:tblBorders>
          <w:tblCellMar>
            <w:top w:w="0" w:type="dxa"/>
            <w:left w:w="108" w:type="dxa"/>
            <w:bottom w:w="0" w:type="dxa"/>
            <w:right w:w="108" w:type="dxa"/>
          </w:tblCellMar>
        </w:tblPrEx>
        <w:trPr>
          <w:jc w:val="center"/>
        </w:trPr>
        <w:tc>
          <w:tcPr>
            <w:tcW w:w="817" w:type="dxa"/>
            <w:tcBorders>
              <w:tl2br w:val="nil"/>
              <w:tr2bl w:val="nil"/>
            </w:tcBorders>
            <w:noWrap w:val="0"/>
            <w:vAlign w:val="center"/>
          </w:tcPr>
          <w:p>
            <w:pPr>
              <w:pStyle w:val="54"/>
              <w:numPr>
                <w:ilvl w:val="0"/>
                <w:numId w:val="55"/>
              </w:numPr>
              <w:wordWrap w:val="0"/>
              <w:spacing w:line="360" w:lineRule="auto"/>
              <w:ind w:left="142" w:hanging="142" w:firstLineChars="0"/>
              <w:jc w:val="center"/>
              <w:rPr>
                <w:bCs/>
                <w:highlight w:val="none"/>
                <w:lang w:val="zh-CN"/>
              </w:rPr>
            </w:pPr>
          </w:p>
        </w:tc>
        <w:tc>
          <w:tcPr>
            <w:tcW w:w="9042" w:type="dxa"/>
            <w:tcBorders>
              <w:tl2br w:val="nil"/>
              <w:tr2bl w:val="nil"/>
            </w:tcBorders>
            <w:noWrap w:val="0"/>
            <w:vAlign w:val="top"/>
          </w:tcPr>
          <w:p>
            <w:pPr>
              <w:wordWrap w:val="0"/>
              <w:spacing w:line="360" w:lineRule="auto"/>
              <w:rPr>
                <w:bCs/>
                <w:szCs w:val="24"/>
                <w:highlight w:val="none"/>
                <w:lang w:val="zh-CN"/>
              </w:rPr>
            </w:pPr>
            <w:r>
              <w:rPr>
                <w:rFonts w:hint="eastAsia"/>
                <w:szCs w:val="24"/>
                <w:highlight w:val="none"/>
                <w:lang w:val="zh-CN"/>
              </w:rPr>
              <w:t>不存在</w:t>
            </w:r>
            <w:r>
              <w:rPr>
                <w:szCs w:val="24"/>
                <w:highlight w:val="none"/>
                <w:lang w:val="zh-CN"/>
              </w:rPr>
              <w:t>法律、法规</w:t>
            </w:r>
            <w:r>
              <w:rPr>
                <w:rFonts w:hint="eastAsia"/>
                <w:szCs w:val="24"/>
                <w:highlight w:val="none"/>
                <w:lang w:val="zh-CN"/>
              </w:rPr>
              <w:t>和招标文件</w:t>
            </w:r>
            <w:r>
              <w:rPr>
                <w:szCs w:val="24"/>
                <w:highlight w:val="none"/>
                <w:lang w:val="zh-CN"/>
              </w:rPr>
              <w:t>规定的其他</w:t>
            </w:r>
            <w:r>
              <w:rPr>
                <w:rFonts w:hint="eastAsia"/>
                <w:szCs w:val="24"/>
                <w:highlight w:val="none"/>
                <w:lang w:val="zh-CN"/>
              </w:rPr>
              <w:t>无效投标</w:t>
            </w:r>
            <w:r>
              <w:rPr>
                <w:szCs w:val="24"/>
                <w:highlight w:val="none"/>
                <w:lang w:val="zh-CN"/>
              </w:rPr>
              <w:t>情形。</w:t>
            </w:r>
          </w:p>
        </w:tc>
      </w:tr>
    </w:tbl>
    <w:p>
      <w:pPr>
        <w:rPr>
          <w:b/>
          <w:szCs w:val="24"/>
          <w:lang w:val="zh-CN"/>
        </w:rPr>
      </w:pPr>
      <w:r>
        <w:rPr>
          <w:rFonts w:hint="eastAsia"/>
          <w:b/>
          <w:szCs w:val="24"/>
          <w:lang w:val="en-US" w:eastAsia="zh-CN"/>
        </w:rPr>
        <w:br w:type="page"/>
      </w:r>
    </w:p>
    <w:p>
      <w:pPr>
        <w:pStyle w:val="54"/>
        <w:numPr>
          <w:ilvl w:val="0"/>
          <w:numId w:val="54"/>
        </w:numPr>
        <w:spacing w:line="360" w:lineRule="auto"/>
        <w:ind w:left="284" w:hanging="284" w:firstLineChars="0"/>
        <w:rPr>
          <w:b/>
          <w:szCs w:val="24"/>
          <w:lang w:val="zh-CN"/>
        </w:rPr>
      </w:pPr>
      <w:r>
        <w:rPr>
          <w:rFonts w:hint="eastAsia"/>
          <w:b/>
          <w:szCs w:val="24"/>
          <w:lang w:val="en-US" w:eastAsia="zh-CN"/>
        </w:rPr>
        <w:t>详细评审</w:t>
      </w:r>
      <w:bookmarkEnd w:id="495"/>
      <w:bookmarkEnd w:id="496"/>
      <w:bookmarkEnd w:id="497"/>
      <w:bookmarkEnd w:id="498"/>
      <w:bookmarkEnd w:id="499"/>
      <w:bookmarkEnd w:id="500"/>
    </w:p>
    <w:tbl>
      <w:tblPr>
        <w:tblStyle w:val="29"/>
        <w:tblW w:w="5411" w:type="pct"/>
        <w:jc w:val="center"/>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Layout w:type="autofit"/>
        <w:tblCellMar>
          <w:top w:w="0" w:type="dxa"/>
          <w:left w:w="0" w:type="dxa"/>
          <w:bottom w:w="0" w:type="dxa"/>
          <w:right w:w="0" w:type="dxa"/>
        </w:tblCellMar>
      </w:tblPr>
      <w:tblGrid>
        <w:gridCol w:w="621"/>
        <w:gridCol w:w="1260"/>
        <w:gridCol w:w="2506"/>
        <w:gridCol w:w="818"/>
        <w:gridCol w:w="5119"/>
      </w:tblGrid>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400" w:hRule="atLeast"/>
          <w:jc w:val="center"/>
        </w:trPr>
        <w:tc>
          <w:tcPr>
            <w:tcW w:w="911" w:type="pct"/>
            <w:gridSpan w:val="2"/>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bookmarkStart w:id="501" w:name="_Toc321380859"/>
            <w:bookmarkStart w:id="502" w:name="_Toc318269294"/>
            <w:bookmarkStart w:id="503" w:name="_Toc499820601"/>
            <w:bookmarkStart w:id="504" w:name="_Toc375579748"/>
            <w:bookmarkStart w:id="505" w:name="_Toc319414469"/>
            <w:bookmarkStart w:id="506" w:name="_Toc357008145"/>
            <w:bookmarkStart w:id="507" w:name="_Toc321464599"/>
            <w:bookmarkStart w:id="508" w:name="_Toc399222964"/>
            <w:bookmarkStart w:id="509" w:name="_Toc377561389"/>
            <w:bookmarkStart w:id="510" w:name="_Toc321486879"/>
            <w:bookmarkStart w:id="511" w:name="_Toc321380452"/>
            <w:r>
              <w:rPr>
                <w:rFonts w:hint="eastAsia" w:cs="宋体"/>
                <w:color w:val="auto"/>
                <w:szCs w:val="24"/>
              </w:rPr>
              <w:t>序号</w:t>
            </w: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评审内容</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分值</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after="156" w:afterLines="50"/>
              <w:ind w:left="48" w:leftChars="20" w:right="48" w:rightChars="20"/>
              <w:jc w:val="center"/>
              <w:rPr>
                <w:rFonts w:cs="宋体"/>
                <w:color w:val="auto"/>
                <w:szCs w:val="24"/>
              </w:rPr>
            </w:pPr>
            <w:r>
              <w:rPr>
                <w:rFonts w:hint="eastAsia" w:cs="宋体"/>
                <w:color w:val="auto"/>
                <w:szCs w:val="24"/>
              </w:rPr>
              <w:t>评审因素</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456" w:hRule="atLeast"/>
          <w:jc w:val="center"/>
        </w:trPr>
        <w:tc>
          <w:tcPr>
            <w:tcW w:w="301" w:type="pct"/>
            <w:vMerge w:val="restart"/>
            <w:tcBorders>
              <w:top w:val="outset" w:color="auto" w:sz="6" w:space="0"/>
              <w:left w:val="outset" w:color="auto" w:sz="6" w:space="0"/>
              <w:bottom w:val="outset" w:color="auto" w:sz="6" w:space="0"/>
              <w:right w:val="outset" w:color="auto" w:sz="6" w:space="0"/>
            </w:tcBorders>
            <w:noWrap w:val="0"/>
            <w:vAlign w:val="center"/>
          </w:tcPr>
          <w:p>
            <w:pPr>
              <w:jc w:val="center"/>
              <w:rPr>
                <w:rFonts w:hint="eastAsia" w:eastAsia="宋体" w:cs="宋体"/>
                <w:color w:val="auto"/>
                <w:szCs w:val="24"/>
                <w:lang w:val="en-US" w:eastAsia="zh-CN"/>
              </w:rPr>
            </w:pPr>
            <w:r>
              <w:rPr>
                <w:rFonts w:hint="eastAsia" w:cs="宋体"/>
                <w:color w:val="auto"/>
                <w:szCs w:val="24"/>
                <w:lang w:val="en-US" w:eastAsia="zh-CN"/>
              </w:rPr>
              <w:t>1</w:t>
            </w:r>
          </w:p>
        </w:tc>
        <w:tc>
          <w:tcPr>
            <w:tcW w:w="610" w:type="pct"/>
            <w:vMerge w:val="restar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商</w:t>
            </w:r>
            <w:r>
              <w:rPr>
                <w:rFonts w:hint="eastAsia" w:cs="宋体"/>
                <w:color w:val="auto"/>
                <w:szCs w:val="24"/>
              </w:rPr>
              <w:br w:type="textWrapping"/>
            </w:r>
            <w:r>
              <w:rPr>
                <w:rFonts w:hint="eastAsia" w:cs="宋体"/>
                <w:color w:val="auto"/>
                <w:szCs w:val="24"/>
              </w:rPr>
              <w:t>务</w:t>
            </w:r>
            <w:r>
              <w:rPr>
                <w:rFonts w:hint="eastAsia" w:cs="宋体"/>
                <w:color w:val="auto"/>
                <w:szCs w:val="24"/>
              </w:rPr>
              <w:br w:type="textWrapping"/>
            </w:r>
            <w:r>
              <w:rPr>
                <w:rFonts w:hint="eastAsia" w:cs="宋体"/>
                <w:color w:val="auto"/>
                <w:szCs w:val="24"/>
              </w:rPr>
              <w:t>评</w:t>
            </w:r>
            <w:r>
              <w:rPr>
                <w:rFonts w:hint="eastAsia" w:cs="宋体"/>
                <w:color w:val="auto"/>
                <w:szCs w:val="24"/>
              </w:rPr>
              <w:br w:type="textWrapping"/>
            </w:r>
            <w:r>
              <w:rPr>
                <w:rFonts w:hint="eastAsia" w:cs="宋体"/>
                <w:color w:val="auto"/>
                <w:szCs w:val="24"/>
              </w:rPr>
              <w:t>价</w:t>
            </w:r>
          </w:p>
          <w:p>
            <w:pPr>
              <w:jc w:val="center"/>
              <w:rPr>
                <w:rFonts w:cs="宋体"/>
                <w:color w:val="auto"/>
                <w:szCs w:val="24"/>
              </w:rPr>
            </w:pPr>
            <w:r>
              <w:rPr>
                <w:rFonts w:hint="eastAsia" w:cs="宋体"/>
                <w:color w:val="auto"/>
                <w:szCs w:val="24"/>
              </w:rPr>
              <w:t>（</w:t>
            </w:r>
            <w:r>
              <w:rPr>
                <w:rFonts w:hint="eastAsia" w:cs="宋体"/>
                <w:color w:val="auto"/>
                <w:szCs w:val="24"/>
                <w:lang w:val="en-US" w:eastAsia="zh-CN"/>
              </w:rPr>
              <w:t>40</w:t>
            </w:r>
            <w:r>
              <w:rPr>
                <w:rFonts w:hint="eastAsia" w:cs="宋体"/>
                <w:color w:val="auto"/>
                <w:szCs w:val="24"/>
              </w:rPr>
              <w:t>分）</w:t>
            </w: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lang w:val="en-US" w:eastAsia="zh-CN"/>
              </w:rPr>
              <w:t>投标人</w:t>
            </w:r>
            <w:r>
              <w:rPr>
                <w:rFonts w:hint="eastAsia" w:cs="宋体"/>
                <w:color w:val="auto"/>
                <w:szCs w:val="24"/>
              </w:rPr>
              <w:t>实力</w:t>
            </w:r>
          </w:p>
        </w:tc>
        <w:tc>
          <w:tcPr>
            <w:tcW w:w="396"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center"/>
              <w:rPr>
                <w:rFonts w:cs="宋体"/>
                <w:color w:val="auto"/>
                <w:szCs w:val="24"/>
              </w:rPr>
            </w:pPr>
            <w:r>
              <w:rPr>
                <w:rFonts w:hint="eastAsia" w:cs="宋体"/>
                <w:color w:val="auto"/>
                <w:szCs w:val="24"/>
              </w:rPr>
              <w:t>1</w:t>
            </w:r>
            <w:r>
              <w:rPr>
                <w:rFonts w:cs="宋体"/>
                <w:color w:val="auto"/>
                <w:szCs w:val="24"/>
              </w:rPr>
              <w:t>0.00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rPr>
                <w:rFonts w:hint="default" w:cs="宋体"/>
                <w:color w:val="auto"/>
                <w:szCs w:val="24"/>
                <w:lang w:val="en-US" w:eastAsia="zh-CN"/>
              </w:rPr>
            </w:pPr>
            <w:r>
              <w:rPr>
                <w:rFonts w:hint="eastAsia" w:cs="宋体"/>
                <w:color w:val="auto"/>
                <w:szCs w:val="24"/>
              </w:rPr>
              <w:t>投标</w:t>
            </w:r>
            <w:r>
              <w:rPr>
                <w:rFonts w:hint="eastAsia" w:cs="宋体"/>
                <w:color w:val="auto"/>
                <w:szCs w:val="24"/>
                <w:lang w:val="en-US" w:eastAsia="zh-CN"/>
              </w:rPr>
              <w:t>人具备</w:t>
            </w:r>
            <w:r>
              <w:rPr>
                <w:rFonts w:hint="eastAsia" w:cs="宋体"/>
                <w:color w:val="auto"/>
                <w:szCs w:val="24"/>
              </w:rPr>
              <w:t>与森林碳汇核算或监测相关的重点实验</w:t>
            </w:r>
            <w:r>
              <w:rPr>
                <w:rFonts w:hint="eastAsia" w:cs="宋体"/>
                <w:color w:val="auto"/>
                <w:szCs w:val="24"/>
                <w:lang w:val="en-US" w:eastAsia="zh-CN"/>
              </w:rPr>
              <w:t>室</w:t>
            </w:r>
            <w:r>
              <w:rPr>
                <w:rFonts w:hint="eastAsia" w:cs="宋体"/>
                <w:color w:val="auto"/>
                <w:szCs w:val="24"/>
              </w:rPr>
              <w:t>或中心，</w:t>
            </w:r>
            <w:r>
              <w:rPr>
                <w:rFonts w:hint="eastAsia" w:cs="宋体"/>
                <w:color w:val="auto"/>
                <w:szCs w:val="24"/>
                <w:lang w:val="en-US" w:eastAsia="zh-CN"/>
              </w:rPr>
              <w:t>每提供一个得2分，最多得4分；</w:t>
            </w:r>
          </w:p>
          <w:p>
            <w:pPr>
              <w:spacing w:before="62" w:beforeLines="20" w:after="62" w:afterLines="20"/>
              <w:ind w:left="48" w:leftChars="20" w:right="48" w:rightChars="20"/>
              <w:rPr>
                <w:rFonts w:cs="宋体"/>
                <w:color w:val="auto"/>
                <w:szCs w:val="24"/>
              </w:rPr>
            </w:pPr>
            <w:r>
              <w:rPr>
                <w:rFonts w:hint="eastAsia" w:cs="宋体"/>
                <w:color w:val="auto"/>
                <w:szCs w:val="24"/>
              </w:rPr>
              <w:t>投标</w:t>
            </w:r>
            <w:r>
              <w:rPr>
                <w:rFonts w:hint="eastAsia" w:cs="宋体"/>
                <w:color w:val="auto"/>
                <w:szCs w:val="24"/>
                <w:lang w:val="en-US" w:eastAsia="zh-CN"/>
              </w:rPr>
              <w:t>人</w:t>
            </w:r>
            <w:r>
              <w:rPr>
                <w:rFonts w:hint="eastAsia" w:cs="宋体"/>
                <w:color w:val="auto"/>
                <w:szCs w:val="24"/>
              </w:rPr>
              <w:t>获得森林碳汇核算或</w:t>
            </w:r>
            <w:r>
              <w:rPr>
                <w:rFonts w:ascii="Times New Roman" w:hAnsi="Times New Roman"/>
                <w:color w:val="auto"/>
                <w:shd w:val="clear" w:color="auto" w:fill="auto"/>
              </w:rPr>
              <w:t>森林应对气候变化</w:t>
            </w:r>
            <w:r>
              <w:rPr>
                <w:rFonts w:hint="eastAsia" w:ascii="Times New Roman" w:hAnsi="Times New Roman"/>
                <w:color w:val="auto"/>
                <w:shd w:val="clear" w:color="auto" w:fill="auto"/>
                <w:lang w:val="en-US" w:eastAsia="zh-CN"/>
              </w:rPr>
              <w:t>等</w:t>
            </w:r>
            <w:r>
              <w:rPr>
                <w:rFonts w:hint="eastAsia" w:cs="宋体"/>
                <w:color w:val="auto"/>
                <w:szCs w:val="24"/>
              </w:rPr>
              <w:t>相关</w:t>
            </w:r>
            <w:r>
              <w:rPr>
                <w:rFonts w:hint="eastAsia" w:cs="宋体"/>
                <w:color w:val="auto"/>
                <w:szCs w:val="24"/>
                <w:lang w:val="en-US" w:eastAsia="zh-CN"/>
              </w:rPr>
              <w:t>证书或奖项</w:t>
            </w:r>
            <w:r>
              <w:rPr>
                <w:rFonts w:hint="eastAsia" w:cs="宋体"/>
                <w:color w:val="auto"/>
                <w:szCs w:val="24"/>
              </w:rPr>
              <w:t>，每提供一个得</w:t>
            </w:r>
            <w:r>
              <w:rPr>
                <w:rFonts w:hint="eastAsia" w:cs="宋体"/>
                <w:color w:val="auto"/>
                <w:szCs w:val="24"/>
                <w:lang w:val="en-US" w:eastAsia="zh-CN"/>
              </w:rPr>
              <w:t>2</w:t>
            </w:r>
            <w:r>
              <w:rPr>
                <w:rFonts w:hint="eastAsia" w:cs="宋体"/>
                <w:color w:val="auto"/>
                <w:szCs w:val="24"/>
              </w:rPr>
              <w:t>分，</w:t>
            </w:r>
            <w:r>
              <w:rPr>
                <w:rFonts w:hint="eastAsia" w:cs="宋体"/>
                <w:color w:val="auto"/>
                <w:szCs w:val="24"/>
                <w:lang w:val="en-US" w:eastAsia="zh-CN"/>
              </w:rPr>
              <w:t>最多得6分，本项</w:t>
            </w:r>
            <w:r>
              <w:rPr>
                <w:rFonts w:hint="eastAsia" w:cs="宋体"/>
                <w:color w:val="auto"/>
                <w:szCs w:val="24"/>
              </w:rPr>
              <w:t>最多1</w:t>
            </w:r>
            <w:r>
              <w:rPr>
                <w:rFonts w:cs="宋体"/>
                <w:color w:val="auto"/>
                <w:szCs w:val="24"/>
              </w:rPr>
              <w:t>0</w:t>
            </w:r>
            <w:r>
              <w:rPr>
                <w:rFonts w:hint="eastAsia" w:cs="宋体"/>
                <w:color w:val="auto"/>
                <w:szCs w:val="24"/>
              </w:rPr>
              <w:t>分。</w:t>
            </w:r>
          </w:p>
          <w:p>
            <w:pPr>
              <w:spacing w:before="62" w:beforeLines="20" w:after="62" w:afterLines="20"/>
              <w:ind w:left="48" w:leftChars="20" w:right="48" w:rightChars="20"/>
              <w:rPr>
                <w:rFonts w:cs="宋体"/>
                <w:color w:val="auto"/>
                <w:szCs w:val="24"/>
              </w:rPr>
            </w:pPr>
            <w:r>
              <w:rPr>
                <w:rFonts w:hint="eastAsia" w:cs="宋体"/>
                <w:color w:val="auto"/>
                <w:szCs w:val="24"/>
              </w:rPr>
              <w:t>（</w:t>
            </w:r>
            <w:r>
              <w:rPr>
                <w:rFonts w:hint="eastAsia" w:cs="宋体"/>
                <w:color w:val="auto"/>
                <w:szCs w:val="24"/>
                <w:lang w:val="en-US" w:eastAsia="zh-CN"/>
              </w:rPr>
              <w:t>注：</w:t>
            </w:r>
            <w:r>
              <w:rPr>
                <w:rFonts w:hint="eastAsia" w:cs="宋体"/>
                <w:color w:val="auto"/>
                <w:szCs w:val="24"/>
              </w:rPr>
              <w:t>提供</w:t>
            </w:r>
            <w:r>
              <w:rPr>
                <w:rFonts w:hint="eastAsia" w:cs="宋体"/>
                <w:color w:val="auto"/>
                <w:szCs w:val="24"/>
                <w:lang w:val="en-US" w:eastAsia="zh-CN"/>
              </w:rPr>
              <w:t>相关</w:t>
            </w:r>
            <w:r>
              <w:rPr>
                <w:rFonts w:hint="eastAsia" w:cs="宋体"/>
                <w:color w:val="auto"/>
                <w:szCs w:val="24"/>
              </w:rPr>
              <w:t>证明文件或证书</w:t>
            </w:r>
            <w:r>
              <w:rPr>
                <w:rFonts w:hint="eastAsia" w:cs="宋体"/>
                <w:color w:val="auto"/>
                <w:szCs w:val="24"/>
                <w:lang w:val="en-US" w:eastAsia="zh-CN"/>
              </w:rPr>
              <w:t>扫描件</w:t>
            </w:r>
            <w:r>
              <w:rPr>
                <w:rFonts w:hint="eastAsia" w:cs="宋体"/>
                <w:color w:val="auto"/>
                <w:szCs w:val="24"/>
              </w:rPr>
              <w:t>加盖单位公章）</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456"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hint="eastAsia" w:cs="宋体"/>
                <w:color w:val="auto"/>
                <w:szCs w:val="24"/>
              </w:rPr>
            </w:pPr>
            <w:r>
              <w:rPr>
                <w:rFonts w:hint="eastAsia" w:cs="宋体"/>
                <w:color w:val="auto"/>
                <w:szCs w:val="24"/>
                <w:lang w:val="en-US" w:eastAsia="zh-CN"/>
              </w:rPr>
              <w:t>投标人</w:t>
            </w:r>
            <w:r>
              <w:rPr>
                <w:rFonts w:hint="eastAsia" w:cs="宋体"/>
                <w:color w:val="auto"/>
                <w:szCs w:val="24"/>
              </w:rPr>
              <w:t>类似项目</w:t>
            </w:r>
          </w:p>
          <w:p>
            <w:pPr>
              <w:jc w:val="center"/>
              <w:rPr>
                <w:rFonts w:cs="宋体"/>
                <w:color w:val="auto"/>
                <w:szCs w:val="24"/>
              </w:rPr>
            </w:pPr>
            <w:r>
              <w:rPr>
                <w:rFonts w:hint="eastAsia" w:cs="宋体"/>
                <w:color w:val="auto"/>
                <w:szCs w:val="24"/>
              </w:rPr>
              <w:t>业绩</w:t>
            </w:r>
          </w:p>
        </w:tc>
        <w:tc>
          <w:tcPr>
            <w:tcW w:w="396"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center"/>
              <w:rPr>
                <w:rFonts w:cs="宋体"/>
                <w:color w:val="auto"/>
                <w:szCs w:val="24"/>
              </w:rPr>
            </w:pPr>
            <w:r>
              <w:rPr>
                <w:rFonts w:hint="eastAsia" w:cs="宋体"/>
                <w:color w:val="auto"/>
                <w:szCs w:val="24"/>
              </w:rPr>
              <w:t>1</w:t>
            </w:r>
            <w:r>
              <w:rPr>
                <w:rFonts w:cs="宋体"/>
                <w:color w:val="auto"/>
                <w:szCs w:val="24"/>
              </w:rPr>
              <w:t>5</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投标人自2019</w:t>
            </w:r>
            <w:r>
              <w:rPr>
                <w:rFonts w:hint="eastAsia" w:cs="宋体"/>
                <w:color w:val="auto"/>
                <w:szCs w:val="24"/>
                <w:shd w:val="clear" w:color="auto" w:fill="auto"/>
              </w:rPr>
              <w:t>年1月1日至投标截止日承担过类似如</w:t>
            </w:r>
            <w:r>
              <w:rPr>
                <w:rFonts w:ascii="Times New Roman" w:hAnsi="Times New Roman"/>
                <w:color w:val="auto"/>
                <w:shd w:val="clear" w:color="auto" w:fill="auto"/>
              </w:rPr>
              <w:t>森林应对气候变化、森林碳汇核算等方面的相关研究项目或咨询项目</w:t>
            </w:r>
            <w:r>
              <w:rPr>
                <w:rFonts w:hint="eastAsia" w:cs="宋体"/>
                <w:color w:val="auto"/>
                <w:szCs w:val="24"/>
                <w:shd w:val="clear" w:color="auto" w:fill="auto"/>
              </w:rPr>
              <w:t>，每提供</w:t>
            </w:r>
            <w:r>
              <w:rPr>
                <w:rFonts w:hint="eastAsia" w:cs="宋体"/>
                <w:color w:val="auto"/>
                <w:szCs w:val="24"/>
              </w:rPr>
              <w:t>一个得3分，最多得1</w:t>
            </w:r>
            <w:r>
              <w:rPr>
                <w:rFonts w:cs="宋体"/>
                <w:color w:val="auto"/>
                <w:szCs w:val="24"/>
              </w:rPr>
              <w:t>5</w:t>
            </w:r>
            <w:r>
              <w:rPr>
                <w:rFonts w:hint="eastAsia" w:cs="宋体"/>
                <w:color w:val="auto"/>
                <w:szCs w:val="24"/>
              </w:rPr>
              <w:t>分。</w:t>
            </w:r>
          </w:p>
          <w:p>
            <w:pPr>
              <w:spacing w:before="62" w:beforeLines="20" w:after="62" w:afterLines="20"/>
              <w:ind w:left="48" w:leftChars="20" w:right="48" w:rightChars="20"/>
              <w:jc w:val="left"/>
              <w:rPr>
                <w:rFonts w:cs="宋体"/>
                <w:color w:val="auto"/>
                <w:szCs w:val="24"/>
              </w:rPr>
            </w:pPr>
            <w:r>
              <w:rPr>
                <w:rFonts w:hint="eastAsia" w:cs="宋体"/>
                <w:color w:val="auto"/>
                <w:szCs w:val="24"/>
              </w:rPr>
              <w:t>（</w:t>
            </w:r>
            <w:r>
              <w:rPr>
                <w:rFonts w:hint="eastAsia" w:cs="宋体"/>
                <w:color w:val="auto"/>
                <w:szCs w:val="24"/>
                <w:lang w:val="en-US" w:eastAsia="zh-CN"/>
              </w:rPr>
              <w:t>注：</w:t>
            </w:r>
            <w:r>
              <w:rPr>
                <w:rFonts w:hint="eastAsia" w:cs="宋体"/>
                <w:color w:val="auto"/>
                <w:szCs w:val="24"/>
              </w:rPr>
              <w:t>提供中标通知书或合同协议书扫描件，时间以通知书发出时间或合同签订时间为准）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90"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hint="default" w:eastAsia="宋体" w:cs="宋体"/>
                <w:color w:val="auto"/>
                <w:szCs w:val="24"/>
                <w:lang w:val="en-US" w:eastAsia="zh-CN"/>
              </w:rPr>
            </w:pPr>
            <w:r>
              <w:rPr>
                <w:rFonts w:hint="eastAsia" w:cs="宋体"/>
                <w:color w:val="auto"/>
                <w:szCs w:val="24"/>
                <w:lang w:val="en-US" w:eastAsia="zh-CN"/>
              </w:rPr>
              <w:t>项目负责人业绩</w:t>
            </w:r>
          </w:p>
        </w:tc>
        <w:tc>
          <w:tcPr>
            <w:tcW w:w="396"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center"/>
              <w:rPr>
                <w:rFonts w:cs="宋体"/>
                <w:color w:val="auto"/>
                <w:szCs w:val="24"/>
              </w:rPr>
            </w:pPr>
            <w:r>
              <w:rPr>
                <w:rFonts w:hint="eastAsia" w:cs="宋体"/>
                <w:color w:val="auto"/>
                <w:szCs w:val="24"/>
                <w:lang w:val="en-US" w:eastAsia="zh-CN"/>
              </w:rPr>
              <w:t>9</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right="48" w:rightChars="20"/>
              <w:jc w:val="left"/>
              <w:rPr>
                <w:rFonts w:cs="宋体"/>
                <w:color w:val="auto"/>
                <w:szCs w:val="24"/>
              </w:rPr>
            </w:pPr>
            <w:r>
              <w:rPr>
                <w:rFonts w:hint="eastAsia" w:cs="宋体"/>
                <w:color w:val="auto"/>
                <w:szCs w:val="24"/>
              </w:rPr>
              <w:t>拟派项目负责人</w:t>
            </w:r>
            <w:r>
              <w:rPr>
                <w:rFonts w:hint="eastAsia" w:ascii="Times New Roman" w:hAnsi="Times New Roman"/>
                <w:color w:val="auto"/>
              </w:rPr>
              <w:t>主持过森林应对气候变化、森林碳汇等相关项目和课题</w:t>
            </w:r>
            <w:r>
              <w:rPr>
                <w:rFonts w:hint="eastAsia" w:cs="宋体"/>
                <w:color w:val="auto"/>
                <w:szCs w:val="24"/>
              </w:rPr>
              <w:t>，每提供一个得</w:t>
            </w:r>
            <w:r>
              <w:rPr>
                <w:rFonts w:hint="eastAsia" w:ascii="Times New Roman" w:hAnsi="Times New Roman"/>
                <w:color w:val="auto"/>
                <w:lang w:val="en-US" w:eastAsia="zh-CN"/>
              </w:rPr>
              <w:t>国家级</w:t>
            </w:r>
            <w:r>
              <w:rPr>
                <w:rFonts w:cs="宋体"/>
                <w:color w:val="auto"/>
                <w:szCs w:val="24"/>
              </w:rPr>
              <w:t>2</w:t>
            </w:r>
            <w:r>
              <w:rPr>
                <w:rFonts w:hint="eastAsia" w:cs="宋体"/>
                <w:color w:val="auto"/>
                <w:szCs w:val="24"/>
              </w:rPr>
              <w:t>分，</w:t>
            </w:r>
            <w:r>
              <w:rPr>
                <w:rFonts w:hint="eastAsia" w:cs="宋体"/>
                <w:color w:val="auto"/>
                <w:szCs w:val="24"/>
                <w:lang w:val="en-US" w:eastAsia="zh-CN"/>
              </w:rPr>
              <w:t>省部级以下得1分，</w:t>
            </w:r>
            <w:r>
              <w:rPr>
                <w:rFonts w:hint="eastAsia" w:cs="宋体"/>
                <w:color w:val="auto"/>
                <w:szCs w:val="24"/>
              </w:rPr>
              <w:t>最多得</w:t>
            </w:r>
            <w:r>
              <w:rPr>
                <w:rFonts w:hint="eastAsia" w:cs="宋体"/>
                <w:color w:val="auto"/>
                <w:szCs w:val="24"/>
                <w:lang w:val="en-US" w:eastAsia="zh-CN"/>
              </w:rPr>
              <w:t>6</w:t>
            </w:r>
            <w:r>
              <w:rPr>
                <w:rFonts w:hint="eastAsia" w:cs="宋体"/>
                <w:color w:val="auto"/>
                <w:szCs w:val="24"/>
              </w:rPr>
              <w:t>分。</w:t>
            </w:r>
          </w:p>
          <w:p>
            <w:pPr>
              <w:spacing w:before="62" w:beforeLines="20" w:after="62" w:afterLines="20"/>
              <w:ind w:right="48" w:rightChars="20"/>
              <w:jc w:val="left"/>
              <w:rPr>
                <w:rFonts w:hint="default" w:cs="宋体"/>
                <w:color w:val="auto"/>
                <w:szCs w:val="24"/>
                <w:lang w:val="en-US"/>
              </w:rPr>
            </w:pPr>
            <w:r>
              <w:rPr>
                <w:rFonts w:hint="eastAsia" w:cs="宋体"/>
                <w:color w:val="auto"/>
                <w:szCs w:val="24"/>
                <w:lang w:val="en-US" w:eastAsia="zh-CN"/>
              </w:rPr>
              <w:t>（注：项目负责人业绩与投标人类似业绩不重复计分，提供相关证明材料）</w:t>
            </w:r>
          </w:p>
          <w:p>
            <w:pPr>
              <w:keepNext w:val="0"/>
              <w:keepLines w:val="0"/>
              <w:pageBreakBefore w:val="0"/>
              <w:widowControl w:val="0"/>
              <w:kinsoku/>
              <w:wordWrap/>
              <w:overflowPunct/>
              <w:topLinePunct w:val="0"/>
              <w:autoSpaceDE/>
              <w:autoSpaceDN/>
              <w:bidi w:val="0"/>
              <w:adjustRightInd/>
              <w:snapToGrid/>
              <w:spacing w:before="63" w:beforeLines="20" w:after="63" w:afterLines="20"/>
              <w:ind w:right="48" w:rightChars="20"/>
              <w:jc w:val="left"/>
              <w:textAlignment w:val="auto"/>
              <w:rPr>
                <w:rFonts w:hint="default" w:eastAsia="宋体" w:cs="宋体"/>
                <w:color w:val="auto"/>
                <w:sz w:val="24"/>
                <w:szCs w:val="24"/>
                <w:lang w:val="en-US" w:eastAsia="zh-CN"/>
              </w:rPr>
            </w:pPr>
            <w:r>
              <w:rPr>
                <w:rFonts w:hint="eastAsia" w:ascii="宋体" w:hAnsi="宋体" w:eastAsia="宋体" w:cs="宋体"/>
                <w:color w:val="auto"/>
                <w:sz w:val="24"/>
                <w:szCs w:val="24"/>
              </w:rPr>
              <w:t>拟派项目负责人</w:t>
            </w:r>
            <w:r>
              <w:rPr>
                <w:rFonts w:hint="eastAsia" w:cs="宋体"/>
                <w:color w:val="auto"/>
                <w:sz w:val="24"/>
                <w:szCs w:val="24"/>
                <w:lang w:val="en-US" w:eastAsia="zh-CN"/>
              </w:rPr>
              <w:t>具备</w:t>
            </w:r>
            <w:r>
              <w:rPr>
                <w:rFonts w:ascii="Times New Roman" w:hAnsi="Times New Roman" w:cs="Times New Roman"/>
                <w:color w:val="auto"/>
                <w:sz w:val="24"/>
              </w:rPr>
              <w:t>生态</w:t>
            </w:r>
            <w:r>
              <w:rPr>
                <w:rFonts w:hint="eastAsia" w:ascii="Times New Roman" w:hAnsi="Times New Roman" w:cs="Times New Roman"/>
                <w:color w:val="auto"/>
                <w:sz w:val="24"/>
                <w:lang w:val="en-US" w:eastAsia="zh-CN"/>
              </w:rPr>
              <w:t>或</w:t>
            </w:r>
            <w:r>
              <w:rPr>
                <w:rFonts w:ascii="Times New Roman" w:hAnsi="Times New Roman" w:cs="Times New Roman"/>
                <w:color w:val="auto"/>
                <w:sz w:val="24"/>
              </w:rPr>
              <w:t>林业等相关专业的高级职称</w:t>
            </w:r>
            <w:r>
              <w:rPr>
                <w:rFonts w:hint="eastAsia" w:ascii="Times New Roman" w:hAnsi="Times New Roman" w:cs="Times New Roman"/>
                <w:color w:val="auto"/>
                <w:sz w:val="24"/>
                <w:lang w:eastAsia="zh-CN"/>
              </w:rPr>
              <w:t>，</w:t>
            </w:r>
            <w:r>
              <w:rPr>
                <w:rFonts w:hint="eastAsia" w:ascii="Times New Roman" w:hAnsi="Times New Roman" w:cs="Times New Roman"/>
                <w:color w:val="auto"/>
                <w:sz w:val="24"/>
                <w:lang w:val="en-US" w:eastAsia="zh-CN"/>
              </w:rPr>
              <w:t>得1分，正高级得3分。</w:t>
            </w:r>
          </w:p>
          <w:p>
            <w:pPr>
              <w:keepNext w:val="0"/>
              <w:keepLines w:val="0"/>
              <w:pageBreakBefore w:val="0"/>
              <w:widowControl w:val="0"/>
              <w:kinsoku/>
              <w:wordWrap/>
              <w:overflowPunct/>
              <w:topLinePunct w:val="0"/>
              <w:autoSpaceDE/>
              <w:autoSpaceDN/>
              <w:bidi w:val="0"/>
              <w:adjustRightInd/>
              <w:snapToGrid/>
              <w:spacing w:before="63" w:beforeLines="20" w:after="63" w:afterLines="20"/>
              <w:ind w:left="48" w:leftChars="20" w:right="48" w:rightChars="20"/>
              <w:jc w:val="left"/>
              <w:textAlignment w:val="auto"/>
              <w:rPr>
                <w:rFonts w:hint="eastAsia" w:eastAsia="宋体" w:cs="宋体"/>
                <w:color w:val="0000FF"/>
                <w:sz w:val="24"/>
                <w:szCs w:val="24"/>
                <w:lang w:eastAsia="zh-CN"/>
              </w:rPr>
            </w:pPr>
            <w:r>
              <w:rPr>
                <w:rFonts w:hint="eastAsia" w:cs="宋体"/>
                <w:color w:val="auto"/>
                <w:szCs w:val="24"/>
                <w:lang w:val="en-US" w:eastAsia="zh-CN"/>
              </w:rPr>
              <w:t>（注：提供</w:t>
            </w:r>
            <w:r>
              <w:rPr>
                <w:rFonts w:hint="eastAsia" w:cs="宋体"/>
                <w:color w:val="auto"/>
                <w:szCs w:val="24"/>
              </w:rPr>
              <w:t>近3个月投标人为其缴纳社会保险证明材料</w:t>
            </w:r>
            <w:r>
              <w:rPr>
                <w:rFonts w:hint="eastAsia" w:cs="宋体"/>
                <w:color w:val="auto"/>
                <w:szCs w:val="24"/>
                <w:lang w:val="en-US" w:eastAsia="zh-CN"/>
              </w:rPr>
              <w:t>，职称证书扫描件</w:t>
            </w:r>
            <w:r>
              <w:rPr>
                <w:rFonts w:hint="eastAsia" w:cs="宋体"/>
                <w:color w:val="auto"/>
                <w:szCs w:val="24"/>
              </w:rPr>
              <w:t>加盖单位公章</w:t>
            </w:r>
            <w:r>
              <w:rPr>
                <w:rFonts w:hint="eastAsia" w:cs="宋体"/>
                <w:color w:val="auto"/>
                <w:szCs w:val="24"/>
                <w:lang w:eastAsia="zh-CN"/>
              </w:rPr>
              <w:t>）</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850"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项目团队人员</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left"/>
              <w:rPr>
                <w:rFonts w:cs="宋体"/>
                <w:color w:val="auto"/>
                <w:szCs w:val="24"/>
              </w:rPr>
            </w:pPr>
            <w:r>
              <w:rPr>
                <w:rFonts w:hint="eastAsia" w:cs="宋体"/>
                <w:color w:val="auto"/>
                <w:szCs w:val="24"/>
                <w:lang w:val="en-US" w:eastAsia="zh-CN"/>
              </w:rPr>
              <w:t>6</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拟派本项目团队人员（除项目负责人外）：</w:t>
            </w:r>
          </w:p>
          <w:p>
            <w:pPr>
              <w:numPr>
                <w:ilvl w:val="0"/>
                <w:numId w:val="0"/>
              </w:numPr>
              <w:spacing w:before="62" w:beforeLines="20" w:after="62" w:afterLines="20"/>
              <w:ind w:right="48" w:rightChars="20"/>
              <w:jc w:val="left"/>
              <w:rPr>
                <w:color w:val="auto"/>
              </w:rPr>
            </w:pPr>
            <w:r>
              <w:rPr>
                <w:rFonts w:hint="eastAsia" w:cs="宋体"/>
                <w:color w:val="auto"/>
                <w:szCs w:val="24"/>
              </w:rPr>
              <w:t>具有相关专业(生态学、林学)等高级及以上职称，每提供一人得</w:t>
            </w:r>
            <w:r>
              <w:rPr>
                <w:rFonts w:hint="eastAsia" w:cs="宋体"/>
                <w:color w:val="auto"/>
                <w:szCs w:val="24"/>
                <w:lang w:val="en-US" w:eastAsia="zh-CN"/>
              </w:rPr>
              <w:t>1</w:t>
            </w:r>
            <w:r>
              <w:rPr>
                <w:rFonts w:hint="eastAsia" w:cs="宋体"/>
                <w:color w:val="auto"/>
                <w:szCs w:val="24"/>
              </w:rPr>
              <w:t>分，最多</w:t>
            </w:r>
            <w:r>
              <w:rPr>
                <w:rFonts w:cs="宋体"/>
                <w:color w:val="auto"/>
                <w:szCs w:val="24"/>
              </w:rPr>
              <w:t>6</w:t>
            </w:r>
            <w:r>
              <w:rPr>
                <w:rFonts w:hint="eastAsia" w:cs="宋体"/>
                <w:color w:val="auto"/>
                <w:szCs w:val="24"/>
              </w:rPr>
              <w:t>分。</w:t>
            </w:r>
          </w:p>
          <w:p>
            <w:pPr>
              <w:spacing w:before="62" w:beforeLines="20" w:after="62" w:afterLines="20"/>
              <w:ind w:left="48" w:leftChars="20" w:right="48" w:rightChars="20"/>
              <w:jc w:val="left"/>
              <w:rPr>
                <w:rFonts w:cs="宋体"/>
                <w:color w:val="auto"/>
                <w:szCs w:val="24"/>
              </w:rPr>
            </w:pPr>
            <w:r>
              <w:rPr>
                <w:rFonts w:hint="eastAsia" w:cs="宋体"/>
                <w:color w:val="auto"/>
                <w:szCs w:val="24"/>
              </w:rPr>
              <w:t>（</w:t>
            </w:r>
            <w:r>
              <w:rPr>
                <w:rFonts w:hint="eastAsia" w:cs="宋体"/>
                <w:color w:val="auto"/>
                <w:szCs w:val="24"/>
                <w:lang w:val="en-US" w:eastAsia="zh-CN"/>
              </w:rPr>
              <w:t>注：</w:t>
            </w:r>
            <w:r>
              <w:rPr>
                <w:rFonts w:hint="eastAsia" w:cs="宋体"/>
                <w:color w:val="auto"/>
                <w:szCs w:val="24"/>
              </w:rPr>
              <w:t>提供毕业证、职称证明及近3个月投标人为其缴纳社会保险证明材料扫描件）</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2746" w:hRule="atLeast"/>
          <w:jc w:val="center"/>
        </w:trPr>
        <w:tc>
          <w:tcPr>
            <w:tcW w:w="301" w:type="pct"/>
            <w:vMerge w:val="restart"/>
            <w:tcBorders>
              <w:top w:val="outset" w:color="auto" w:sz="6" w:space="0"/>
              <w:left w:val="outset" w:color="auto" w:sz="6" w:space="0"/>
              <w:bottom w:val="outset" w:color="auto" w:sz="6" w:space="0"/>
              <w:right w:val="outset" w:color="auto" w:sz="6" w:space="0"/>
            </w:tcBorders>
            <w:noWrap w:val="0"/>
            <w:vAlign w:val="center"/>
          </w:tcPr>
          <w:p>
            <w:pPr>
              <w:jc w:val="center"/>
              <w:rPr>
                <w:rFonts w:hint="eastAsia" w:eastAsia="宋体" w:cs="宋体"/>
                <w:color w:val="auto"/>
                <w:szCs w:val="24"/>
                <w:lang w:val="en-US" w:eastAsia="zh-CN"/>
              </w:rPr>
            </w:pPr>
            <w:r>
              <w:rPr>
                <w:rFonts w:hint="eastAsia" w:cs="宋体"/>
                <w:color w:val="auto"/>
                <w:szCs w:val="24"/>
                <w:lang w:val="en-US" w:eastAsia="zh-CN"/>
              </w:rPr>
              <w:t>2</w:t>
            </w:r>
          </w:p>
        </w:tc>
        <w:tc>
          <w:tcPr>
            <w:tcW w:w="610" w:type="pct"/>
            <w:vMerge w:val="restar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技</w:t>
            </w:r>
            <w:r>
              <w:rPr>
                <w:rFonts w:hint="eastAsia" w:cs="宋体"/>
                <w:color w:val="auto"/>
                <w:szCs w:val="24"/>
              </w:rPr>
              <w:br w:type="textWrapping"/>
            </w:r>
            <w:r>
              <w:rPr>
                <w:rFonts w:hint="eastAsia" w:cs="宋体"/>
                <w:color w:val="auto"/>
                <w:szCs w:val="24"/>
              </w:rPr>
              <w:t>术</w:t>
            </w:r>
            <w:r>
              <w:rPr>
                <w:rFonts w:hint="eastAsia" w:cs="宋体"/>
                <w:color w:val="auto"/>
                <w:szCs w:val="24"/>
              </w:rPr>
              <w:br w:type="textWrapping"/>
            </w:r>
            <w:r>
              <w:rPr>
                <w:rFonts w:hint="eastAsia" w:cs="宋体"/>
                <w:color w:val="auto"/>
                <w:szCs w:val="24"/>
              </w:rPr>
              <w:t>评</w:t>
            </w:r>
            <w:r>
              <w:rPr>
                <w:rFonts w:hint="eastAsia" w:cs="宋体"/>
                <w:color w:val="auto"/>
                <w:szCs w:val="24"/>
              </w:rPr>
              <w:br w:type="textWrapping"/>
            </w:r>
            <w:r>
              <w:rPr>
                <w:rFonts w:hint="eastAsia" w:cs="宋体"/>
                <w:color w:val="auto"/>
                <w:szCs w:val="24"/>
              </w:rPr>
              <w:t>价</w:t>
            </w:r>
          </w:p>
          <w:p>
            <w:pPr>
              <w:jc w:val="center"/>
              <w:rPr>
                <w:rFonts w:cs="宋体"/>
                <w:color w:val="auto"/>
                <w:szCs w:val="24"/>
              </w:rPr>
            </w:pPr>
            <w:r>
              <w:rPr>
                <w:rFonts w:hint="eastAsia" w:cs="宋体"/>
                <w:color w:val="auto"/>
                <w:szCs w:val="24"/>
              </w:rPr>
              <w:t>（</w:t>
            </w:r>
            <w:r>
              <w:rPr>
                <w:rFonts w:hint="eastAsia" w:cs="宋体"/>
                <w:color w:val="auto"/>
                <w:szCs w:val="24"/>
                <w:lang w:val="en-US" w:eastAsia="zh-CN"/>
              </w:rPr>
              <w:t>50</w:t>
            </w:r>
            <w:r>
              <w:rPr>
                <w:rFonts w:hint="eastAsia" w:cs="宋体"/>
                <w:color w:val="auto"/>
                <w:szCs w:val="24"/>
              </w:rPr>
              <w:t>分）</w:t>
            </w: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整体工作计划</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1</w:t>
            </w:r>
            <w:r>
              <w:rPr>
                <w:rFonts w:hint="eastAsia" w:cs="宋体"/>
                <w:color w:val="auto"/>
                <w:szCs w:val="24"/>
                <w:lang w:val="en-US" w:eastAsia="zh-CN"/>
              </w:rPr>
              <w:t>0</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针对本项目具体的整体工作计划，应包含通过构建黄冈市森林碳储量评估与预测方法体系，分析黄冈市森林在不同林业活动路径下的森林碳汇现状与潜力，提出黄冈市及典型流域森林碳汇提升路径，并开展国土绿化CCER造林碳汇项目示范等各节点各流程的具体安排。</w:t>
            </w:r>
          </w:p>
          <w:p>
            <w:pPr>
              <w:spacing w:before="62" w:beforeLines="20" w:after="62" w:afterLines="20"/>
              <w:ind w:left="48" w:leftChars="20" w:right="48" w:rightChars="20"/>
              <w:jc w:val="left"/>
              <w:rPr>
                <w:rFonts w:cs="宋体"/>
                <w:color w:val="auto"/>
                <w:szCs w:val="24"/>
              </w:rPr>
            </w:pPr>
            <w:r>
              <w:rPr>
                <w:rFonts w:hint="eastAsia" w:cs="宋体"/>
                <w:color w:val="auto"/>
                <w:szCs w:val="24"/>
              </w:rPr>
              <w:t>方案科学合理、贴合实际，工作流程和研究方法详实、可操作性强的得1</w:t>
            </w:r>
            <w:r>
              <w:rPr>
                <w:rFonts w:hint="eastAsia" w:cs="宋体"/>
                <w:color w:val="auto"/>
                <w:szCs w:val="24"/>
                <w:lang w:val="en-US" w:eastAsia="zh-CN"/>
              </w:rPr>
              <w:t>0</w:t>
            </w:r>
            <w:r>
              <w:rPr>
                <w:rFonts w:hint="eastAsia" w:cs="宋体"/>
                <w:color w:val="auto"/>
                <w:szCs w:val="24"/>
              </w:rPr>
              <w:t>分，方案较科学合理基本可行的得</w:t>
            </w:r>
            <w:r>
              <w:rPr>
                <w:rFonts w:hint="eastAsia" w:cs="宋体"/>
                <w:color w:val="auto"/>
                <w:szCs w:val="24"/>
                <w:lang w:val="en-US" w:eastAsia="zh-CN"/>
              </w:rPr>
              <w:t>7</w:t>
            </w:r>
            <w:r>
              <w:rPr>
                <w:rFonts w:hint="eastAsia" w:cs="宋体"/>
                <w:color w:val="auto"/>
                <w:szCs w:val="24"/>
              </w:rPr>
              <w:t>分，方案一般可操作性不强的得3分，未提供的不得分。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147"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碳汇资源成效监测方案</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lang w:val="en-US" w:eastAsia="zh-CN"/>
              </w:rPr>
              <w:t>8</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投标人针对本项目提供具体的林业碳汇资源成效监测调研方案制定合理，任务明确，符合地方实际情况，优秀的得</w:t>
            </w:r>
            <w:r>
              <w:rPr>
                <w:rFonts w:hint="eastAsia" w:cs="宋体"/>
                <w:color w:val="auto"/>
                <w:szCs w:val="24"/>
                <w:lang w:val="en-US" w:eastAsia="zh-CN"/>
              </w:rPr>
              <w:t>8</w:t>
            </w:r>
            <w:r>
              <w:rPr>
                <w:rFonts w:hint="eastAsia" w:cs="宋体"/>
                <w:color w:val="auto"/>
                <w:szCs w:val="24"/>
              </w:rPr>
              <w:t>分，良好的得</w:t>
            </w:r>
            <w:r>
              <w:rPr>
                <w:rFonts w:hint="eastAsia" w:cs="宋体"/>
                <w:color w:val="auto"/>
                <w:szCs w:val="24"/>
                <w:lang w:val="en-US" w:eastAsia="zh-CN"/>
              </w:rPr>
              <w:t>5</w:t>
            </w:r>
            <w:r>
              <w:rPr>
                <w:rFonts w:hint="eastAsia" w:cs="宋体"/>
                <w:color w:val="auto"/>
                <w:szCs w:val="24"/>
              </w:rPr>
              <w:t>分，一般的得2分，未提供的不得分。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405"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碳汇潜能分析工作方案</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lang w:val="en-US" w:eastAsia="zh-CN"/>
              </w:rPr>
              <w:t>8</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投标人针对本项目提供林业碳汇潜能调查分析工作方案内容全面，数据收集准确，分析方法符合技术规程要求，成果清晰完整，优秀的得</w:t>
            </w:r>
            <w:r>
              <w:rPr>
                <w:rFonts w:hint="eastAsia" w:cs="宋体"/>
                <w:color w:val="auto"/>
                <w:szCs w:val="24"/>
                <w:lang w:val="en-US" w:eastAsia="zh-CN"/>
              </w:rPr>
              <w:t>8</w:t>
            </w:r>
            <w:r>
              <w:rPr>
                <w:rFonts w:hint="eastAsia" w:cs="宋体"/>
                <w:color w:val="auto"/>
                <w:szCs w:val="24"/>
              </w:rPr>
              <w:t>分，良好的得</w:t>
            </w:r>
            <w:r>
              <w:rPr>
                <w:rFonts w:hint="eastAsia" w:cs="宋体"/>
                <w:color w:val="auto"/>
                <w:szCs w:val="24"/>
                <w:lang w:val="en-US" w:eastAsia="zh-CN"/>
              </w:rPr>
              <w:t>5</w:t>
            </w:r>
            <w:r>
              <w:rPr>
                <w:rFonts w:hint="eastAsia" w:cs="宋体"/>
                <w:color w:val="auto"/>
                <w:szCs w:val="24"/>
              </w:rPr>
              <w:t>分，一般的得2分，未提供的不得分。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405"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碳汇潜力评估方案</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lang w:val="en-US" w:eastAsia="zh-CN"/>
              </w:rPr>
              <w:t>8</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投标人针对本项目提供构建黄冈市森林碳储量评估与预测方法体系内容全面，思路清晰，符合地方实际情况，可行性和操作性行强，优秀的得</w:t>
            </w:r>
            <w:r>
              <w:rPr>
                <w:rFonts w:hint="eastAsia" w:cs="宋体"/>
                <w:color w:val="auto"/>
                <w:szCs w:val="24"/>
                <w:lang w:val="en-US" w:eastAsia="zh-CN"/>
              </w:rPr>
              <w:t>8</w:t>
            </w:r>
            <w:r>
              <w:rPr>
                <w:rFonts w:hint="eastAsia" w:cs="宋体"/>
                <w:color w:val="auto"/>
                <w:szCs w:val="24"/>
              </w:rPr>
              <w:t>分，良好的得</w:t>
            </w:r>
            <w:r>
              <w:rPr>
                <w:rFonts w:hint="eastAsia" w:cs="宋体"/>
                <w:color w:val="auto"/>
                <w:szCs w:val="24"/>
                <w:lang w:val="en-US" w:eastAsia="zh-CN"/>
              </w:rPr>
              <w:t>5</w:t>
            </w:r>
            <w:r>
              <w:rPr>
                <w:rFonts w:hint="eastAsia" w:cs="宋体"/>
                <w:color w:val="auto"/>
                <w:szCs w:val="24"/>
              </w:rPr>
              <w:t>分，一般的得2分，未提供的不得分。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405"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质量保障体系及控制方法</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lang w:val="en-US" w:eastAsia="zh-CN"/>
              </w:rPr>
              <w:t>8</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投标人具有完善的质量保证体系，质量控制措施科学合理，保证措施切实可行，提供的方案完善、合理的得</w:t>
            </w:r>
            <w:r>
              <w:rPr>
                <w:rFonts w:hint="eastAsia" w:cs="宋体"/>
                <w:color w:val="auto"/>
                <w:szCs w:val="24"/>
                <w:lang w:val="en-US" w:eastAsia="zh-CN"/>
              </w:rPr>
              <w:t>8</w:t>
            </w:r>
            <w:r>
              <w:rPr>
                <w:rFonts w:hint="eastAsia" w:cs="宋体"/>
                <w:color w:val="auto"/>
                <w:szCs w:val="24"/>
              </w:rPr>
              <w:t>分；提供的方案较完善、合理的得</w:t>
            </w:r>
            <w:r>
              <w:rPr>
                <w:rFonts w:hint="eastAsia" w:cs="宋体"/>
                <w:color w:val="auto"/>
                <w:szCs w:val="24"/>
                <w:lang w:val="en-US" w:eastAsia="zh-CN"/>
              </w:rPr>
              <w:t>5</w:t>
            </w:r>
            <w:r>
              <w:rPr>
                <w:rFonts w:hint="eastAsia" w:cs="宋体"/>
                <w:color w:val="auto"/>
                <w:szCs w:val="24"/>
              </w:rPr>
              <w:t>分；提供的方案不完善的得</w:t>
            </w:r>
            <w:r>
              <w:rPr>
                <w:rFonts w:hint="eastAsia" w:cs="宋体"/>
                <w:color w:val="auto"/>
                <w:szCs w:val="24"/>
                <w:lang w:val="en-US" w:eastAsia="zh-CN"/>
              </w:rPr>
              <w:t>2</w:t>
            </w:r>
            <w:r>
              <w:rPr>
                <w:rFonts w:hint="eastAsia" w:cs="宋体"/>
                <w:color w:val="auto"/>
                <w:szCs w:val="24"/>
              </w:rPr>
              <w:t>分，未提供的不得分。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1921" w:hRule="atLeast"/>
          <w:jc w:val="center"/>
        </w:trPr>
        <w:tc>
          <w:tcPr>
            <w:tcW w:w="301"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610" w:type="pct"/>
            <w:vMerge w:val="continue"/>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工作进度计划安排和保障措施</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lang w:val="en-US" w:eastAsia="zh-CN"/>
              </w:rPr>
              <w:t>8</w:t>
            </w:r>
            <w:r>
              <w:rPr>
                <w:rFonts w:hint="eastAsia" w:cs="宋体"/>
                <w:color w:val="auto"/>
                <w:szCs w:val="24"/>
              </w:rPr>
              <w:t>.00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投标人针对本项目提供具体的工作进度计划安排、工作进度保障体系和措施等内容。投标人对工作进度计划安排合理、工作进度保障体系和措施具体可行、工作流程清晰、技术任务明确和时间控制点准确完善、合理的得</w:t>
            </w:r>
            <w:r>
              <w:rPr>
                <w:rFonts w:hint="eastAsia" w:cs="宋体"/>
                <w:color w:val="auto"/>
                <w:szCs w:val="24"/>
                <w:lang w:val="en-US" w:eastAsia="zh-CN"/>
              </w:rPr>
              <w:t>8</w:t>
            </w:r>
            <w:r>
              <w:rPr>
                <w:rFonts w:hint="eastAsia" w:cs="宋体"/>
                <w:color w:val="auto"/>
                <w:szCs w:val="24"/>
              </w:rPr>
              <w:t>分；提供的工作计划较完善、合理的得</w:t>
            </w:r>
            <w:r>
              <w:rPr>
                <w:rFonts w:hint="eastAsia" w:cs="宋体"/>
                <w:color w:val="auto"/>
                <w:szCs w:val="24"/>
                <w:lang w:val="en-US" w:eastAsia="zh-CN"/>
              </w:rPr>
              <w:t>5</w:t>
            </w:r>
            <w:r>
              <w:rPr>
                <w:rFonts w:hint="eastAsia" w:cs="宋体"/>
                <w:color w:val="auto"/>
                <w:szCs w:val="24"/>
              </w:rPr>
              <w:t>分；提供的工作计划不够完善的得</w:t>
            </w:r>
            <w:r>
              <w:rPr>
                <w:rFonts w:hint="eastAsia" w:cs="宋体"/>
                <w:color w:val="auto"/>
                <w:szCs w:val="24"/>
                <w:lang w:val="en-US" w:eastAsia="zh-CN"/>
              </w:rPr>
              <w:t>2</w:t>
            </w:r>
            <w:r>
              <w:rPr>
                <w:rFonts w:hint="eastAsia" w:cs="宋体"/>
                <w:color w:val="auto"/>
                <w:szCs w:val="24"/>
              </w:rPr>
              <w:t>分，未提供的不得分。</w:t>
            </w:r>
          </w:p>
        </w:tc>
      </w:tr>
      <w:tr>
        <w:tblPrEx>
          <w:tblBorders>
            <w:top w:val="outset" w:color="auto" w:sz="12" w:space="0"/>
            <w:left w:val="outset" w:color="auto" w:sz="12" w:space="0"/>
            <w:bottom w:val="outset" w:color="auto" w:sz="12" w:space="0"/>
            <w:right w:val="outset" w:color="auto" w:sz="12" w:space="0"/>
            <w:insideH w:val="none" w:color="auto" w:sz="0" w:space="0"/>
            <w:insideV w:val="none" w:color="auto" w:sz="0" w:space="0"/>
          </w:tblBorders>
          <w:tblCellMar>
            <w:top w:w="0" w:type="dxa"/>
            <w:left w:w="0" w:type="dxa"/>
            <w:bottom w:w="0" w:type="dxa"/>
            <w:right w:w="0" w:type="dxa"/>
          </w:tblCellMar>
        </w:tblPrEx>
        <w:trPr>
          <w:trHeight w:val="2191" w:hRule="atLeast"/>
          <w:jc w:val="center"/>
        </w:trPr>
        <w:tc>
          <w:tcPr>
            <w:tcW w:w="301" w:type="pct"/>
            <w:tcBorders>
              <w:top w:val="outset" w:color="auto" w:sz="6" w:space="0"/>
              <w:left w:val="outset" w:color="auto" w:sz="6" w:space="0"/>
              <w:bottom w:val="outset" w:color="auto" w:sz="6" w:space="0"/>
              <w:right w:val="outset" w:color="auto" w:sz="6" w:space="0"/>
            </w:tcBorders>
            <w:noWrap w:val="0"/>
            <w:vAlign w:val="center"/>
          </w:tcPr>
          <w:p>
            <w:pPr>
              <w:jc w:val="center"/>
              <w:rPr>
                <w:rFonts w:hint="eastAsia" w:eastAsia="宋体" w:cs="宋体"/>
                <w:color w:val="auto"/>
                <w:szCs w:val="24"/>
                <w:lang w:val="en-US" w:eastAsia="zh-CN"/>
              </w:rPr>
            </w:pPr>
            <w:r>
              <w:rPr>
                <w:rFonts w:hint="eastAsia" w:cs="宋体"/>
                <w:color w:val="auto"/>
                <w:szCs w:val="24"/>
                <w:lang w:val="en-US" w:eastAsia="zh-CN"/>
              </w:rPr>
              <w:t>3</w:t>
            </w:r>
          </w:p>
        </w:tc>
        <w:tc>
          <w:tcPr>
            <w:tcW w:w="610"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价</w:t>
            </w:r>
            <w:r>
              <w:rPr>
                <w:rFonts w:hint="eastAsia" w:cs="宋体"/>
                <w:color w:val="auto"/>
                <w:szCs w:val="24"/>
              </w:rPr>
              <w:br w:type="textWrapping"/>
            </w:r>
            <w:r>
              <w:rPr>
                <w:rFonts w:hint="eastAsia" w:cs="宋体"/>
                <w:color w:val="auto"/>
                <w:szCs w:val="24"/>
              </w:rPr>
              <w:t>格</w:t>
            </w:r>
            <w:r>
              <w:rPr>
                <w:rFonts w:hint="eastAsia" w:cs="宋体"/>
                <w:color w:val="auto"/>
                <w:szCs w:val="24"/>
              </w:rPr>
              <w:br w:type="textWrapping"/>
            </w:r>
            <w:r>
              <w:rPr>
                <w:rFonts w:hint="eastAsia" w:cs="宋体"/>
                <w:color w:val="auto"/>
                <w:szCs w:val="24"/>
              </w:rPr>
              <w:t>评</w:t>
            </w:r>
            <w:r>
              <w:rPr>
                <w:rFonts w:hint="eastAsia" w:cs="宋体"/>
                <w:color w:val="auto"/>
                <w:szCs w:val="24"/>
              </w:rPr>
              <w:br w:type="textWrapping"/>
            </w:r>
            <w:r>
              <w:rPr>
                <w:rFonts w:hint="eastAsia" w:cs="宋体"/>
                <w:color w:val="auto"/>
                <w:szCs w:val="24"/>
              </w:rPr>
              <w:t>价</w:t>
            </w:r>
          </w:p>
        </w:tc>
        <w:tc>
          <w:tcPr>
            <w:tcW w:w="1213"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价格分</w:t>
            </w:r>
          </w:p>
        </w:tc>
        <w:tc>
          <w:tcPr>
            <w:tcW w:w="396" w:type="pct"/>
            <w:tcBorders>
              <w:top w:val="outset" w:color="auto" w:sz="6" w:space="0"/>
              <w:left w:val="outset" w:color="auto" w:sz="6" w:space="0"/>
              <w:bottom w:val="outset" w:color="auto" w:sz="6" w:space="0"/>
              <w:right w:val="outset" w:color="auto" w:sz="6" w:space="0"/>
            </w:tcBorders>
            <w:noWrap w:val="0"/>
            <w:vAlign w:val="center"/>
          </w:tcPr>
          <w:p>
            <w:pPr>
              <w:jc w:val="center"/>
              <w:rPr>
                <w:rFonts w:cs="宋体"/>
                <w:color w:val="auto"/>
                <w:szCs w:val="24"/>
              </w:rPr>
            </w:pPr>
            <w:r>
              <w:rPr>
                <w:rFonts w:hint="eastAsia" w:cs="宋体"/>
                <w:color w:val="auto"/>
                <w:szCs w:val="24"/>
              </w:rPr>
              <w:t>10.00</w:t>
            </w:r>
          </w:p>
        </w:tc>
        <w:tc>
          <w:tcPr>
            <w:tcW w:w="2478" w:type="pct"/>
            <w:tcBorders>
              <w:top w:val="outset" w:color="auto" w:sz="6" w:space="0"/>
              <w:left w:val="outset" w:color="auto" w:sz="6" w:space="0"/>
              <w:bottom w:val="outset" w:color="auto" w:sz="6" w:space="0"/>
              <w:right w:val="outset" w:color="auto" w:sz="6" w:space="0"/>
            </w:tcBorders>
            <w:noWrap w:val="0"/>
            <w:vAlign w:val="center"/>
          </w:tcPr>
          <w:p>
            <w:pPr>
              <w:spacing w:before="62" w:beforeLines="20" w:after="62" w:afterLines="20"/>
              <w:ind w:left="48" w:leftChars="20" w:right="48" w:rightChars="20"/>
              <w:jc w:val="left"/>
              <w:rPr>
                <w:rFonts w:cs="宋体"/>
                <w:color w:val="auto"/>
                <w:szCs w:val="24"/>
              </w:rPr>
            </w:pPr>
            <w:r>
              <w:rPr>
                <w:rFonts w:hint="eastAsia" w:cs="宋体"/>
                <w:color w:val="auto"/>
                <w:szCs w:val="24"/>
              </w:rPr>
              <w:t>评标委员会只对资格和符合性审查合格的投标文件进行价格评价，报价分采用低价优先法计算，即满足招标文件要求且投标价格最低的投标报价（因落实政府采购政策进行价格调整的，以调整后的价格计算评标基准价和投标报价）为评标基准价，其价格分为10分。</w:t>
            </w:r>
          </w:p>
          <w:p>
            <w:pPr>
              <w:spacing w:before="62" w:beforeLines="20" w:after="62" w:afterLines="20"/>
              <w:ind w:left="48" w:leftChars="20" w:right="48" w:rightChars="20"/>
              <w:jc w:val="left"/>
              <w:rPr>
                <w:rFonts w:cs="宋体"/>
                <w:color w:val="auto"/>
                <w:szCs w:val="24"/>
              </w:rPr>
            </w:pPr>
            <w:r>
              <w:rPr>
                <w:rFonts w:hint="eastAsia" w:cs="宋体"/>
                <w:color w:val="auto"/>
                <w:szCs w:val="24"/>
              </w:rPr>
              <w:t>其他投标人的价格分按照下列公式计算：投标报价得分=(评标基准价／投标报价)×10分。</w:t>
            </w:r>
          </w:p>
        </w:tc>
      </w:tr>
      <w:bookmarkEnd w:id="501"/>
      <w:bookmarkEnd w:id="502"/>
      <w:bookmarkEnd w:id="503"/>
      <w:bookmarkEnd w:id="504"/>
      <w:bookmarkEnd w:id="505"/>
      <w:bookmarkEnd w:id="506"/>
      <w:bookmarkEnd w:id="507"/>
      <w:bookmarkEnd w:id="508"/>
      <w:bookmarkEnd w:id="509"/>
      <w:bookmarkEnd w:id="510"/>
      <w:bookmarkEnd w:id="511"/>
    </w:tbl>
    <w:p>
      <w:pPr>
        <w:pStyle w:val="54"/>
        <w:numPr>
          <w:ilvl w:val="0"/>
          <w:numId w:val="0"/>
        </w:numPr>
        <w:spacing w:line="360" w:lineRule="auto"/>
        <w:ind w:leftChars="0"/>
        <w:rPr>
          <w:b/>
          <w:szCs w:val="24"/>
          <w:lang w:val="zh-CN"/>
        </w:rPr>
      </w:pPr>
    </w:p>
    <w:p>
      <w:pPr>
        <w:pStyle w:val="54"/>
        <w:numPr>
          <w:ilvl w:val="0"/>
          <w:numId w:val="0"/>
        </w:numPr>
        <w:spacing w:line="360" w:lineRule="auto"/>
        <w:ind w:leftChars="0"/>
        <w:rPr>
          <w:b/>
          <w:szCs w:val="24"/>
          <w:lang w:val="zh-CN"/>
        </w:rPr>
      </w:pPr>
    </w:p>
    <w:p>
      <w:pPr>
        <w:pStyle w:val="54"/>
        <w:numPr>
          <w:ilvl w:val="0"/>
          <w:numId w:val="0"/>
        </w:numPr>
        <w:spacing w:line="360" w:lineRule="auto"/>
        <w:ind w:leftChars="0"/>
        <w:rPr>
          <w:b/>
          <w:szCs w:val="24"/>
          <w:lang w:val="zh-CN"/>
        </w:rPr>
      </w:pPr>
    </w:p>
    <w:p>
      <w:pPr>
        <w:pStyle w:val="54"/>
        <w:numPr>
          <w:ilvl w:val="0"/>
          <w:numId w:val="0"/>
        </w:numPr>
        <w:spacing w:line="360" w:lineRule="auto"/>
        <w:ind w:leftChars="0"/>
        <w:rPr>
          <w:b/>
          <w:szCs w:val="24"/>
          <w:lang w:val="zh-CN"/>
        </w:rPr>
      </w:pPr>
    </w:p>
    <w:p>
      <w:pPr>
        <w:pStyle w:val="54"/>
        <w:numPr>
          <w:ilvl w:val="0"/>
          <w:numId w:val="0"/>
        </w:numPr>
        <w:spacing w:line="360" w:lineRule="auto"/>
        <w:ind w:leftChars="0"/>
        <w:rPr>
          <w:b/>
          <w:szCs w:val="24"/>
          <w:lang w:val="zh-CN"/>
        </w:rPr>
      </w:pPr>
    </w:p>
    <w:p>
      <w:pPr>
        <w:pStyle w:val="54"/>
        <w:numPr>
          <w:ilvl w:val="0"/>
          <w:numId w:val="0"/>
        </w:numPr>
        <w:spacing w:line="360" w:lineRule="auto"/>
        <w:ind w:leftChars="0"/>
        <w:rPr>
          <w:b/>
          <w:szCs w:val="24"/>
          <w:lang w:val="zh-CN"/>
        </w:rPr>
      </w:pP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512" w:name="_Toc102119890"/>
      <w:bookmarkStart w:id="513" w:name="_Toc117244487"/>
      <w:bookmarkStart w:id="514" w:name="_Toc102056255"/>
      <w:bookmarkStart w:id="515" w:name="_Toc28226"/>
      <w:bookmarkStart w:id="516" w:name="_Toc102114957"/>
      <w:bookmarkStart w:id="517" w:name="_Toc117244372"/>
      <w:bookmarkStart w:id="518" w:name="_Toc102057755"/>
      <w:bookmarkStart w:id="519" w:name="_Toc511894520"/>
      <w:bookmarkStart w:id="520" w:name="_Toc102116189"/>
      <w:bookmarkStart w:id="521" w:name="_Toc102116059"/>
      <w:r>
        <w:rPr>
          <w:rFonts w:hint="eastAsia"/>
          <w:sz w:val="36"/>
          <w:szCs w:val="36"/>
        </w:rPr>
        <w:t>合同文本格式（参考）</w:t>
      </w:r>
      <w:bookmarkEnd w:id="512"/>
      <w:bookmarkEnd w:id="513"/>
      <w:bookmarkEnd w:id="514"/>
      <w:bookmarkEnd w:id="515"/>
      <w:bookmarkEnd w:id="516"/>
      <w:bookmarkEnd w:id="517"/>
      <w:bookmarkEnd w:id="518"/>
      <w:bookmarkEnd w:id="519"/>
      <w:bookmarkEnd w:id="520"/>
      <w:bookmarkEnd w:id="521"/>
    </w:p>
    <w:p>
      <w:pPr>
        <w:wordWrap w:val="0"/>
        <w:spacing w:line="360" w:lineRule="auto"/>
        <w:jc w:val="center"/>
        <w:rPr>
          <w:bCs/>
          <w:sz w:val="36"/>
          <w:szCs w:val="36"/>
        </w:rPr>
      </w:pPr>
      <w:r>
        <w:rPr>
          <w:rFonts w:hint="eastAsia"/>
        </w:rPr>
        <w:t>（</w:t>
      </w:r>
      <w:r>
        <w:rPr>
          <w:rFonts w:hint="eastAsia"/>
          <w:szCs w:val="24"/>
        </w:rPr>
        <w:t>此合同书仅作为签订正式合同时的参考，正式合同书应包括本参考格式的内容）</w:t>
      </w:r>
    </w:p>
    <w:p>
      <w:pPr>
        <w:wordWrap w:val="0"/>
        <w:spacing w:line="360" w:lineRule="auto"/>
        <w:jc w:val="left"/>
        <w:rPr>
          <w:bCs/>
          <w:sz w:val="28"/>
          <w:szCs w:val="28"/>
        </w:rPr>
      </w:pPr>
      <w:r>
        <w:rPr>
          <w:rFonts w:hint="eastAsia" w:cs="Helvetica"/>
          <w:bCs/>
          <w:szCs w:val="24"/>
          <w:lang w:val="zh-CN"/>
        </w:rPr>
        <w:t>合同编号：</w:t>
      </w:r>
      <w:r>
        <w:rPr>
          <w:rFonts w:hint="eastAsia" w:cs="Helvetica"/>
          <w:bCs/>
          <w:szCs w:val="24"/>
          <w:u w:val="single"/>
        </w:rPr>
        <w:t xml:space="preserve">              </w:t>
      </w:r>
    </w:p>
    <w:p>
      <w:pPr>
        <w:wordWrap w:val="0"/>
        <w:spacing w:line="360" w:lineRule="auto"/>
        <w:jc w:val="center"/>
        <w:rPr>
          <w:bCs/>
          <w:sz w:val="36"/>
          <w:szCs w:val="36"/>
        </w:rPr>
      </w:pPr>
    </w:p>
    <w:p>
      <w:pPr>
        <w:wordWrap w:val="0"/>
        <w:spacing w:line="360" w:lineRule="auto"/>
        <w:jc w:val="center"/>
        <w:rPr>
          <w:bCs/>
          <w:sz w:val="36"/>
          <w:szCs w:val="36"/>
        </w:rPr>
      </w:pPr>
    </w:p>
    <w:p>
      <w:pPr>
        <w:wordWrap w:val="0"/>
        <w:spacing w:line="360" w:lineRule="auto"/>
        <w:jc w:val="center"/>
        <w:rPr>
          <w:b/>
          <w:bCs/>
          <w:sz w:val="72"/>
          <w:szCs w:val="72"/>
        </w:rPr>
      </w:pPr>
      <w:r>
        <w:rPr>
          <w:rFonts w:hint="eastAsia"/>
          <w:b/>
          <w:bCs/>
          <w:sz w:val="72"/>
          <w:szCs w:val="72"/>
        </w:rPr>
        <w:t>合   同   书</w:t>
      </w:r>
    </w:p>
    <w:p>
      <w:pPr>
        <w:wordWrap w:val="0"/>
        <w:spacing w:line="360" w:lineRule="auto"/>
        <w:jc w:val="center"/>
        <w:rPr>
          <w:bCs/>
          <w:sz w:val="10"/>
          <w:szCs w:val="10"/>
        </w:rPr>
      </w:pPr>
    </w:p>
    <w:p>
      <w:pPr>
        <w:wordWrap w:val="0"/>
        <w:spacing w:line="360" w:lineRule="auto"/>
      </w:pPr>
    </w:p>
    <w:p>
      <w:pPr>
        <w:wordWrap w:val="0"/>
        <w:spacing w:line="360" w:lineRule="auto"/>
      </w:pPr>
    </w:p>
    <w:p>
      <w:pPr>
        <w:wordWrap w:val="0"/>
        <w:spacing w:line="360" w:lineRule="auto"/>
        <w:rPr>
          <w:sz w:val="28"/>
          <w:szCs w:val="28"/>
        </w:rPr>
      </w:pPr>
    </w:p>
    <w:p>
      <w:pPr>
        <w:wordWrap w:val="0"/>
        <w:spacing w:before="78" w:beforeLines="25" w:line="360" w:lineRule="auto"/>
        <w:ind w:firstLine="1124" w:firstLineChars="400"/>
        <w:rPr>
          <w:rFonts w:cs="Helvetica"/>
          <w:sz w:val="28"/>
          <w:szCs w:val="28"/>
          <w:u w:val="single"/>
          <w:lang w:val="zh-CN"/>
        </w:rPr>
      </w:pPr>
      <w:r>
        <w:rPr>
          <w:rFonts w:hint="eastAsia" w:cs="Helvetica"/>
          <w:b/>
          <w:sz w:val="28"/>
          <w:szCs w:val="28"/>
          <w:lang w:val="zh-CN"/>
        </w:rPr>
        <w:t>项目名称：</w:t>
      </w:r>
      <w:r>
        <w:rPr>
          <w:rFonts w:hint="eastAsia" w:cs="Helvetica"/>
          <w:sz w:val="28"/>
          <w:szCs w:val="28"/>
          <w:u w:val="single"/>
          <w:lang w:val="zh-CN"/>
        </w:rPr>
        <w:t xml:space="preserve">                                             </w:t>
      </w:r>
    </w:p>
    <w:p>
      <w:pPr>
        <w:wordWrap w:val="0"/>
        <w:spacing w:before="78" w:beforeLines="25" w:line="360" w:lineRule="auto"/>
        <w:rPr>
          <w:rFonts w:cs="Helvetica"/>
          <w:b/>
          <w:sz w:val="28"/>
          <w:szCs w:val="28"/>
          <w:lang w:val="zh-CN"/>
        </w:rPr>
      </w:pPr>
    </w:p>
    <w:p>
      <w:pPr>
        <w:wordWrap w:val="0"/>
        <w:spacing w:before="78" w:beforeLines="25" w:line="360" w:lineRule="auto"/>
        <w:rPr>
          <w:rFonts w:cs="Helvetica"/>
          <w:b/>
          <w:sz w:val="28"/>
          <w:szCs w:val="28"/>
          <w:lang w:val="zh-CN"/>
        </w:rPr>
      </w:pPr>
    </w:p>
    <w:p>
      <w:pPr>
        <w:wordWrap w:val="0"/>
        <w:spacing w:before="78" w:beforeLines="25" w:line="360" w:lineRule="auto"/>
        <w:ind w:firstLine="1124" w:firstLineChars="400"/>
        <w:rPr>
          <w:rFonts w:cs="Helvetica"/>
          <w:bCs/>
          <w:sz w:val="28"/>
          <w:szCs w:val="28"/>
          <w:u w:val="single"/>
          <w:lang w:val="zh-CN"/>
        </w:rPr>
      </w:pPr>
      <w:r>
        <w:rPr>
          <w:rFonts w:hint="eastAsia" w:cs="Helvetica"/>
          <w:b/>
          <w:sz w:val="28"/>
          <w:szCs w:val="28"/>
          <w:lang w:val="zh-CN"/>
        </w:rPr>
        <w:t>甲方（采购人）：</w:t>
      </w:r>
      <w:r>
        <w:rPr>
          <w:rFonts w:hint="eastAsia"/>
          <w:bCs/>
          <w:sz w:val="28"/>
          <w:szCs w:val="28"/>
          <w:u w:val="single"/>
        </w:rPr>
        <w:t xml:space="preserve">                                  </w:t>
      </w:r>
      <w:r>
        <w:rPr>
          <w:rFonts w:hint="eastAsia" w:cs="Helvetica"/>
          <w:bCs/>
          <w:sz w:val="28"/>
          <w:szCs w:val="28"/>
          <w:u w:val="single"/>
          <w:lang w:val="zh-CN"/>
        </w:rPr>
        <w:t xml:space="preserve">    </w:t>
      </w:r>
    </w:p>
    <w:p>
      <w:pPr>
        <w:wordWrap w:val="0"/>
        <w:spacing w:before="78" w:beforeLines="25" w:line="360" w:lineRule="auto"/>
        <w:rPr>
          <w:rFonts w:cs="Helvetica"/>
          <w:b/>
          <w:sz w:val="28"/>
          <w:szCs w:val="28"/>
          <w:lang w:val="zh-CN"/>
        </w:rPr>
      </w:pPr>
    </w:p>
    <w:p>
      <w:pPr>
        <w:wordWrap w:val="0"/>
        <w:spacing w:before="78" w:beforeLines="25" w:line="360" w:lineRule="auto"/>
        <w:ind w:firstLine="1124" w:firstLineChars="400"/>
        <w:rPr>
          <w:b/>
          <w:sz w:val="28"/>
          <w:szCs w:val="28"/>
          <w:u w:val="single"/>
        </w:rPr>
      </w:pPr>
      <w:r>
        <w:rPr>
          <w:rFonts w:hint="eastAsia" w:cs="Helvetica"/>
          <w:b/>
          <w:sz w:val="28"/>
          <w:szCs w:val="28"/>
          <w:lang w:val="zh-CN"/>
        </w:rPr>
        <w:t>乙方（中标人）：</w:t>
      </w:r>
      <w:r>
        <w:rPr>
          <w:rFonts w:hint="eastAsia"/>
          <w:b/>
          <w:sz w:val="28"/>
          <w:szCs w:val="28"/>
          <w:u w:val="single"/>
        </w:rPr>
        <w:t xml:space="preserve">                                      </w:t>
      </w:r>
    </w:p>
    <w:p>
      <w:pPr>
        <w:wordWrap w:val="0"/>
        <w:spacing w:before="78" w:beforeLines="25" w:line="360" w:lineRule="auto"/>
        <w:rPr>
          <w:b/>
          <w:sz w:val="28"/>
          <w:szCs w:val="28"/>
          <w:u w:val="single"/>
        </w:rPr>
      </w:pPr>
    </w:p>
    <w:p>
      <w:pPr>
        <w:wordWrap w:val="0"/>
        <w:spacing w:before="78" w:beforeLines="25" w:line="360" w:lineRule="auto"/>
        <w:ind w:firstLine="1124" w:firstLineChars="400"/>
        <w:rPr>
          <w:sz w:val="28"/>
          <w:szCs w:val="28"/>
          <w:u w:val="single"/>
        </w:rPr>
      </w:pPr>
      <w:r>
        <w:rPr>
          <w:rFonts w:hint="eastAsia" w:cs="Helvetica"/>
          <w:b/>
          <w:sz w:val="28"/>
          <w:szCs w:val="28"/>
          <w:lang w:val="zh-CN"/>
        </w:rPr>
        <w:t>签订地：</w:t>
      </w:r>
      <w:r>
        <w:rPr>
          <w:rFonts w:hint="eastAsia" w:cs="Helvetica"/>
          <w:sz w:val="28"/>
          <w:szCs w:val="28"/>
          <w:u w:val="single"/>
          <w:lang w:val="zh-CN"/>
        </w:rPr>
        <w:t xml:space="preserve">                                               </w:t>
      </w:r>
    </w:p>
    <w:p>
      <w:pPr>
        <w:wordWrap w:val="0"/>
        <w:spacing w:before="78" w:beforeLines="25" w:line="360" w:lineRule="auto"/>
        <w:rPr>
          <w:u w:val="single"/>
        </w:rPr>
      </w:pPr>
    </w:p>
    <w:p>
      <w:pPr>
        <w:pStyle w:val="11"/>
        <w:spacing w:line="360" w:lineRule="auto"/>
      </w:pPr>
    </w:p>
    <w:p>
      <w:pPr>
        <w:wordWrap w:val="0"/>
        <w:spacing w:before="78" w:beforeLines="25" w:line="360" w:lineRule="auto"/>
        <w:ind w:firstLine="1205" w:firstLineChars="500"/>
        <w:rPr>
          <w:b/>
          <w:szCs w:val="24"/>
        </w:rPr>
      </w:pPr>
      <w:r>
        <w:rPr>
          <w:rFonts w:hint="eastAsia" w:cs="Helvetica"/>
          <w:b/>
          <w:szCs w:val="24"/>
          <w:lang w:val="zh-CN"/>
        </w:rPr>
        <w:t>签订</w:t>
      </w:r>
      <w:r>
        <w:rPr>
          <w:rFonts w:hint="eastAsia"/>
          <w:b/>
          <w:szCs w:val="24"/>
        </w:rPr>
        <w:t>日期：</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w:t>
      </w:r>
    </w:p>
    <w:p>
      <w:pPr>
        <w:wordWrap w:val="0"/>
        <w:spacing w:before="78" w:beforeLines="25" w:line="360" w:lineRule="auto"/>
        <w:rPr>
          <w:b/>
        </w:rPr>
      </w:pPr>
      <w:r>
        <w:rPr>
          <w:rFonts w:hint="eastAsia"/>
          <w:b/>
        </w:rPr>
        <w:t xml:space="preserve">                                                 </w:t>
      </w:r>
    </w:p>
    <w:p>
      <w:pPr>
        <w:widowControl/>
        <w:wordWrap w:val="0"/>
        <w:spacing w:line="360" w:lineRule="auto"/>
        <w:jc w:val="left"/>
        <w:rPr>
          <w:rFonts w:cs="宋体"/>
          <w:szCs w:val="24"/>
        </w:rPr>
      </w:pPr>
      <w:r>
        <w:rPr>
          <w:rFonts w:cs="宋体"/>
          <w:szCs w:val="24"/>
        </w:rPr>
        <w:br w:type="page"/>
      </w:r>
    </w:p>
    <w:p>
      <w:pPr>
        <w:wordWrap w:val="0"/>
        <w:spacing w:line="360" w:lineRule="auto"/>
        <w:ind w:firstLine="480" w:firstLineChars="200"/>
        <w:rPr>
          <w:szCs w:val="24"/>
        </w:rPr>
      </w:pPr>
      <w:r>
        <w:rPr>
          <w:rFonts w:hint="eastAsia" w:cs="宋体"/>
          <w:szCs w:val="24"/>
        </w:rPr>
        <w:t>本合同由甲乙双方根据《</w:t>
      </w:r>
      <w:r>
        <w:rPr>
          <w:rFonts w:hint="eastAsia" w:cs="宋体"/>
        </w:rPr>
        <w:t>中华人民共和国</w:t>
      </w:r>
      <w:r>
        <w:rPr>
          <w:rFonts w:hint="eastAsia" w:cs="宋体"/>
          <w:szCs w:val="24"/>
        </w:rPr>
        <w:t>政府采购法》《</w:t>
      </w:r>
      <w:r>
        <w:rPr>
          <w:rFonts w:hint="eastAsia" w:cs="宋体"/>
        </w:rPr>
        <w:t>中华人民共和国</w:t>
      </w:r>
      <w:r>
        <w:rPr>
          <w:rFonts w:hint="eastAsia" w:cs="宋体"/>
          <w:szCs w:val="24"/>
        </w:rPr>
        <w:t>政府采购法实施条例》《</w:t>
      </w:r>
      <w:r>
        <w:rPr>
          <w:rFonts w:cs="宋体"/>
          <w:szCs w:val="24"/>
        </w:rPr>
        <w:t>中华人民共和国民法典</w:t>
      </w:r>
      <w:r>
        <w:rPr>
          <w:rFonts w:hint="eastAsia" w:cs="宋体"/>
          <w:szCs w:val="24"/>
        </w:rPr>
        <w:t>》等相关法律法规规定，按</w:t>
      </w:r>
      <w:r>
        <w:rPr>
          <w:rFonts w:hint="eastAsia"/>
          <w:szCs w:val="24"/>
        </w:rPr>
        <w:t>平等、自愿、诚实信用的原则拟定，</w:t>
      </w:r>
      <w:r>
        <w:rPr>
          <w:rFonts w:hint="eastAsia" w:cs="宋体"/>
        </w:rPr>
        <w:t>甲、乙双方均应遵守法律规定和合同约定，并各自履行应负的全部责任和义务。</w:t>
      </w:r>
      <w:r>
        <w:rPr>
          <w:szCs w:val="24"/>
        </w:rPr>
        <w:t xml:space="preserve"> </w:t>
      </w:r>
    </w:p>
    <w:p>
      <w:pPr>
        <w:pStyle w:val="54"/>
        <w:numPr>
          <w:ilvl w:val="0"/>
          <w:numId w:val="56"/>
        </w:numPr>
        <w:wordWrap w:val="0"/>
        <w:spacing w:before="78" w:beforeLines="25" w:line="360" w:lineRule="auto"/>
        <w:ind w:left="993" w:hanging="513" w:firstLineChars="0"/>
        <w:rPr>
          <w:rFonts w:cs="Helvetica"/>
          <w:b/>
          <w:szCs w:val="24"/>
          <w:lang w:val="zh-CN"/>
        </w:rPr>
      </w:pPr>
      <w:r>
        <w:rPr>
          <w:rFonts w:hint="eastAsia" w:cs="Helvetica"/>
          <w:b/>
          <w:szCs w:val="24"/>
          <w:lang w:val="zh-CN"/>
        </w:rPr>
        <w:t>项目基本情况</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1.项目名称：</w:t>
      </w:r>
      <w:r>
        <w:rPr>
          <w:rFonts w:hint="eastAsia"/>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u w:val="single"/>
        </w:rPr>
        <w:t xml:space="preserve">               </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2.项目编号：</w:t>
      </w:r>
      <w:r>
        <w:rPr>
          <w:rFonts w:hint="eastAsia"/>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u w:val="single"/>
        </w:rPr>
        <w:t xml:space="preserve">             </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3.政府采购计划备案号：</w:t>
      </w:r>
      <w:r>
        <w:rPr>
          <w:rFonts w:hint="eastAsia"/>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u w:val="single"/>
        </w:rPr>
        <w:t xml:space="preserve">            </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szCs w:val="24"/>
          <w:lang w:val="zh-CN"/>
        </w:rPr>
      </w:pPr>
      <w:r>
        <w:rPr>
          <w:rFonts w:hint="eastAsia"/>
        </w:rPr>
        <w:t>4.项目概况：</w:t>
      </w:r>
      <w:r>
        <w:rPr>
          <w:rFonts w:hint="eastAsia" w:cs="Helvetica"/>
          <w:szCs w:val="24"/>
          <w:u w:val="single"/>
          <w:lang w:val="zh-CN"/>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szCs w:val="24"/>
          <w:u w:val="single"/>
          <w:lang w:val="zh-CN"/>
        </w:rPr>
        <w:t xml:space="preserve">          </w:t>
      </w:r>
      <w:r>
        <w:rPr>
          <w:rFonts w:hint="eastAsia" w:cs="Helvetica"/>
          <w:szCs w:val="24"/>
          <w:lang w:val="zh-CN"/>
        </w:rPr>
        <w:t xml:space="preserve">  </w:t>
      </w:r>
    </w:p>
    <w:p>
      <w:pPr>
        <w:pStyle w:val="54"/>
        <w:numPr>
          <w:ilvl w:val="0"/>
          <w:numId w:val="56"/>
        </w:numPr>
        <w:wordWrap w:val="0"/>
        <w:spacing w:before="78" w:beforeLines="25" w:line="360" w:lineRule="auto"/>
        <w:ind w:firstLineChars="0"/>
        <w:rPr>
          <w:rFonts w:cs="Helvetica"/>
          <w:bCs/>
          <w:iCs/>
          <w:szCs w:val="24"/>
        </w:rPr>
      </w:pPr>
      <w:r>
        <w:rPr>
          <w:rFonts w:hint="eastAsia" w:cs="Helvetica"/>
          <w:b/>
          <w:szCs w:val="24"/>
          <w:lang w:val="zh-CN"/>
        </w:rPr>
        <w:t>标的名称、数量（规模）</w:t>
      </w:r>
      <w:r>
        <w:rPr>
          <w:rFonts w:hint="eastAsia" w:cs="Helvetica"/>
          <w:i/>
          <w:iCs/>
          <w:szCs w:val="24"/>
        </w:rPr>
        <w:t xml:space="preserve"> </w:t>
      </w:r>
    </w:p>
    <w:tbl>
      <w:tblPr>
        <w:tblStyle w:val="29"/>
        <w:tblW w:w="880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0"/>
        <w:gridCol w:w="2378"/>
        <w:gridCol w:w="1132"/>
        <w:gridCol w:w="655"/>
        <w:gridCol w:w="627"/>
        <w:gridCol w:w="859"/>
        <w:gridCol w:w="1425"/>
        <w:gridCol w:w="1134"/>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590" w:type="dxa"/>
            <w:shd w:val="pct10" w:color="C3BD96" w:fill="DDD9C4"/>
            <w:noWrap w:val="0"/>
            <w:vAlign w:val="center"/>
          </w:tcPr>
          <w:p>
            <w:pPr>
              <w:wordWrap w:val="0"/>
              <w:spacing w:line="360" w:lineRule="auto"/>
              <w:ind w:left="-120" w:leftChars="-50" w:right="-120" w:rightChars="-50"/>
              <w:jc w:val="center"/>
              <w:rPr>
                <w:rFonts w:cs="宋体"/>
                <w:b/>
              </w:rPr>
            </w:pPr>
            <w:r>
              <w:rPr>
                <w:rFonts w:hint="eastAsia" w:cs="仿宋_GB2312"/>
                <w:b/>
                <w:szCs w:val="24"/>
              </w:rPr>
              <w:t>序号</w:t>
            </w:r>
          </w:p>
        </w:tc>
        <w:tc>
          <w:tcPr>
            <w:tcW w:w="2378" w:type="dxa"/>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名称</w:t>
            </w:r>
          </w:p>
        </w:tc>
        <w:tc>
          <w:tcPr>
            <w:tcW w:w="1132" w:type="dxa"/>
            <w:shd w:val="pct10" w:color="C3BD96" w:fill="DDD9C4"/>
            <w:noWrap w:val="0"/>
            <w:vAlign w:val="center"/>
          </w:tcPr>
          <w:p>
            <w:pPr>
              <w:wordWrap w:val="0"/>
              <w:spacing w:line="360" w:lineRule="auto"/>
              <w:ind w:left="-55" w:leftChars="-23" w:right="-74" w:rightChars="-31"/>
              <w:jc w:val="center"/>
              <w:rPr>
                <w:rFonts w:cs="宋体"/>
                <w:b/>
              </w:rPr>
            </w:pPr>
            <w:r>
              <w:rPr>
                <w:rFonts w:hint="eastAsia"/>
                <w:b/>
              </w:rPr>
              <w:t>品牌规格型号</w:t>
            </w:r>
          </w:p>
        </w:tc>
        <w:tc>
          <w:tcPr>
            <w:tcW w:w="655" w:type="dxa"/>
            <w:tcBorders>
              <w:right w:val="single" w:color="auto" w:sz="4" w:space="0"/>
            </w:tcBorders>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数量</w:t>
            </w:r>
          </w:p>
        </w:tc>
        <w:tc>
          <w:tcPr>
            <w:tcW w:w="627" w:type="dxa"/>
            <w:tcBorders>
              <w:left w:val="single" w:color="auto" w:sz="4" w:space="0"/>
            </w:tcBorders>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单位</w:t>
            </w:r>
          </w:p>
        </w:tc>
        <w:tc>
          <w:tcPr>
            <w:tcW w:w="859" w:type="dxa"/>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单价（元</w:t>
            </w:r>
            <w:r>
              <w:rPr>
                <w:rFonts w:cs="宋体"/>
                <w:b/>
              </w:rPr>
              <w:t>）</w:t>
            </w:r>
          </w:p>
        </w:tc>
        <w:tc>
          <w:tcPr>
            <w:tcW w:w="1425" w:type="dxa"/>
            <w:shd w:val="pct10" w:color="C3BD96" w:fill="DDD9C4"/>
            <w:noWrap w:val="0"/>
            <w:vAlign w:val="center"/>
          </w:tcPr>
          <w:p>
            <w:pPr>
              <w:wordWrap w:val="0"/>
              <w:spacing w:line="360" w:lineRule="auto"/>
              <w:ind w:left="-120" w:leftChars="-50" w:right="-120" w:rightChars="-50"/>
              <w:jc w:val="center"/>
              <w:rPr>
                <w:rFonts w:cs="宋体"/>
                <w:b/>
              </w:rPr>
            </w:pPr>
            <w:r>
              <w:rPr>
                <w:rFonts w:hint="eastAsia" w:cs="宋体"/>
                <w:b/>
              </w:rPr>
              <w:t>分项合计（</w:t>
            </w:r>
            <w:r>
              <w:rPr>
                <w:rFonts w:cs="宋体"/>
                <w:b/>
              </w:rPr>
              <w:t>元）</w:t>
            </w:r>
          </w:p>
        </w:tc>
        <w:tc>
          <w:tcPr>
            <w:tcW w:w="1134" w:type="dxa"/>
            <w:shd w:val="pct10" w:color="C3BD96" w:fill="DDD9C4"/>
            <w:noWrap w:val="0"/>
            <w:vAlign w:val="center"/>
          </w:tcPr>
          <w:p>
            <w:pPr>
              <w:wordWrap w:val="0"/>
              <w:spacing w:line="360" w:lineRule="auto"/>
              <w:ind w:left="-26" w:leftChars="-11" w:right="-74" w:rightChars="-31"/>
              <w:jc w:val="center"/>
              <w:rPr>
                <w:rFonts w:cs="宋体"/>
                <w:b/>
              </w:rPr>
            </w:pPr>
            <w:r>
              <w:rPr>
                <w:rFonts w:hint="eastAsia" w:cs="宋体"/>
                <w:b/>
              </w:rPr>
              <w:t>制造厂家（全称）</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noWrap w:val="0"/>
            <w:vAlign w:val="center"/>
          </w:tcPr>
          <w:p>
            <w:pPr>
              <w:wordWrap w:val="0"/>
              <w:spacing w:line="360" w:lineRule="auto"/>
              <w:ind w:left="-55" w:leftChars="-23" w:right="-74" w:rightChars="-31"/>
              <w:jc w:val="center"/>
              <w:rPr>
                <w:b/>
              </w:rPr>
            </w:pPr>
            <w:r>
              <w:rPr>
                <w:rFonts w:hint="eastAsia"/>
                <w:b/>
              </w:rPr>
              <w:t>1</w:t>
            </w:r>
          </w:p>
        </w:tc>
        <w:tc>
          <w:tcPr>
            <w:tcW w:w="2378" w:type="dxa"/>
            <w:noWrap w:val="0"/>
            <w:vAlign w:val="center"/>
          </w:tcPr>
          <w:p>
            <w:pPr>
              <w:wordWrap w:val="0"/>
              <w:spacing w:line="360" w:lineRule="auto"/>
              <w:ind w:left="-55" w:leftChars="-23" w:right="-74" w:rightChars="-31"/>
              <w:jc w:val="center"/>
            </w:pPr>
            <w:r>
              <w:rPr>
                <w:rFonts w:hint="eastAsia"/>
              </w:rPr>
              <w:t>货物（服务）名称1</w:t>
            </w:r>
          </w:p>
        </w:tc>
        <w:tc>
          <w:tcPr>
            <w:tcW w:w="1132" w:type="dxa"/>
            <w:noWrap w:val="0"/>
            <w:vAlign w:val="center"/>
          </w:tcPr>
          <w:p>
            <w:pPr>
              <w:wordWrap w:val="0"/>
              <w:spacing w:line="360" w:lineRule="auto"/>
              <w:ind w:left="-55" w:leftChars="-23" w:right="-74" w:rightChars="-31"/>
              <w:jc w:val="left"/>
              <w:rPr>
                <w:rFonts w:cs="宋体"/>
                <w:szCs w:val="24"/>
              </w:rPr>
            </w:pPr>
          </w:p>
        </w:tc>
        <w:tc>
          <w:tcPr>
            <w:tcW w:w="655" w:type="dxa"/>
            <w:tcBorders>
              <w:right w:val="single" w:color="auto" w:sz="4" w:space="0"/>
            </w:tcBorders>
            <w:noWrap w:val="0"/>
            <w:vAlign w:val="center"/>
          </w:tcPr>
          <w:p>
            <w:pPr>
              <w:wordWrap w:val="0"/>
              <w:spacing w:line="360" w:lineRule="auto"/>
              <w:ind w:left="-55" w:leftChars="-23" w:right="-430" w:rightChars="-179"/>
              <w:jc w:val="center"/>
              <w:rPr>
                <w:rFonts w:cs="宋体"/>
                <w:szCs w:val="24"/>
              </w:rPr>
            </w:pPr>
          </w:p>
        </w:tc>
        <w:tc>
          <w:tcPr>
            <w:tcW w:w="627" w:type="dxa"/>
            <w:tcBorders>
              <w:left w:val="single" w:color="auto" w:sz="4" w:space="0"/>
            </w:tcBorders>
            <w:noWrap w:val="0"/>
            <w:vAlign w:val="center"/>
          </w:tcPr>
          <w:p>
            <w:pPr>
              <w:wordWrap w:val="0"/>
              <w:spacing w:line="360" w:lineRule="auto"/>
              <w:ind w:left="-55" w:leftChars="-23" w:right="-430" w:rightChars="-179"/>
              <w:jc w:val="center"/>
              <w:rPr>
                <w:rFonts w:cs="宋体"/>
                <w:szCs w:val="24"/>
              </w:rPr>
            </w:pPr>
          </w:p>
        </w:tc>
        <w:tc>
          <w:tcPr>
            <w:tcW w:w="859" w:type="dxa"/>
            <w:noWrap w:val="0"/>
            <w:vAlign w:val="center"/>
          </w:tcPr>
          <w:p>
            <w:pPr>
              <w:wordWrap w:val="0"/>
              <w:spacing w:line="360" w:lineRule="auto"/>
              <w:ind w:left="-55" w:leftChars="-23" w:right="-74" w:rightChars="-31"/>
              <w:jc w:val="center"/>
              <w:rPr>
                <w:rFonts w:cs="宋体"/>
                <w:szCs w:val="24"/>
              </w:rPr>
            </w:pPr>
          </w:p>
        </w:tc>
        <w:tc>
          <w:tcPr>
            <w:tcW w:w="1425" w:type="dxa"/>
            <w:noWrap w:val="0"/>
            <w:vAlign w:val="center"/>
          </w:tcPr>
          <w:p>
            <w:pPr>
              <w:wordWrap w:val="0"/>
              <w:spacing w:line="360" w:lineRule="auto"/>
              <w:ind w:left="-55" w:leftChars="-23" w:right="-74" w:rightChars="-31"/>
              <w:jc w:val="left"/>
              <w:rPr>
                <w:rFonts w:cs="宋体"/>
                <w:szCs w:val="24"/>
              </w:rPr>
            </w:pPr>
          </w:p>
        </w:tc>
        <w:tc>
          <w:tcPr>
            <w:tcW w:w="1134" w:type="dxa"/>
            <w:noWrap w:val="0"/>
            <w:vAlign w:val="center"/>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590" w:type="dxa"/>
            <w:noWrap w:val="0"/>
            <w:vAlign w:val="center"/>
          </w:tcPr>
          <w:p>
            <w:pPr>
              <w:wordWrap w:val="0"/>
              <w:spacing w:line="360" w:lineRule="auto"/>
              <w:ind w:left="-55" w:leftChars="-23" w:right="-74" w:rightChars="-31"/>
              <w:jc w:val="center"/>
              <w:rPr>
                <w:b/>
              </w:rPr>
            </w:pPr>
            <w:r>
              <w:rPr>
                <w:rFonts w:hint="eastAsia"/>
                <w:b/>
              </w:rPr>
              <w:t>2</w:t>
            </w:r>
          </w:p>
        </w:tc>
        <w:tc>
          <w:tcPr>
            <w:tcW w:w="2378" w:type="dxa"/>
            <w:noWrap w:val="0"/>
            <w:vAlign w:val="center"/>
          </w:tcPr>
          <w:p>
            <w:pPr>
              <w:wordWrap w:val="0"/>
              <w:spacing w:line="360" w:lineRule="auto"/>
              <w:ind w:left="-55" w:leftChars="-23" w:right="-74" w:rightChars="-31"/>
              <w:jc w:val="center"/>
            </w:pPr>
            <w:r>
              <w:rPr>
                <w:rFonts w:hint="eastAsia"/>
              </w:rPr>
              <w:t>货物（服务）名称2</w:t>
            </w:r>
          </w:p>
        </w:tc>
        <w:tc>
          <w:tcPr>
            <w:tcW w:w="1132" w:type="dxa"/>
            <w:noWrap w:val="0"/>
            <w:vAlign w:val="center"/>
          </w:tcPr>
          <w:p>
            <w:pPr>
              <w:wordWrap w:val="0"/>
              <w:spacing w:line="360" w:lineRule="auto"/>
              <w:ind w:left="-55" w:leftChars="-23" w:right="-74" w:rightChars="-31"/>
              <w:jc w:val="left"/>
              <w:rPr>
                <w:rFonts w:cs="宋体"/>
                <w:szCs w:val="24"/>
              </w:rPr>
            </w:pPr>
          </w:p>
        </w:tc>
        <w:tc>
          <w:tcPr>
            <w:tcW w:w="655" w:type="dxa"/>
            <w:tcBorders>
              <w:right w:val="single" w:color="auto" w:sz="4" w:space="0"/>
            </w:tcBorders>
            <w:noWrap w:val="0"/>
            <w:vAlign w:val="center"/>
          </w:tcPr>
          <w:p>
            <w:pPr>
              <w:wordWrap w:val="0"/>
              <w:spacing w:line="360" w:lineRule="auto"/>
              <w:ind w:left="-55" w:leftChars="-23" w:right="-74" w:rightChars="-31"/>
              <w:jc w:val="center"/>
              <w:rPr>
                <w:rFonts w:cs="宋体"/>
                <w:szCs w:val="24"/>
              </w:rPr>
            </w:pPr>
          </w:p>
        </w:tc>
        <w:tc>
          <w:tcPr>
            <w:tcW w:w="627" w:type="dxa"/>
            <w:tcBorders>
              <w:left w:val="single" w:color="auto" w:sz="4" w:space="0"/>
            </w:tcBorders>
            <w:noWrap w:val="0"/>
            <w:vAlign w:val="center"/>
          </w:tcPr>
          <w:p>
            <w:pPr>
              <w:wordWrap w:val="0"/>
              <w:spacing w:line="360" w:lineRule="auto"/>
              <w:ind w:left="-55" w:leftChars="-23" w:right="-74" w:rightChars="-31"/>
              <w:jc w:val="center"/>
              <w:rPr>
                <w:rFonts w:cs="宋体"/>
                <w:szCs w:val="24"/>
              </w:rPr>
            </w:pPr>
          </w:p>
        </w:tc>
        <w:tc>
          <w:tcPr>
            <w:tcW w:w="859" w:type="dxa"/>
            <w:noWrap w:val="0"/>
            <w:vAlign w:val="center"/>
          </w:tcPr>
          <w:p>
            <w:pPr>
              <w:wordWrap w:val="0"/>
              <w:spacing w:line="360" w:lineRule="auto"/>
              <w:ind w:left="-55" w:leftChars="-23" w:right="-74" w:rightChars="-31"/>
              <w:jc w:val="center"/>
              <w:rPr>
                <w:rFonts w:cs="宋体"/>
                <w:szCs w:val="24"/>
              </w:rPr>
            </w:pPr>
          </w:p>
        </w:tc>
        <w:tc>
          <w:tcPr>
            <w:tcW w:w="1425" w:type="dxa"/>
            <w:noWrap w:val="0"/>
            <w:vAlign w:val="center"/>
          </w:tcPr>
          <w:p>
            <w:pPr>
              <w:wordWrap w:val="0"/>
              <w:spacing w:line="360" w:lineRule="auto"/>
              <w:ind w:left="-55" w:leftChars="-23" w:right="-74" w:rightChars="-31"/>
              <w:jc w:val="left"/>
              <w:rPr>
                <w:rFonts w:cs="宋体"/>
                <w:szCs w:val="24"/>
              </w:rPr>
            </w:pPr>
          </w:p>
        </w:tc>
        <w:tc>
          <w:tcPr>
            <w:tcW w:w="1134" w:type="dxa"/>
            <w:noWrap w:val="0"/>
            <w:vAlign w:val="center"/>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590" w:type="dxa"/>
            <w:noWrap w:val="0"/>
            <w:vAlign w:val="center"/>
          </w:tcPr>
          <w:p>
            <w:pPr>
              <w:wordWrap w:val="0"/>
              <w:spacing w:line="360" w:lineRule="auto"/>
              <w:ind w:left="-55" w:leftChars="-23" w:right="-74" w:rightChars="-31"/>
              <w:jc w:val="center"/>
            </w:pPr>
            <w:r>
              <w:rPr>
                <w:rFonts w:hint="eastAsia"/>
              </w:rPr>
              <w:t>…</w:t>
            </w:r>
          </w:p>
        </w:tc>
        <w:tc>
          <w:tcPr>
            <w:tcW w:w="2378" w:type="dxa"/>
            <w:noWrap w:val="0"/>
            <w:vAlign w:val="center"/>
          </w:tcPr>
          <w:p>
            <w:pPr>
              <w:wordWrap w:val="0"/>
              <w:spacing w:line="360" w:lineRule="auto"/>
              <w:ind w:left="-55" w:leftChars="-23" w:right="-74" w:rightChars="-31"/>
              <w:jc w:val="center"/>
              <w:rPr>
                <w:rFonts w:cs="宋体"/>
                <w:szCs w:val="24"/>
              </w:rPr>
            </w:pPr>
            <w:r>
              <w:rPr>
                <w:rFonts w:hint="eastAsia"/>
              </w:rPr>
              <w:t>……</w:t>
            </w:r>
          </w:p>
        </w:tc>
        <w:tc>
          <w:tcPr>
            <w:tcW w:w="1132" w:type="dxa"/>
            <w:noWrap w:val="0"/>
            <w:vAlign w:val="center"/>
          </w:tcPr>
          <w:p>
            <w:pPr>
              <w:wordWrap w:val="0"/>
              <w:spacing w:line="360" w:lineRule="auto"/>
              <w:ind w:left="-55" w:leftChars="-23" w:right="-74" w:rightChars="-31"/>
              <w:jc w:val="left"/>
              <w:rPr>
                <w:rFonts w:cs="宋体"/>
                <w:szCs w:val="24"/>
              </w:rPr>
            </w:pPr>
            <w:r>
              <w:rPr>
                <w:rFonts w:hint="eastAsia"/>
              </w:rPr>
              <w:t>…</w:t>
            </w:r>
          </w:p>
        </w:tc>
        <w:tc>
          <w:tcPr>
            <w:tcW w:w="655" w:type="dxa"/>
            <w:tcBorders>
              <w:right w:val="single" w:color="auto" w:sz="4" w:space="0"/>
            </w:tcBorders>
            <w:noWrap w:val="0"/>
            <w:vAlign w:val="center"/>
          </w:tcPr>
          <w:p>
            <w:pPr>
              <w:wordWrap w:val="0"/>
              <w:spacing w:line="360" w:lineRule="auto"/>
              <w:ind w:left="-55" w:leftChars="-23" w:right="-74" w:rightChars="-31"/>
              <w:jc w:val="center"/>
              <w:rPr>
                <w:rFonts w:cs="宋体"/>
                <w:szCs w:val="24"/>
              </w:rPr>
            </w:pPr>
            <w:r>
              <w:rPr>
                <w:rFonts w:hint="eastAsia"/>
              </w:rPr>
              <w:t>…</w:t>
            </w:r>
          </w:p>
        </w:tc>
        <w:tc>
          <w:tcPr>
            <w:tcW w:w="627" w:type="dxa"/>
            <w:tcBorders>
              <w:left w:val="single" w:color="auto" w:sz="4" w:space="0"/>
            </w:tcBorders>
            <w:noWrap w:val="0"/>
            <w:vAlign w:val="center"/>
          </w:tcPr>
          <w:p>
            <w:pPr>
              <w:wordWrap w:val="0"/>
              <w:spacing w:line="360" w:lineRule="auto"/>
              <w:ind w:left="-55" w:leftChars="-23" w:right="-74" w:rightChars="-31"/>
              <w:jc w:val="center"/>
              <w:rPr>
                <w:rFonts w:cs="宋体"/>
                <w:szCs w:val="24"/>
              </w:rPr>
            </w:pPr>
            <w:r>
              <w:rPr>
                <w:rFonts w:hint="eastAsia"/>
              </w:rPr>
              <w:t>…</w:t>
            </w:r>
          </w:p>
        </w:tc>
        <w:tc>
          <w:tcPr>
            <w:tcW w:w="859" w:type="dxa"/>
            <w:noWrap w:val="0"/>
            <w:vAlign w:val="center"/>
          </w:tcPr>
          <w:p>
            <w:pPr>
              <w:wordWrap w:val="0"/>
              <w:spacing w:line="360" w:lineRule="auto"/>
              <w:ind w:left="-55" w:leftChars="-23" w:right="-74" w:rightChars="-31"/>
              <w:jc w:val="center"/>
              <w:rPr>
                <w:rFonts w:cs="宋体"/>
                <w:szCs w:val="24"/>
              </w:rPr>
            </w:pPr>
            <w:r>
              <w:rPr>
                <w:rFonts w:hint="eastAsia"/>
              </w:rPr>
              <w:t>…</w:t>
            </w:r>
          </w:p>
        </w:tc>
        <w:tc>
          <w:tcPr>
            <w:tcW w:w="1425" w:type="dxa"/>
            <w:noWrap w:val="0"/>
            <w:vAlign w:val="center"/>
          </w:tcPr>
          <w:p>
            <w:pPr>
              <w:wordWrap w:val="0"/>
              <w:spacing w:line="360" w:lineRule="auto"/>
              <w:ind w:left="-55" w:leftChars="-23" w:right="-74" w:rightChars="-31"/>
              <w:jc w:val="left"/>
              <w:rPr>
                <w:rFonts w:cs="宋体"/>
                <w:szCs w:val="24"/>
              </w:rPr>
            </w:pPr>
            <w:r>
              <w:rPr>
                <w:rFonts w:hint="eastAsia"/>
              </w:rPr>
              <w:t>…</w:t>
            </w:r>
          </w:p>
        </w:tc>
        <w:tc>
          <w:tcPr>
            <w:tcW w:w="1134" w:type="dxa"/>
            <w:noWrap w:val="0"/>
            <w:vAlign w:val="center"/>
          </w:tcPr>
          <w:p>
            <w:pPr>
              <w:wordWrap w:val="0"/>
              <w:spacing w:line="360" w:lineRule="auto"/>
              <w:ind w:left="-55" w:leftChars="-23" w:right="-74" w:rightChars="-31"/>
              <w:jc w:val="center"/>
              <w:rPr>
                <w:rFonts w:cs="宋体"/>
                <w:szCs w:val="24"/>
              </w:rPr>
            </w:pPr>
            <w:r>
              <w:rPr>
                <w:rFonts w:hint="eastAsia"/>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85" w:hRule="atLeast"/>
          <w:jc w:val="center"/>
        </w:trPr>
        <w:tc>
          <w:tcPr>
            <w:tcW w:w="6241" w:type="dxa"/>
            <w:gridSpan w:val="6"/>
            <w:noWrap w:val="0"/>
            <w:vAlign w:val="center"/>
          </w:tcPr>
          <w:p>
            <w:pPr>
              <w:wordWrap w:val="0"/>
              <w:spacing w:line="360" w:lineRule="auto"/>
              <w:ind w:left="-55" w:leftChars="-23" w:right="-74" w:rightChars="-31"/>
              <w:jc w:val="center"/>
              <w:rPr>
                <w:rFonts w:cs="宋体"/>
                <w:b/>
                <w:szCs w:val="24"/>
              </w:rPr>
            </w:pPr>
            <w:r>
              <w:rPr>
                <w:rFonts w:hint="eastAsia" w:cs="宋体"/>
                <w:b/>
                <w:szCs w:val="24"/>
              </w:rPr>
              <w:t>合计</w:t>
            </w:r>
          </w:p>
        </w:tc>
        <w:tc>
          <w:tcPr>
            <w:tcW w:w="2559" w:type="dxa"/>
            <w:gridSpan w:val="2"/>
            <w:noWrap w:val="0"/>
            <w:vAlign w:val="center"/>
          </w:tcPr>
          <w:p>
            <w:pPr>
              <w:wordWrap w:val="0"/>
              <w:spacing w:line="360" w:lineRule="auto"/>
              <w:ind w:left="-55" w:leftChars="-23" w:right="-74" w:rightChars="-31"/>
              <w:jc w:val="left"/>
              <w:rPr>
                <w:rFonts w:cs="宋体"/>
                <w:szCs w:val="24"/>
              </w:rPr>
            </w:pPr>
          </w:p>
        </w:tc>
      </w:tr>
    </w:tbl>
    <w:p>
      <w:pPr>
        <w:pStyle w:val="54"/>
        <w:numPr>
          <w:ilvl w:val="0"/>
          <w:numId w:val="56"/>
        </w:numPr>
        <w:wordWrap w:val="0"/>
        <w:spacing w:before="78" w:beforeLines="25" w:line="360" w:lineRule="auto"/>
        <w:ind w:left="993" w:hanging="513" w:firstLineChars="0"/>
        <w:rPr>
          <w:rFonts w:cs="Helvetica"/>
          <w:bCs/>
          <w:szCs w:val="24"/>
          <w:lang w:val="zh-CN"/>
        </w:rPr>
      </w:pPr>
      <w:r>
        <w:rPr>
          <w:rFonts w:hint="eastAsia" w:cs="Helvetica"/>
          <w:b/>
          <w:szCs w:val="24"/>
          <w:lang w:val="zh-CN"/>
        </w:rPr>
        <w:t>货物（服务）质量</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bCs/>
          <w:iCs/>
          <w:szCs w:val="24"/>
          <w:lang w:val="zh-CN"/>
        </w:rPr>
      </w:pPr>
      <w:r>
        <w:rPr>
          <w:rFonts w:hint="eastAsia" w:cs="Helvetica"/>
          <w:i/>
          <w:iCs/>
          <w:szCs w:val="24"/>
        </w:rPr>
        <w:t xml:space="preserve"> </w:t>
      </w:r>
      <w:r>
        <w:rPr>
          <w:rFonts w:hint="eastAsia" w:cs="Helvetica"/>
          <w:iCs/>
          <w:szCs w:val="24"/>
          <w:u w:val="single"/>
        </w:rPr>
        <w:t xml:space="preserve">          </w:t>
      </w:r>
      <w:r>
        <w:rPr>
          <w:rFonts w:hint="eastAsia" w:cs="Helvetica"/>
          <w:i/>
          <w:iCs/>
          <w:szCs w:val="24"/>
          <w:u w:val="single"/>
          <w:lang w:eastAsia="zh-CN"/>
        </w:rPr>
        <w:t>（</w:t>
      </w:r>
      <w:r>
        <w:rPr>
          <w:rFonts w:hint="eastAsia" w:cs="Helvetica"/>
          <w:i/>
          <w:iCs/>
          <w:szCs w:val="24"/>
          <w:u w:val="single"/>
        </w:rPr>
        <w:t>以招标文件要求以及投标文件的响应</w:t>
      </w:r>
      <w:r>
        <w:rPr>
          <w:rFonts w:hint="eastAsia" w:cs="Helvetica"/>
          <w:i/>
          <w:iCs/>
          <w:szCs w:val="24"/>
          <w:u w:val="single"/>
          <w:lang w:eastAsia="zh-CN"/>
        </w:rPr>
        <w:t>）</w:t>
      </w:r>
      <w:r>
        <w:rPr>
          <w:rFonts w:hint="eastAsia" w:cs="Helvetica"/>
          <w:iCs/>
          <w:szCs w:val="24"/>
          <w:u w:val="single"/>
        </w:rPr>
        <w:t xml:space="preserve">                    </w:t>
      </w:r>
      <w:r>
        <w:rPr>
          <w:rFonts w:hint="eastAsia" w:cs="Helvetica"/>
          <w:iCs/>
          <w:szCs w:val="24"/>
        </w:rPr>
        <w:t xml:space="preserve">。  </w:t>
      </w:r>
    </w:p>
    <w:p>
      <w:pPr>
        <w:pStyle w:val="54"/>
        <w:numPr>
          <w:ilvl w:val="0"/>
          <w:numId w:val="56"/>
        </w:numPr>
        <w:wordWrap w:val="0"/>
        <w:spacing w:before="78" w:beforeLines="25" w:line="360" w:lineRule="auto"/>
        <w:ind w:left="993" w:hanging="513" w:firstLineChars="0"/>
        <w:rPr>
          <w:rFonts w:cs="Helvetica"/>
          <w:bCs/>
          <w:szCs w:val="24"/>
          <w:lang w:val="zh-CN"/>
        </w:rPr>
      </w:pPr>
      <w:r>
        <w:rPr>
          <w:rFonts w:hint="eastAsia" w:cs="Helvetica"/>
          <w:b/>
          <w:szCs w:val="24"/>
          <w:lang w:val="zh-CN"/>
        </w:rPr>
        <w:t>合同履行时间（期限）、地点和方式</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1.合同履行时间：</w:t>
      </w:r>
      <w:r>
        <w:rPr>
          <w:rFonts w:hint="eastAsia"/>
          <w:lang w:val="zh-CN"/>
        </w:rPr>
        <w:t>自</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日至</w:t>
      </w:r>
      <w:r>
        <w:rPr>
          <w:rFonts w:hint="eastAsia"/>
          <w:u w:val="single"/>
        </w:rPr>
        <w:t xml:space="preserve">       </w:t>
      </w:r>
      <w:r>
        <w:rPr>
          <w:rFonts w:hint="eastAsia"/>
        </w:rPr>
        <w:t>年</w:t>
      </w:r>
      <w:r>
        <w:rPr>
          <w:rFonts w:hint="eastAsia"/>
          <w:u w:val="single"/>
        </w:rPr>
        <w:t xml:space="preserve">    </w:t>
      </w:r>
      <w:r>
        <w:rPr>
          <w:rFonts w:hint="eastAsia"/>
        </w:rPr>
        <w:t>月</w:t>
      </w:r>
      <w:r>
        <w:rPr>
          <w:rFonts w:hint="eastAsia"/>
          <w:u w:val="single"/>
        </w:rPr>
        <w:t xml:space="preserve">    </w:t>
      </w:r>
      <w:r>
        <w:rPr>
          <w:rFonts w:hint="eastAsia"/>
        </w:rPr>
        <w:t>日止。</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2.交付或服务地点及方式：</w:t>
      </w:r>
      <w:r>
        <w:rPr>
          <w:rFonts w:hint="eastAsia" w:cs="宋体"/>
          <w:szCs w:val="24"/>
          <w:u w:val="single"/>
        </w:rPr>
        <w:t xml:space="preserve">      </w:t>
      </w:r>
      <w:r>
        <w:rPr>
          <w:rFonts w:hint="eastAsia" w:cs="宋体"/>
          <w:i/>
          <w:szCs w:val="24"/>
          <w:u w:val="single"/>
        </w:rPr>
        <w:t xml:space="preserve"> </w:t>
      </w:r>
      <w:r>
        <w:rPr>
          <w:rFonts w:hint="eastAsia" w:cs="宋体"/>
          <w:i/>
          <w:szCs w:val="24"/>
          <w:u w:val="single"/>
          <w:lang w:eastAsia="zh-CN"/>
        </w:rPr>
        <w:t>（</w:t>
      </w:r>
      <w:r>
        <w:rPr>
          <w:rFonts w:hint="eastAsia" w:cs="宋体"/>
          <w:i/>
          <w:szCs w:val="24"/>
          <w:u w:val="single"/>
        </w:rPr>
        <w:t>见招标文件</w:t>
      </w:r>
      <w:r>
        <w:rPr>
          <w:rFonts w:hint="eastAsia" w:cs="宋体"/>
          <w:i/>
          <w:szCs w:val="24"/>
          <w:u w:val="single"/>
          <w:lang w:eastAsia="zh-CN"/>
        </w:rPr>
        <w:t>）</w:t>
      </w:r>
      <w:r>
        <w:rPr>
          <w:rFonts w:hint="eastAsia" w:cs="宋体"/>
          <w:szCs w:val="24"/>
          <w:u w:val="single"/>
        </w:rPr>
        <w:t xml:space="preserve">                     </w:t>
      </w:r>
      <w:r>
        <w:rPr>
          <w:rFonts w:hint="eastAsia"/>
          <w:i/>
        </w:rPr>
        <w:t>。</w:t>
      </w:r>
    </w:p>
    <w:p>
      <w:pPr>
        <w:pStyle w:val="54"/>
        <w:numPr>
          <w:ilvl w:val="0"/>
          <w:numId w:val="56"/>
        </w:numPr>
        <w:wordWrap w:val="0"/>
        <w:spacing w:before="78" w:beforeLines="25" w:line="360" w:lineRule="auto"/>
        <w:ind w:left="993" w:hanging="513" w:firstLineChars="0"/>
        <w:rPr>
          <w:rFonts w:cs="Helvetica"/>
          <w:bCs/>
          <w:szCs w:val="24"/>
          <w:lang w:val="zh-CN"/>
        </w:rPr>
      </w:pPr>
      <w:r>
        <w:rPr>
          <w:rFonts w:hint="eastAsia"/>
          <w:b/>
          <w:iCs/>
          <w:szCs w:val="24"/>
        </w:rPr>
        <w:t>包装及运输</w:t>
      </w:r>
    </w:p>
    <w:p>
      <w:pPr>
        <w:numPr>
          <w:ilvl w:val="0"/>
          <w:numId w:val="0"/>
        </w:numPr>
        <w:tabs>
          <w:tab w:val="left" w:pos="980"/>
        </w:tabs>
        <w:wordWrap w:val="0"/>
        <w:autoSpaceDE w:val="0"/>
        <w:autoSpaceDN w:val="0"/>
        <w:spacing w:before="78" w:beforeLines="25" w:line="360" w:lineRule="auto"/>
        <w:ind w:left="547" w:leftChars="228" w:firstLine="600" w:firstLineChars="250"/>
        <w:contextualSpacing/>
        <w:rPr>
          <w:rFonts w:cs="宋体"/>
          <w:szCs w:val="24"/>
        </w:rPr>
      </w:pPr>
      <w:r>
        <w:rPr>
          <w:rFonts w:hint="eastAsia" w:cs="宋体"/>
          <w:szCs w:val="24"/>
          <w:u w:val="single"/>
        </w:rPr>
        <w:t xml:space="preserve">                               </w:t>
      </w:r>
      <w:r>
        <w:rPr>
          <w:rFonts w:hint="eastAsia" w:cs="宋体"/>
          <w:i/>
          <w:szCs w:val="24"/>
          <w:u w:val="single"/>
          <w:lang w:eastAsia="zh-CN"/>
        </w:rPr>
        <w:t>（</w:t>
      </w:r>
      <w:r>
        <w:rPr>
          <w:rFonts w:hint="eastAsia" w:cs="宋体"/>
          <w:i/>
          <w:szCs w:val="24"/>
          <w:u w:val="single"/>
        </w:rPr>
        <w:t>见招标文件</w:t>
      </w:r>
      <w:r>
        <w:rPr>
          <w:rFonts w:hint="eastAsia" w:cs="宋体"/>
          <w:i/>
          <w:szCs w:val="24"/>
          <w:u w:val="single"/>
          <w:lang w:eastAsia="zh-CN"/>
        </w:rPr>
        <w:t>）</w:t>
      </w:r>
      <w:r>
        <w:rPr>
          <w:rFonts w:hint="eastAsia" w:cs="宋体"/>
          <w:szCs w:val="24"/>
          <w:u w:val="single"/>
        </w:rPr>
        <w:t xml:space="preserve">                      </w:t>
      </w:r>
      <w:r>
        <w:rPr>
          <w:rFonts w:hint="eastAsia" w:cs="宋体"/>
          <w:szCs w:val="24"/>
        </w:rPr>
        <w:t>。</w:t>
      </w:r>
    </w:p>
    <w:p>
      <w:pPr>
        <w:pStyle w:val="54"/>
        <w:numPr>
          <w:ilvl w:val="0"/>
          <w:numId w:val="56"/>
        </w:numPr>
        <w:wordWrap w:val="0"/>
        <w:spacing w:before="78" w:beforeLines="25" w:line="360" w:lineRule="auto"/>
        <w:ind w:left="993" w:hanging="513" w:firstLineChars="0"/>
        <w:rPr>
          <w:rFonts w:cs="Helvetica"/>
          <w:bCs/>
          <w:szCs w:val="24"/>
          <w:lang w:val="zh-CN"/>
        </w:rPr>
      </w:pPr>
      <w:r>
        <w:rPr>
          <w:rFonts w:hint="eastAsia" w:cs="Helvetica"/>
          <w:b/>
          <w:szCs w:val="24"/>
          <w:lang w:val="zh-CN"/>
        </w:rPr>
        <w:t xml:space="preserve">合同价款  </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szCs w:val="24"/>
        </w:rPr>
      </w:pPr>
      <w:r>
        <w:rPr>
          <w:rFonts w:hint="eastAsia" w:cs="Helvetica"/>
          <w:szCs w:val="24"/>
          <w:lang w:val="zh-CN"/>
        </w:rPr>
        <w:t>1.本合同金额为（大写）：人民币</w:t>
      </w:r>
      <w:r>
        <w:rPr>
          <w:rFonts w:hint="eastAsia" w:cs="Helvetica"/>
          <w:szCs w:val="24"/>
          <w:u w:val="single"/>
        </w:rPr>
        <w:t xml:space="preserve">      </w:t>
      </w:r>
      <w:r>
        <w:rPr>
          <w:rFonts w:hint="eastAsia" w:cs="Helvetica"/>
          <w:bCs/>
          <w:i/>
          <w:iCs/>
          <w:szCs w:val="24"/>
          <w:u w:val="single"/>
          <w:lang w:eastAsia="zh-CN"/>
        </w:rPr>
        <w:t>（</w:t>
      </w:r>
      <w:r>
        <w:rPr>
          <w:rFonts w:hint="eastAsia" w:cs="Helvetica"/>
          <w:bCs/>
          <w:i/>
          <w:iCs/>
          <w:szCs w:val="24"/>
          <w:u w:val="single"/>
        </w:rPr>
        <w:t>见投标文件</w:t>
      </w:r>
      <w:r>
        <w:rPr>
          <w:rFonts w:hint="eastAsia" w:cs="Helvetica"/>
          <w:bCs/>
          <w:i/>
          <w:iCs/>
          <w:szCs w:val="24"/>
          <w:u w:val="single"/>
          <w:lang w:eastAsia="zh-CN"/>
        </w:rPr>
        <w:t>）</w:t>
      </w:r>
      <w:r>
        <w:rPr>
          <w:rFonts w:hint="eastAsia" w:cs="Helvetica"/>
          <w:szCs w:val="24"/>
          <w:u w:val="single"/>
        </w:rPr>
        <w:t xml:space="preserve">   </w:t>
      </w:r>
      <w:r>
        <w:rPr>
          <w:rFonts w:hint="eastAsia" w:cs="Helvetica"/>
          <w:szCs w:val="24"/>
        </w:rPr>
        <w:t>元（</w:t>
      </w:r>
      <w:r>
        <w:rPr>
          <w:rFonts w:cs="Arial"/>
          <w:szCs w:val="24"/>
        </w:rPr>
        <w:t>¥</w:t>
      </w:r>
      <w:r>
        <w:rPr>
          <w:rFonts w:hint="eastAsia" w:cs="Helvetica"/>
          <w:szCs w:val="24"/>
        </w:rPr>
        <w:t>：</w:t>
      </w:r>
      <w:r>
        <w:rPr>
          <w:rFonts w:hint="eastAsia" w:cs="Helvetica"/>
          <w:szCs w:val="24"/>
          <w:u w:val="single"/>
        </w:rPr>
        <w:t xml:space="preserve">          </w:t>
      </w:r>
      <w:r>
        <w:rPr>
          <w:rFonts w:hint="eastAsia" w:cs="Helvetica"/>
          <w:szCs w:val="24"/>
        </w:rPr>
        <w:t>）</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Helvetica"/>
          <w:szCs w:val="24"/>
        </w:rPr>
        <w:t>2.合同金额包括乙方</w:t>
      </w:r>
      <w:r>
        <w:rPr>
          <w:rFonts w:hint="eastAsia" w:cs="宋体"/>
          <w:szCs w:val="24"/>
        </w:rPr>
        <w:t>完成本合同约定的全部工作可能发生的所有费用（含市场变化等可能发生的费用），即总报价为“交钥匙”价</w:t>
      </w:r>
      <w:r>
        <w:rPr>
          <w:rFonts w:hint="eastAsia" w:cs="宋体"/>
          <w:szCs w:val="24"/>
          <w:lang w:val="zh-CN"/>
        </w:rPr>
        <w:t>。</w:t>
      </w:r>
      <w:r>
        <w:rPr>
          <w:rFonts w:hint="eastAsia" w:cs="宋体"/>
          <w:szCs w:val="24"/>
        </w:rPr>
        <w:t>甲方在支付此金额后，不再因本合同支付任何其它费用。</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u w:val="single"/>
        </w:rPr>
      </w:pPr>
      <w:r>
        <w:rPr>
          <w:rFonts w:hint="eastAsia" w:cs="Helvetica"/>
          <w:szCs w:val="24"/>
        </w:rPr>
        <w:t>3.</w:t>
      </w:r>
      <w:r>
        <w:rPr>
          <w:rFonts w:hint="eastAsia" w:cs="宋体"/>
          <w:szCs w:val="24"/>
          <w:u w:val="single"/>
        </w:rPr>
        <w:t xml:space="preserve">                                                             </w:t>
      </w:r>
      <w:r>
        <w:rPr>
          <w:rFonts w:hint="eastAsia" w:cs="宋体"/>
          <w:szCs w:val="24"/>
        </w:rPr>
        <w:t xml:space="preserve"> 。</w:t>
      </w:r>
    </w:p>
    <w:p>
      <w:pPr>
        <w:pStyle w:val="54"/>
        <w:numPr>
          <w:ilvl w:val="0"/>
          <w:numId w:val="56"/>
        </w:numPr>
        <w:wordWrap w:val="0"/>
        <w:spacing w:before="78" w:beforeLines="25" w:line="360" w:lineRule="auto"/>
        <w:ind w:left="993" w:hanging="513" w:firstLineChars="0"/>
        <w:rPr>
          <w:rFonts w:cs="Helvetica"/>
          <w:bCs/>
          <w:szCs w:val="24"/>
          <w:lang w:val="zh-CN"/>
        </w:rPr>
      </w:pPr>
      <w:r>
        <w:rPr>
          <w:rFonts w:hint="eastAsia" w:cs="Helvetica"/>
          <w:b/>
          <w:szCs w:val="24"/>
          <w:lang w:val="zh-CN"/>
        </w:rPr>
        <w:t>资金支付方式及安排</w:t>
      </w:r>
    </w:p>
    <w:p>
      <w:pPr>
        <w:numPr>
          <w:ilvl w:val="0"/>
          <w:numId w:val="0"/>
        </w:numPr>
        <w:tabs>
          <w:tab w:val="left" w:pos="980"/>
        </w:tabs>
        <w:wordWrap w:val="0"/>
        <w:autoSpaceDE w:val="0"/>
        <w:autoSpaceDN w:val="0"/>
        <w:spacing w:before="78" w:beforeLines="25" w:line="360" w:lineRule="auto"/>
        <w:ind w:left="547" w:leftChars="228" w:firstLine="720" w:firstLineChars="300"/>
        <w:contextualSpacing/>
        <w:rPr>
          <w:rFonts w:cs="Helvetica"/>
          <w:bCs/>
          <w:iCs/>
          <w:szCs w:val="24"/>
        </w:rPr>
      </w:pPr>
      <w:r>
        <w:rPr>
          <w:rFonts w:hint="eastAsia" w:cs="Helvetica"/>
          <w:bCs/>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bCs/>
          <w:iCs/>
          <w:szCs w:val="24"/>
          <w:u w:val="single"/>
        </w:rPr>
        <w:t xml:space="preserve">                                            </w:t>
      </w:r>
      <w:r>
        <w:rPr>
          <w:rFonts w:hint="eastAsia" w:cs="Helvetica"/>
          <w:bCs/>
          <w:iCs/>
          <w:szCs w:val="24"/>
        </w:rPr>
        <w:t>。</w:t>
      </w:r>
    </w:p>
    <w:p>
      <w:pPr>
        <w:pStyle w:val="54"/>
        <w:numPr>
          <w:ilvl w:val="0"/>
          <w:numId w:val="56"/>
        </w:numPr>
        <w:wordWrap w:val="0"/>
        <w:spacing w:before="78" w:beforeLines="25" w:line="360" w:lineRule="auto"/>
        <w:ind w:left="993" w:hanging="513" w:firstLineChars="0"/>
        <w:rPr>
          <w:rFonts w:cs="Helvetica"/>
          <w:b/>
          <w:szCs w:val="24"/>
          <w:lang w:val="zh-CN"/>
        </w:rPr>
      </w:pPr>
      <w:r>
        <w:rPr>
          <w:rFonts w:hint="eastAsia" w:cs="Helvetica"/>
          <w:b/>
          <w:szCs w:val="24"/>
          <w:lang w:val="zh-CN"/>
        </w:rPr>
        <w:t>交付标准、方法和验收方案</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1.</w:t>
      </w:r>
      <w:r>
        <w:rPr>
          <w:rFonts w:hint="eastAsia" w:cs="Helvetica"/>
          <w:bCs/>
          <w:szCs w:val="24"/>
          <w:lang w:val="zh-CN"/>
        </w:rPr>
        <w:t>交付标准、方法：</w:t>
      </w:r>
      <w:r>
        <w:rPr>
          <w:rFonts w:hint="eastAsia" w:cs="Helvetica"/>
          <w:bCs/>
          <w:szCs w:val="24"/>
          <w:u w:val="single"/>
          <w:lang w:val="zh-CN"/>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bCs/>
          <w:szCs w:val="24"/>
          <w:u w:val="single"/>
          <w:lang w:val="zh-CN"/>
        </w:rPr>
        <w:t xml:space="preserve">                         </w:t>
      </w:r>
      <w:r>
        <w:rPr>
          <w:rFonts w:hint="eastAsia" w:cs="Helvetica"/>
          <w:bCs/>
          <w:szCs w:val="24"/>
          <w:lang w:val="zh-CN"/>
        </w:rPr>
        <w:t>。</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bCs/>
          <w:szCs w:val="24"/>
        </w:rPr>
      </w:pPr>
      <w:r>
        <w:rPr>
          <w:rFonts w:hint="eastAsia" w:cs="宋体"/>
          <w:szCs w:val="24"/>
        </w:rPr>
        <w:t>2.</w:t>
      </w:r>
      <w:r>
        <w:rPr>
          <w:rFonts w:hint="eastAsia" w:cs="Helvetica"/>
          <w:bCs/>
          <w:szCs w:val="24"/>
          <w:lang w:val="zh-CN"/>
        </w:rPr>
        <w:t>验收方案：</w:t>
      </w:r>
      <w:r>
        <w:rPr>
          <w:rFonts w:hint="eastAsia" w:cs="Helvetica"/>
          <w:bCs/>
          <w:szCs w:val="24"/>
          <w:u w:val="single"/>
        </w:rPr>
        <w:t xml:space="preserve"> </w:t>
      </w:r>
      <w:r>
        <w:rPr>
          <w:rFonts w:hint="eastAsia" w:cs="Helvetica"/>
          <w:bCs/>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bCs/>
          <w:iCs/>
          <w:szCs w:val="24"/>
          <w:u w:val="single"/>
        </w:rPr>
        <w:t xml:space="preserve">                 </w:t>
      </w:r>
      <w:r>
        <w:rPr>
          <w:rFonts w:cs="Helvetica"/>
          <w:bCs/>
          <w:iCs/>
          <w:szCs w:val="24"/>
          <w:u w:val="single"/>
        </w:rPr>
        <w:t xml:space="preserve"> </w:t>
      </w:r>
      <w:r>
        <w:rPr>
          <w:rFonts w:hint="eastAsia" w:cs="Helvetica"/>
          <w:bCs/>
          <w:iCs/>
          <w:szCs w:val="24"/>
          <w:u w:val="single"/>
        </w:rPr>
        <w:t xml:space="preserve">         </w:t>
      </w:r>
      <w:r>
        <w:rPr>
          <w:rFonts w:hint="eastAsia" w:cs="Helvetica"/>
          <w:bCs/>
          <w:iCs/>
          <w:szCs w:val="24"/>
        </w:rPr>
        <w:t>。</w:t>
      </w:r>
    </w:p>
    <w:p>
      <w:pPr>
        <w:pStyle w:val="54"/>
        <w:numPr>
          <w:ilvl w:val="0"/>
          <w:numId w:val="56"/>
        </w:numPr>
        <w:wordWrap w:val="0"/>
        <w:spacing w:before="78" w:beforeLines="25" w:line="360" w:lineRule="auto"/>
        <w:ind w:left="993" w:hanging="513" w:firstLineChars="0"/>
        <w:rPr>
          <w:rFonts w:cs="Helvetica"/>
          <w:szCs w:val="24"/>
          <w:lang w:val="zh-CN"/>
        </w:rPr>
      </w:pPr>
      <w:r>
        <w:rPr>
          <w:rFonts w:hint="eastAsia" w:cs="Helvetica"/>
          <w:b/>
          <w:szCs w:val="24"/>
          <w:lang w:val="zh-CN"/>
        </w:rPr>
        <w:t>质保（服务）期及质保（服务）范围和要求</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szCs w:val="24"/>
          <w:u w:val="single"/>
        </w:rPr>
      </w:pPr>
      <w:r>
        <w:rPr>
          <w:rFonts w:hint="eastAsia" w:cs="宋体"/>
          <w:szCs w:val="24"/>
        </w:rPr>
        <w:t>1.质保（服务</w:t>
      </w:r>
      <w:r>
        <w:rPr>
          <w:rFonts w:hint="eastAsia" w:cs="宋体"/>
          <w:szCs w:val="24"/>
          <w:lang w:eastAsia="zh-CN"/>
        </w:rPr>
        <w:t>）</w:t>
      </w:r>
      <w:r>
        <w:rPr>
          <w:rFonts w:hint="eastAsia" w:cs="宋体"/>
          <w:szCs w:val="24"/>
        </w:rPr>
        <w:t>期：</w:t>
      </w:r>
      <w:r>
        <w:rPr>
          <w:rFonts w:hint="eastAsia" w:cs="Helvetica"/>
          <w:i/>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i/>
          <w:iCs/>
          <w:szCs w:val="24"/>
          <w:u w:val="single"/>
        </w:rPr>
        <w:t xml:space="preserve">                </w:t>
      </w:r>
      <w:r>
        <w:rPr>
          <w:rFonts w:hint="eastAsia" w:cs="Helvetica"/>
          <w:i/>
          <w:szCs w:val="24"/>
          <w:u w:val="single"/>
        </w:rPr>
        <w:t xml:space="preserve">   </w:t>
      </w:r>
      <w:r>
        <w:rPr>
          <w:rFonts w:hint="eastAsia" w:cs="Helvetica"/>
          <w:i/>
          <w:szCs w:val="24"/>
        </w:rPr>
        <w:t>。</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2.质保（服务）范围：</w:t>
      </w:r>
      <w:r>
        <w:rPr>
          <w:rFonts w:hint="eastAsia" w:cs="Helvetica"/>
          <w:i/>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i/>
          <w:iCs/>
          <w:szCs w:val="24"/>
          <w:u w:val="single"/>
        </w:rPr>
        <w:t xml:space="preserve">                  </w:t>
      </w:r>
      <w:r>
        <w:rPr>
          <w:rFonts w:hint="eastAsia" w:cs="Helvetica"/>
          <w:i/>
          <w:szCs w:val="24"/>
          <w:lang w:val="zh-CN"/>
        </w:rPr>
        <w:t>。</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3.质保（服务）要求：</w:t>
      </w:r>
      <w:r>
        <w:rPr>
          <w:rFonts w:hint="eastAsia" w:cs="Helvetica"/>
          <w:i/>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i/>
          <w:iCs/>
          <w:szCs w:val="24"/>
          <w:u w:val="single"/>
        </w:rPr>
        <w:t xml:space="preserve">                  </w:t>
      </w:r>
      <w:r>
        <w:rPr>
          <w:rFonts w:hint="eastAsia" w:cs="Helvetica"/>
          <w:i/>
          <w:szCs w:val="24"/>
          <w:lang w:val="zh-CN"/>
        </w:rPr>
        <w:t>。</w:t>
      </w:r>
    </w:p>
    <w:p>
      <w:pPr>
        <w:pStyle w:val="54"/>
        <w:numPr>
          <w:ilvl w:val="0"/>
          <w:numId w:val="56"/>
        </w:numPr>
        <w:wordWrap w:val="0"/>
        <w:spacing w:before="78" w:beforeLines="25" w:line="360" w:lineRule="auto"/>
        <w:ind w:left="993" w:hanging="513" w:firstLineChars="0"/>
        <w:rPr>
          <w:rFonts w:cs="Helvetica"/>
          <w:bCs/>
          <w:szCs w:val="24"/>
          <w:lang w:val="zh-CN"/>
        </w:rPr>
      </w:pPr>
      <w:r>
        <w:rPr>
          <w:rFonts w:hint="eastAsia" w:cs="Helvetica"/>
          <w:b/>
          <w:bCs/>
          <w:szCs w:val="24"/>
          <w:lang w:val="zh-CN"/>
        </w:rPr>
        <w:t>项目培训</w:t>
      </w:r>
    </w:p>
    <w:p>
      <w:pPr>
        <w:numPr>
          <w:ilvl w:val="0"/>
          <w:numId w:val="0"/>
        </w:numPr>
        <w:tabs>
          <w:tab w:val="left" w:pos="980"/>
        </w:tabs>
        <w:wordWrap w:val="0"/>
        <w:autoSpaceDE w:val="0"/>
        <w:autoSpaceDN w:val="0"/>
        <w:spacing w:before="78" w:beforeLines="25" w:line="360" w:lineRule="auto"/>
        <w:ind w:left="547" w:leftChars="228" w:firstLine="720" w:firstLineChars="300"/>
        <w:contextualSpacing/>
        <w:rPr>
          <w:rFonts w:cs="Helvetica"/>
          <w:bCs/>
          <w:szCs w:val="24"/>
        </w:rPr>
      </w:pPr>
      <w:r>
        <w:rPr>
          <w:rFonts w:hint="eastAsia" w:cs="Helvetica"/>
          <w:bCs/>
          <w:szCs w:val="24"/>
          <w:u w:val="single"/>
        </w:rPr>
        <w:t xml:space="preserve">                </w:t>
      </w:r>
      <w:r>
        <w:rPr>
          <w:rFonts w:cs="Helvetica"/>
          <w:bCs/>
          <w:szCs w:val="24"/>
          <w:u w:val="single"/>
        </w:rPr>
        <w:t xml:space="preserve">     </w:t>
      </w:r>
      <w:r>
        <w:rPr>
          <w:rFonts w:hint="eastAsia" w:cs="Helvetica"/>
          <w:bCs/>
          <w:i/>
          <w:iCs/>
          <w:szCs w:val="24"/>
          <w:u w:val="single"/>
          <w:lang w:eastAsia="zh-CN"/>
        </w:rPr>
        <w:t>（</w:t>
      </w:r>
      <w:r>
        <w:rPr>
          <w:rFonts w:hint="eastAsia" w:cs="Helvetica"/>
          <w:bCs/>
          <w:i/>
          <w:iCs/>
          <w:szCs w:val="24"/>
          <w:u w:val="single"/>
        </w:rPr>
        <w:t>见投标文件</w:t>
      </w:r>
      <w:r>
        <w:rPr>
          <w:rFonts w:hint="eastAsia" w:cs="Helvetica"/>
          <w:bCs/>
          <w:i/>
          <w:iCs/>
          <w:szCs w:val="24"/>
          <w:u w:val="single"/>
          <w:lang w:eastAsia="zh-CN"/>
        </w:rPr>
        <w:t>）</w:t>
      </w:r>
      <w:r>
        <w:rPr>
          <w:rFonts w:hint="eastAsia" w:cs="Helvetica"/>
          <w:bCs/>
          <w:szCs w:val="24"/>
          <w:u w:val="single"/>
        </w:rPr>
        <w:t xml:space="preserve">                         </w:t>
      </w:r>
      <w:r>
        <w:rPr>
          <w:rFonts w:hint="eastAsia" w:cs="Helvetica"/>
          <w:bCs/>
          <w:szCs w:val="24"/>
        </w:rPr>
        <w:t>。</w:t>
      </w:r>
    </w:p>
    <w:p>
      <w:pPr>
        <w:pStyle w:val="54"/>
        <w:numPr>
          <w:ilvl w:val="0"/>
          <w:numId w:val="56"/>
        </w:numPr>
        <w:wordWrap w:val="0"/>
        <w:spacing w:before="78" w:beforeLines="25" w:line="360" w:lineRule="auto"/>
        <w:ind w:left="993" w:hanging="513" w:firstLineChars="0"/>
        <w:rPr>
          <w:rFonts w:cs="Helvetica"/>
          <w:bCs/>
          <w:i/>
          <w:iCs/>
          <w:szCs w:val="24"/>
          <w:lang w:val="zh-CN"/>
        </w:rPr>
      </w:pPr>
      <w:r>
        <w:rPr>
          <w:rFonts w:hint="eastAsia" w:cs="Helvetica"/>
          <w:b/>
          <w:szCs w:val="24"/>
          <w:lang w:val="zh-CN"/>
        </w:rPr>
        <w:t>知识产权归属、处理方式</w:t>
      </w:r>
    </w:p>
    <w:p>
      <w:pPr>
        <w:numPr>
          <w:ilvl w:val="0"/>
          <w:numId w:val="0"/>
        </w:numPr>
        <w:tabs>
          <w:tab w:val="left" w:pos="980"/>
        </w:tabs>
        <w:wordWrap w:val="0"/>
        <w:autoSpaceDE w:val="0"/>
        <w:autoSpaceDN w:val="0"/>
        <w:spacing w:before="78" w:beforeLines="25" w:line="360" w:lineRule="auto"/>
        <w:ind w:left="547" w:leftChars="228" w:firstLine="720" w:firstLineChars="300"/>
        <w:contextualSpacing/>
        <w:rPr>
          <w:rFonts w:cs="Helvetica"/>
          <w:bCs/>
          <w:i/>
          <w:iCs/>
          <w:szCs w:val="24"/>
        </w:rPr>
      </w:pPr>
      <w:r>
        <w:rPr>
          <w:rFonts w:hint="eastAsia" w:cs="Helvetica"/>
          <w:bCs/>
          <w:i/>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bCs/>
          <w:i/>
          <w:iCs/>
          <w:szCs w:val="24"/>
          <w:u w:val="single"/>
        </w:rPr>
        <w:t xml:space="preserve">                          </w:t>
      </w:r>
      <w:r>
        <w:rPr>
          <w:rFonts w:hint="eastAsia" w:cs="Helvetica"/>
          <w:bCs/>
          <w:i/>
          <w:iCs/>
          <w:szCs w:val="24"/>
        </w:rPr>
        <w:t>。</w:t>
      </w:r>
    </w:p>
    <w:p>
      <w:pPr>
        <w:pStyle w:val="54"/>
        <w:numPr>
          <w:ilvl w:val="0"/>
          <w:numId w:val="56"/>
        </w:numPr>
        <w:wordWrap w:val="0"/>
        <w:spacing w:before="78" w:beforeLines="25" w:line="360" w:lineRule="auto"/>
        <w:ind w:left="993" w:hanging="513" w:firstLineChars="0"/>
        <w:rPr>
          <w:rFonts w:cs="Helvetica"/>
          <w:b/>
          <w:szCs w:val="24"/>
          <w:lang w:val="zh-CN"/>
        </w:rPr>
      </w:pPr>
      <w:r>
        <w:rPr>
          <w:rFonts w:hint="eastAsia" w:cs="Helvetica"/>
          <w:b/>
          <w:szCs w:val="24"/>
          <w:lang w:val="zh-CN"/>
        </w:rPr>
        <w:t>双方的权利和义务</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bCs/>
          <w:szCs w:val="24"/>
          <w:u w:val="single"/>
        </w:rPr>
      </w:pPr>
      <w:r>
        <w:rPr>
          <w:rFonts w:hint="eastAsia" w:cs="宋体"/>
          <w:szCs w:val="24"/>
        </w:rPr>
        <w:t>1.</w:t>
      </w:r>
      <w:r>
        <w:rPr>
          <w:rFonts w:hint="eastAsia" w:cs="Helvetica"/>
          <w:bCs/>
          <w:szCs w:val="24"/>
        </w:rPr>
        <w:t>甲方的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Helvetica"/>
          <w:bCs/>
          <w:szCs w:val="24"/>
        </w:rPr>
      </w:pPr>
      <w:r>
        <w:rPr>
          <w:rFonts w:hint="eastAsia" w:cs="宋体"/>
          <w:szCs w:val="24"/>
        </w:rPr>
        <w:t>2.</w:t>
      </w:r>
      <w:r>
        <w:rPr>
          <w:rFonts w:hint="eastAsia" w:cs="Helvetica"/>
          <w:bCs/>
          <w:szCs w:val="24"/>
        </w:rPr>
        <w:t>乙方的</w:t>
      </w:r>
      <w:r>
        <w:rPr>
          <w:rFonts w:hint="eastAsia" w:cs="宋体"/>
          <w:szCs w:val="24"/>
        </w:rPr>
        <w:t>权力</w:t>
      </w:r>
      <w:r>
        <w:rPr>
          <w:rFonts w:hint="eastAsia" w:cs="Helvetica"/>
          <w:bCs/>
          <w:szCs w:val="24"/>
        </w:rPr>
        <w:t>和义务：</w:t>
      </w:r>
      <w:r>
        <w:rPr>
          <w:rFonts w:hint="eastAsia" w:cs="Helvetica"/>
          <w:bCs/>
          <w:i/>
          <w:iCs/>
          <w:szCs w:val="24"/>
          <w:u w:val="single"/>
        </w:rPr>
        <w:t xml:space="preserve">                                       </w:t>
      </w:r>
      <w:r>
        <w:rPr>
          <w:rFonts w:hint="eastAsia" w:cs="Helvetica"/>
          <w:bCs/>
          <w:szCs w:val="24"/>
        </w:rPr>
        <w:t>。</w:t>
      </w:r>
    </w:p>
    <w:p>
      <w:pPr>
        <w:pStyle w:val="54"/>
        <w:numPr>
          <w:ilvl w:val="0"/>
          <w:numId w:val="56"/>
        </w:numPr>
        <w:wordWrap w:val="0"/>
        <w:spacing w:before="78" w:beforeLines="25" w:line="360" w:lineRule="auto"/>
        <w:ind w:firstLineChars="0"/>
        <w:rPr>
          <w:rFonts w:cs="Helvetica"/>
          <w:b/>
          <w:szCs w:val="24"/>
          <w:lang w:val="zh-CN"/>
        </w:rPr>
      </w:pPr>
      <w:r>
        <w:rPr>
          <w:rFonts w:hint="eastAsia" w:cs="Helvetica"/>
          <w:b/>
          <w:szCs w:val="24"/>
          <w:lang w:val="zh-CN"/>
        </w:rPr>
        <w:t>违约责任</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1.</w:t>
      </w:r>
      <w:r>
        <w:rPr>
          <w:rFonts w:hint="eastAsia" w:cs="宋体"/>
          <w:szCs w:val="24"/>
          <w:lang w:val="zh-CN"/>
        </w:rPr>
        <w:t>甲方的违约责任</w:t>
      </w:r>
      <w:r>
        <w:rPr>
          <w:rFonts w:hint="eastAsia" w:cs="宋体"/>
          <w:szCs w:val="24"/>
        </w:rPr>
        <w:t>：</w:t>
      </w:r>
      <w:r>
        <w:rPr>
          <w:rFonts w:hint="eastAsia" w:cs="宋体"/>
          <w:szCs w:val="24"/>
          <w:u w:val="single"/>
        </w:rPr>
        <w:t xml:space="preserve">                                         </w:t>
      </w:r>
      <w:r>
        <w:rPr>
          <w:rFonts w:hint="eastAsia" w:cs="宋体"/>
          <w:szCs w:val="24"/>
        </w:rPr>
        <w:t>。</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rFonts w:cs="宋体"/>
          <w:szCs w:val="24"/>
        </w:rPr>
      </w:pPr>
      <w:r>
        <w:rPr>
          <w:rFonts w:hint="eastAsia" w:cs="宋体"/>
          <w:szCs w:val="24"/>
        </w:rPr>
        <w:t>2.乙方的违约责任：</w:t>
      </w:r>
      <w:r>
        <w:rPr>
          <w:rFonts w:hint="eastAsia" w:cs="宋体"/>
          <w:szCs w:val="24"/>
          <w:u w:val="single"/>
        </w:rPr>
        <w:t xml:space="preserve">     </w:t>
      </w:r>
      <w:r>
        <w:rPr>
          <w:rFonts w:cs="宋体"/>
          <w:szCs w:val="24"/>
          <w:u w:val="single"/>
        </w:rPr>
        <w:t xml:space="preserve"> </w:t>
      </w:r>
      <w:r>
        <w:rPr>
          <w:rFonts w:hint="eastAsia" w:cs="宋体"/>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宋体"/>
          <w:szCs w:val="24"/>
          <w:u w:val="single"/>
        </w:rPr>
        <w:t xml:space="preserve">                     </w:t>
      </w:r>
      <w:r>
        <w:rPr>
          <w:rFonts w:hint="eastAsia" w:cs="宋体"/>
          <w:szCs w:val="24"/>
        </w:rPr>
        <w:t>。</w:t>
      </w:r>
    </w:p>
    <w:p>
      <w:pPr>
        <w:pStyle w:val="54"/>
        <w:numPr>
          <w:ilvl w:val="0"/>
          <w:numId w:val="56"/>
        </w:numPr>
        <w:wordWrap w:val="0"/>
        <w:spacing w:before="78" w:beforeLines="25" w:line="360" w:lineRule="auto"/>
        <w:ind w:firstLineChars="0"/>
        <w:rPr>
          <w:rFonts w:cs="Helvetica"/>
          <w:bCs/>
          <w:i/>
          <w:iCs/>
          <w:szCs w:val="24"/>
          <w:u w:val="single"/>
          <w:lang w:val="zh-CN"/>
        </w:rPr>
      </w:pPr>
      <w:r>
        <w:rPr>
          <w:rFonts w:hint="eastAsia" w:cs="Helvetica"/>
          <w:b/>
          <w:szCs w:val="24"/>
          <w:lang w:val="zh-CN"/>
        </w:rPr>
        <w:t>保密条款</w:t>
      </w:r>
    </w:p>
    <w:p>
      <w:pPr>
        <w:numPr>
          <w:ilvl w:val="0"/>
          <w:numId w:val="0"/>
        </w:numPr>
        <w:tabs>
          <w:tab w:val="left" w:pos="980"/>
        </w:tabs>
        <w:wordWrap w:val="0"/>
        <w:autoSpaceDE w:val="0"/>
        <w:autoSpaceDN w:val="0"/>
        <w:spacing w:before="78" w:beforeLines="25" w:line="360" w:lineRule="auto"/>
        <w:ind w:left="547" w:leftChars="228" w:firstLine="720" w:firstLineChars="300"/>
        <w:contextualSpacing/>
        <w:rPr>
          <w:rFonts w:cs="Helvetica"/>
          <w:bCs/>
          <w:szCs w:val="24"/>
        </w:rPr>
      </w:pPr>
      <w:r>
        <w:rPr>
          <w:rFonts w:hint="eastAsia" w:cs="Helvetica"/>
          <w:bCs/>
          <w:i/>
          <w:iCs/>
          <w:szCs w:val="24"/>
          <w:u w:val="single"/>
        </w:rPr>
        <w:t xml:space="preserve">                      </w:t>
      </w:r>
      <w:r>
        <w:rPr>
          <w:rFonts w:cs="Helvetica"/>
          <w:bCs/>
          <w:i/>
          <w:iCs/>
          <w:szCs w:val="24"/>
          <w:u w:val="single"/>
        </w:rPr>
        <w:t xml:space="preserve">  </w:t>
      </w:r>
      <w:r>
        <w:rPr>
          <w:rFonts w:hint="eastAsia" w:cs="Helvetica"/>
          <w:bCs/>
          <w:i/>
          <w:iCs/>
          <w:szCs w:val="24"/>
          <w:u w:val="single"/>
        </w:rPr>
        <w:t xml:space="preserve"> </w:t>
      </w:r>
      <w:r>
        <w:rPr>
          <w:rFonts w:hint="eastAsia" w:cs="Helvetica"/>
          <w:bCs/>
          <w:i/>
          <w:iCs/>
          <w:szCs w:val="24"/>
          <w:u w:val="single"/>
          <w:lang w:eastAsia="zh-CN"/>
        </w:rPr>
        <w:t>（</w:t>
      </w:r>
      <w:r>
        <w:rPr>
          <w:rFonts w:hint="eastAsia" w:cs="Helvetica"/>
          <w:bCs/>
          <w:i/>
          <w:iCs/>
          <w:szCs w:val="24"/>
          <w:u w:val="single"/>
        </w:rPr>
        <w:t>见招标文件</w:t>
      </w:r>
      <w:r>
        <w:rPr>
          <w:rFonts w:hint="eastAsia" w:cs="Helvetica"/>
          <w:bCs/>
          <w:i/>
          <w:iCs/>
          <w:szCs w:val="24"/>
          <w:u w:val="single"/>
          <w:lang w:eastAsia="zh-CN"/>
        </w:rPr>
        <w:t>）</w:t>
      </w:r>
      <w:r>
        <w:rPr>
          <w:rFonts w:hint="eastAsia" w:cs="Helvetica"/>
          <w:bCs/>
          <w:i/>
          <w:iCs/>
          <w:szCs w:val="24"/>
          <w:u w:val="single"/>
        </w:rPr>
        <w:t xml:space="preserve">                      </w:t>
      </w:r>
      <w:r>
        <w:rPr>
          <w:rFonts w:hint="eastAsia" w:cs="Helvetica"/>
          <w:bCs/>
          <w:szCs w:val="24"/>
        </w:rPr>
        <w:t>。</w:t>
      </w:r>
    </w:p>
    <w:p>
      <w:pPr>
        <w:pStyle w:val="54"/>
        <w:numPr>
          <w:ilvl w:val="0"/>
          <w:numId w:val="56"/>
        </w:numPr>
        <w:wordWrap w:val="0"/>
        <w:spacing w:before="78" w:beforeLines="25" w:line="360" w:lineRule="auto"/>
        <w:ind w:left="993" w:hanging="513" w:firstLineChars="0"/>
        <w:rPr>
          <w:rFonts w:cs="Helvetica"/>
          <w:b/>
          <w:szCs w:val="24"/>
          <w:lang w:val="zh-CN"/>
        </w:rPr>
      </w:pPr>
      <w:r>
        <w:rPr>
          <w:rFonts w:hint="eastAsia" w:cs="Helvetica"/>
          <w:b/>
          <w:szCs w:val="24"/>
          <w:lang w:val="zh-CN"/>
        </w:rPr>
        <w:t>其它补充条款</w:t>
      </w:r>
    </w:p>
    <w:p>
      <w:pPr>
        <w:numPr>
          <w:ilvl w:val="0"/>
          <w:numId w:val="0"/>
        </w:numPr>
        <w:tabs>
          <w:tab w:val="left" w:pos="980"/>
        </w:tabs>
        <w:wordWrap w:val="0"/>
        <w:autoSpaceDE w:val="0"/>
        <w:autoSpaceDN w:val="0"/>
        <w:spacing w:before="78" w:beforeLines="25" w:line="360" w:lineRule="auto"/>
        <w:ind w:left="547" w:leftChars="228" w:firstLine="720" w:firstLineChars="300"/>
        <w:contextualSpacing/>
        <w:rPr>
          <w:rFonts w:cs="Helvetica"/>
          <w:bCs/>
          <w:szCs w:val="24"/>
        </w:rPr>
      </w:pPr>
      <w:r>
        <w:rPr>
          <w:rFonts w:hint="eastAsia" w:cs="Helvetica"/>
          <w:bCs/>
          <w:szCs w:val="24"/>
          <w:u w:val="single"/>
        </w:rPr>
        <w:t xml:space="preserve">                                                           </w:t>
      </w:r>
      <w:r>
        <w:rPr>
          <w:rFonts w:hint="eastAsia" w:cs="Helvetica"/>
          <w:bCs/>
          <w:szCs w:val="24"/>
        </w:rPr>
        <w:t>。</w:t>
      </w:r>
    </w:p>
    <w:p>
      <w:pPr>
        <w:pStyle w:val="54"/>
        <w:numPr>
          <w:ilvl w:val="0"/>
          <w:numId w:val="56"/>
        </w:numPr>
        <w:wordWrap w:val="0"/>
        <w:spacing w:before="78" w:beforeLines="25" w:line="360" w:lineRule="auto"/>
        <w:ind w:left="993" w:hanging="513" w:firstLineChars="0"/>
        <w:rPr>
          <w:rFonts w:cs="Helvetica"/>
          <w:b/>
          <w:bCs/>
          <w:szCs w:val="24"/>
          <w:lang w:val="zh-CN"/>
        </w:rPr>
      </w:pPr>
      <w:r>
        <w:rPr>
          <w:rFonts w:hint="eastAsia" w:cs="Helvetica"/>
          <w:b/>
          <w:szCs w:val="24"/>
          <w:lang w:val="zh-CN"/>
        </w:rPr>
        <w:t>不可抗力</w:t>
      </w:r>
    </w:p>
    <w:p>
      <w:pPr>
        <w:wordWrap w:val="0"/>
        <w:spacing w:before="78" w:beforeLines="25" w:line="360" w:lineRule="auto"/>
        <w:ind w:firstLine="480" w:firstLineChars="200"/>
        <w:rPr>
          <w:rFonts w:cs="Helvetica"/>
          <w:b/>
          <w:szCs w:val="24"/>
          <w:lang w:val="zh-CN"/>
        </w:rPr>
      </w:pPr>
      <w:r>
        <w:rPr>
          <w:rFonts w:hint="eastAsia"/>
        </w:rPr>
        <w:t>任何一方由于不可抗力原因不能履行合同时，应在不可抗力事件结束后</w:t>
      </w:r>
      <w:r>
        <w:rPr>
          <w:rFonts w:hint="eastAsia"/>
          <w:u w:val="single"/>
        </w:rPr>
        <w:t xml:space="preserve">     </w:t>
      </w:r>
      <w:r>
        <w:rPr>
          <w:rFonts w:hint="eastAsia"/>
        </w:rPr>
        <w:t>日内以书面形式通知对方，以减轻可能给对方造成的损失，在取得有关机构的不可抗力证明或双方谅解确认后，允许延期履行或修订合同，并根据情况可部分或全部免于承担违约责任。</w:t>
      </w:r>
    </w:p>
    <w:p>
      <w:pPr>
        <w:pStyle w:val="54"/>
        <w:numPr>
          <w:ilvl w:val="0"/>
          <w:numId w:val="56"/>
        </w:numPr>
        <w:wordWrap w:val="0"/>
        <w:spacing w:before="78" w:beforeLines="25" w:line="360" w:lineRule="auto"/>
        <w:ind w:left="993" w:hanging="513" w:firstLineChars="0"/>
        <w:rPr>
          <w:rFonts w:cs="Helvetica"/>
          <w:b/>
          <w:szCs w:val="24"/>
          <w:lang w:val="zh-CN"/>
        </w:rPr>
      </w:pPr>
      <w:r>
        <w:rPr>
          <w:rFonts w:hint="eastAsia" w:cs="Helvetica"/>
          <w:b/>
          <w:szCs w:val="24"/>
          <w:lang w:val="zh-CN"/>
        </w:rPr>
        <w:t>解决争议的方法</w:t>
      </w:r>
    </w:p>
    <w:p>
      <w:pPr>
        <w:numPr>
          <w:ilvl w:val="0"/>
          <w:numId w:val="0"/>
        </w:numPr>
        <w:tabs>
          <w:tab w:val="left" w:pos="980"/>
        </w:tabs>
        <w:wordWrap w:val="0"/>
        <w:autoSpaceDE w:val="0"/>
        <w:autoSpaceDN w:val="0"/>
        <w:spacing w:before="78" w:beforeLines="25" w:line="360" w:lineRule="auto"/>
        <w:ind w:firstLine="480" w:firstLineChars="200"/>
        <w:contextualSpacing/>
      </w:pPr>
      <w:r>
        <w:rPr>
          <w:rFonts w:hint="eastAsia"/>
        </w:rPr>
        <w:t>一切由执行合同引起的或与本合同有关的争执，双方应通过友好协商解决，如协商不能解决应提交甲方所在地有管辖权的人民法院诉讼解决。</w:t>
      </w:r>
    </w:p>
    <w:p>
      <w:pPr>
        <w:pStyle w:val="54"/>
        <w:numPr>
          <w:ilvl w:val="0"/>
          <w:numId w:val="56"/>
        </w:numPr>
        <w:wordWrap w:val="0"/>
        <w:spacing w:before="78" w:beforeLines="25" w:line="360" w:lineRule="auto"/>
        <w:ind w:left="993" w:hanging="513" w:firstLineChars="0"/>
        <w:rPr>
          <w:rFonts w:cs="Helvetica"/>
          <w:b/>
          <w:szCs w:val="24"/>
          <w:lang w:val="zh-CN"/>
        </w:rPr>
      </w:pPr>
      <w:r>
        <w:rPr>
          <w:rFonts w:hint="eastAsia" w:cs="Helvetica"/>
          <w:b/>
          <w:szCs w:val="24"/>
          <w:lang w:val="zh-CN"/>
        </w:rPr>
        <w:t>合同组成</w:t>
      </w:r>
    </w:p>
    <w:p>
      <w:pPr>
        <w:wordWrap w:val="0"/>
        <w:spacing w:before="78" w:beforeLines="25" w:line="360" w:lineRule="auto"/>
        <w:ind w:firstLine="960" w:firstLineChars="400"/>
        <w:rPr>
          <w:rFonts w:cs="Helvetica"/>
          <w:szCs w:val="24"/>
          <w:lang w:val="zh-CN"/>
        </w:rPr>
      </w:pPr>
      <w:r>
        <w:rPr>
          <w:rFonts w:hint="eastAsia"/>
        </w:rPr>
        <w:t>下列文件为本合同不可分割的部分：</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1.</w:t>
      </w:r>
      <w:r>
        <w:rPr>
          <w:rFonts w:hint="eastAsia"/>
          <w:lang w:val="zh-CN"/>
        </w:rPr>
        <w:t>合同书；</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w:t>
      </w:r>
      <w:r>
        <w:rPr>
          <w:rFonts w:hint="eastAsia"/>
          <w:lang w:val="zh-CN"/>
        </w:rPr>
        <w:t>代理机构发出的中标或成交通知书；</w:t>
      </w:r>
      <w:r>
        <w:t xml:space="preserve"> </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3.</w:t>
      </w:r>
      <w:r>
        <w:rPr>
          <w:rFonts w:hint="eastAsia"/>
          <w:lang w:val="zh-CN"/>
        </w:rPr>
        <w:t>经双方确认并共同签字的补充文件、技术协议等；</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4.</w:t>
      </w:r>
      <w:r>
        <w:rPr>
          <w:rFonts w:hint="eastAsia"/>
          <w:lang w:val="zh-CN"/>
        </w:rPr>
        <w:t>乙方的投标或响应文件（含附件、补充文件、图纸等）；</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rPr>
          <w:lang w:val="zh-CN"/>
        </w:rPr>
      </w:pPr>
      <w:r>
        <w:rPr>
          <w:rFonts w:hint="eastAsia"/>
        </w:rPr>
        <w:t>5.</w:t>
      </w:r>
      <w:r>
        <w:rPr>
          <w:rFonts w:hint="eastAsia"/>
          <w:lang w:val="zh-CN"/>
        </w:rPr>
        <w:t>采购文件（含附件、补充文件、图纸等</w:t>
      </w:r>
      <w:r>
        <w:rPr>
          <w:rFonts w:hint="eastAsia"/>
        </w:rPr>
        <w:t>）。</w:t>
      </w:r>
    </w:p>
    <w:p>
      <w:pPr>
        <w:pStyle w:val="54"/>
        <w:numPr>
          <w:ilvl w:val="0"/>
          <w:numId w:val="56"/>
        </w:numPr>
        <w:wordWrap w:val="0"/>
        <w:spacing w:before="78" w:beforeLines="25" w:line="360" w:lineRule="auto"/>
        <w:ind w:firstLineChars="0"/>
        <w:rPr>
          <w:b/>
        </w:rPr>
      </w:pPr>
      <w:r>
        <w:rPr>
          <w:rFonts w:hint="eastAsia" w:cs="Helvetica"/>
          <w:b/>
          <w:szCs w:val="24"/>
          <w:lang w:val="zh-CN"/>
        </w:rPr>
        <w:t>合同生效与终止</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1.本合同经甲乙双方授权代表签字和加盖公章（或合同专用章）后生效。如招标申请公证的，合同需经公证机构公证后生效。</w:t>
      </w:r>
    </w:p>
    <w:p>
      <w:pPr>
        <w:numPr>
          <w:ilvl w:val="0"/>
          <w:numId w:val="0"/>
        </w:numPr>
        <w:tabs>
          <w:tab w:val="left" w:pos="980"/>
        </w:tabs>
        <w:wordWrap w:val="0"/>
        <w:autoSpaceDE w:val="0"/>
        <w:autoSpaceDN w:val="0"/>
        <w:spacing w:before="78" w:beforeLines="25" w:line="360" w:lineRule="auto"/>
        <w:ind w:firstLine="960" w:firstLineChars="400"/>
        <w:contextualSpacing/>
      </w:pPr>
      <w:r>
        <w:rPr>
          <w:rFonts w:hint="eastAsia"/>
        </w:rPr>
        <w:t>2.双方履行完各自权利和义务后合同自行终止。</w:t>
      </w:r>
    </w:p>
    <w:p>
      <w:pPr>
        <w:numPr>
          <w:ilvl w:val="0"/>
          <w:numId w:val="0"/>
        </w:numPr>
        <w:tabs>
          <w:tab w:val="left" w:pos="980"/>
        </w:tabs>
        <w:wordWrap w:val="0"/>
        <w:autoSpaceDE w:val="0"/>
        <w:autoSpaceDN w:val="0"/>
        <w:spacing w:before="78" w:beforeLines="25" w:line="360" w:lineRule="auto"/>
        <w:ind w:firstLine="960" w:firstLineChars="400"/>
        <w:contextualSpacing/>
      </w:pPr>
      <w:r>
        <w:rPr>
          <w:rFonts w:hint="eastAsia"/>
        </w:rPr>
        <w:t>3.本合同规定可以终止合同的情形。</w:t>
      </w:r>
    </w:p>
    <w:p>
      <w:pPr>
        <w:pStyle w:val="54"/>
        <w:numPr>
          <w:ilvl w:val="0"/>
          <w:numId w:val="56"/>
        </w:numPr>
        <w:wordWrap w:val="0"/>
        <w:spacing w:before="78" w:beforeLines="25" w:line="360" w:lineRule="auto"/>
        <w:ind w:firstLineChars="0"/>
        <w:rPr>
          <w:b/>
          <w:bCs/>
        </w:rPr>
      </w:pPr>
      <w:r>
        <w:rPr>
          <w:rFonts w:hint="eastAsia"/>
          <w:b/>
          <w:bCs/>
        </w:rPr>
        <w:t>通知与送达</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1.就本合同有关事项，双方应通过本合同约定的联系方式向对方发送相关通知，本合同约定的送达地址同时作为有效司法送达地址。</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2.一方变更通知或通讯地址，应自变更之日起</w:t>
      </w:r>
      <w:r>
        <w:rPr>
          <w:rFonts w:hint="eastAsia"/>
          <w:u w:val="single"/>
        </w:rPr>
        <w:t xml:space="preserve">    </w:t>
      </w:r>
      <w:r>
        <w:rPr>
          <w:rFonts w:hint="eastAsia"/>
        </w:rPr>
        <w:t>日内，以书面形式通知对方，否则，由未通知方承担由此而引起的相关责任。</w:t>
      </w:r>
    </w:p>
    <w:p>
      <w:pPr>
        <w:pStyle w:val="54"/>
        <w:numPr>
          <w:ilvl w:val="0"/>
          <w:numId w:val="56"/>
        </w:numPr>
        <w:wordWrap w:val="0"/>
        <w:spacing w:before="78" w:beforeLines="25" w:line="360" w:lineRule="auto"/>
        <w:ind w:firstLineChars="0"/>
        <w:rPr>
          <w:b/>
          <w:bCs/>
        </w:rPr>
      </w:pPr>
      <w:r>
        <w:rPr>
          <w:rFonts w:hint="eastAsia"/>
          <w:b/>
          <w:bCs/>
        </w:rPr>
        <w:t>其它</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r>
        <w:rPr>
          <w:rFonts w:hint="eastAsia"/>
        </w:rPr>
        <w:t>本合同正本一式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份；副本一式</w:t>
      </w:r>
      <w:r>
        <w:rPr>
          <w:rFonts w:hint="eastAsia"/>
          <w:u w:val="single"/>
        </w:rPr>
        <w:t xml:space="preserve">  　</w:t>
      </w:r>
      <w:r>
        <w:rPr>
          <w:rFonts w:hint="eastAsia"/>
        </w:rPr>
        <w:t>份，甲方执</w:t>
      </w:r>
      <w:r>
        <w:rPr>
          <w:rFonts w:hint="eastAsia"/>
          <w:u w:val="single"/>
        </w:rPr>
        <w:t xml:space="preserve">  　</w:t>
      </w:r>
      <w:r>
        <w:rPr>
          <w:rFonts w:hint="eastAsia"/>
        </w:rPr>
        <w:t>份，乙方执</w:t>
      </w:r>
      <w:r>
        <w:rPr>
          <w:rFonts w:hint="eastAsia"/>
          <w:u w:val="single"/>
        </w:rPr>
        <w:t xml:space="preserve">  　</w:t>
      </w:r>
      <w:r>
        <w:rPr>
          <w:rFonts w:hint="eastAsia"/>
        </w:rPr>
        <w:t>份。</w:t>
      </w:r>
    </w:p>
    <w:p>
      <w:pPr>
        <w:numPr>
          <w:ilvl w:val="0"/>
          <w:numId w:val="0"/>
        </w:numPr>
        <w:tabs>
          <w:tab w:val="left" w:pos="980"/>
        </w:tabs>
        <w:wordWrap w:val="0"/>
        <w:autoSpaceDE w:val="0"/>
        <w:autoSpaceDN w:val="0"/>
        <w:spacing w:before="78" w:beforeLines="25" w:line="360" w:lineRule="auto"/>
        <w:ind w:left="547" w:leftChars="228" w:firstLine="480" w:firstLineChars="200"/>
        <w:contextualSpacing/>
      </w:pPr>
    </w:p>
    <w:p>
      <w:pPr>
        <w:wordWrap w:val="0"/>
        <w:spacing w:before="78" w:beforeLines="25" w:line="360" w:lineRule="auto"/>
        <w:ind w:firstLine="489" w:firstLineChars="204"/>
        <w:contextualSpacing/>
        <w:jc w:val="left"/>
      </w:pPr>
      <w:r>
        <w:rPr>
          <w:rFonts w:hint="eastAsia"/>
        </w:rPr>
        <w:t xml:space="preserve">    </w:t>
      </w:r>
    </w:p>
    <w:p>
      <w:pPr>
        <w:wordWrap w:val="0"/>
        <w:spacing w:before="78" w:beforeLines="25" w:line="360" w:lineRule="auto"/>
        <w:ind w:firstLine="969" w:firstLineChars="404"/>
        <w:contextualSpacing/>
        <w:jc w:val="left"/>
      </w:pPr>
      <w:r>
        <w:rPr>
          <w:rFonts w:hint="eastAsia"/>
        </w:rPr>
        <w:t>甲　　方：</w:t>
      </w:r>
      <w:r>
        <w:rPr>
          <w:rFonts w:hint="eastAsia"/>
        </w:rPr>
        <w:tab/>
      </w:r>
      <w:r>
        <w:rPr>
          <w:rFonts w:hint="eastAsia"/>
        </w:rPr>
        <w:t xml:space="preserve">                         乙　　方：</w:t>
      </w:r>
    </w:p>
    <w:p>
      <w:pPr>
        <w:wordWrap w:val="0"/>
        <w:spacing w:before="78" w:beforeLines="25" w:line="360" w:lineRule="auto"/>
        <w:ind w:firstLine="969" w:firstLineChars="404"/>
        <w:contextualSpacing/>
        <w:jc w:val="left"/>
      </w:pPr>
      <w:r>
        <w:rPr>
          <w:rFonts w:hint="eastAsia"/>
        </w:rPr>
        <w:t>单位名称（盖章）：</w:t>
      </w:r>
      <w:r>
        <w:rPr>
          <w:rFonts w:hint="eastAsia"/>
        </w:rPr>
        <w:tab/>
      </w:r>
      <w:r>
        <w:rPr>
          <w:rFonts w:hint="eastAsia"/>
        </w:rPr>
        <w:t xml:space="preserve">                  单位名称（盖章）：</w:t>
      </w:r>
    </w:p>
    <w:p>
      <w:pPr>
        <w:wordWrap w:val="0"/>
        <w:spacing w:before="78" w:beforeLines="25" w:line="360" w:lineRule="auto"/>
        <w:ind w:firstLine="969" w:firstLineChars="404"/>
        <w:contextualSpacing/>
        <w:jc w:val="left"/>
      </w:pPr>
      <w:r>
        <w:rPr>
          <w:rFonts w:hint="eastAsia"/>
        </w:rPr>
        <w:t>单位地址：</w:t>
      </w:r>
      <w:r>
        <w:rPr>
          <w:rFonts w:hint="eastAsia"/>
        </w:rPr>
        <w:tab/>
      </w:r>
      <w:r>
        <w:rPr>
          <w:rFonts w:hint="eastAsia"/>
        </w:rPr>
        <w:t xml:space="preserve">                         单位地址：</w:t>
      </w:r>
    </w:p>
    <w:p>
      <w:pPr>
        <w:wordWrap w:val="0"/>
        <w:spacing w:before="78" w:beforeLines="25" w:line="360" w:lineRule="auto"/>
        <w:ind w:firstLine="969" w:firstLineChars="404"/>
        <w:contextualSpacing/>
        <w:jc w:val="left"/>
      </w:pPr>
      <w:r>
        <w:rPr>
          <w:rFonts w:hint="eastAsia"/>
        </w:rPr>
        <w:t>法人代表授权人</w:t>
      </w:r>
      <w:r>
        <w:rPr>
          <w:rFonts w:hint="eastAsia"/>
          <w:lang w:eastAsia="zh-CN"/>
        </w:rPr>
        <w:t>（</w:t>
      </w:r>
      <w:r>
        <w:rPr>
          <w:rFonts w:hint="eastAsia"/>
        </w:rPr>
        <w:t>签字</w:t>
      </w:r>
      <w:r>
        <w:rPr>
          <w:rFonts w:hint="eastAsia"/>
          <w:lang w:eastAsia="zh-CN"/>
        </w:rPr>
        <w:t>）</w:t>
      </w:r>
      <w:r>
        <w:rPr>
          <w:rFonts w:hint="eastAsia"/>
        </w:rPr>
        <w:t xml:space="preserve">：             </w:t>
      </w:r>
      <w:r>
        <w:rPr>
          <w:rFonts w:hint="eastAsia"/>
        </w:rPr>
        <w:tab/>
      </w:r>
      <w:r>
        <w:rPr>
          <w:rFonts w:hint="eastAsia"/>
        </w:rPr>
        <w:t>法人代表授权人</w:t>
      </w:r>
      <w:r>
        <w:rPr>
          <w:rFonts w:hint="eastAsia"/>
          <w:lang w:eastAsia="zh-CN"/>
        </w:rPr>
        <w:t>（</w:t>
      </w:r>
      <w:r>
        <w:rPr>
          <w:rFonts w:hint="eastAsia"/>
        </w:rPr>
        <w:t>签字</w:t>
      </w:r>
      <w:r>
        <w:rPr>
          <w:rFonts w:hint="eastAsia"/>
          <w:lang w:eastAsia="zh-CN"/>
        </w:rPr>
        <w:t>）</w:t>
      </w:r>
      <w:r>
        <w:rPr>
          <w:rFonts w:hint="eastAsia"/>
        </w:rPr>
        <w:t>：</w:t>
      </w:r>
    </w:p>
    <w:p>
      <w:pPr>
        <w:wordWrap w:val="0"/>
        <w:spacing w:before="78" w:beforeLines="25" w:line="360" w:lineRule="auto"/>
        <w:ind w:firstLine="969" w:firstLineChars="404"/>
        <w:contextualSpacing/>
        <w:jc w:val="left"/>
      </w:pPr>
      <w:r>
        <w:rPr>
          <w:rFonts w:hint="eastAsia"/>
        </w:rPr>
        <w:t>联 系 人：</w:t>
      </w:r>
      <w:r>
        <w:rPr>
          <w:rFonts w:hint="eastAsia"/>
        </w:rPr>
        <w:tab/>
      </w:r>
      <w:r>
        <w:rPr>
          <w:rFonts w:hint="eastAsia"/>
        </w:rPr>
        <w:t xml:space="preserve">                         联 系 人：</w:t>
      </w:r>
    </w:p>
    <w:p>
      <w:pPr>
        <w:wordWrap w:val="0"/>
        <w:spacing w:before="78" w:beforeLines="25" w:line="360" w:lineRule="auto"/>
        <w:ind w:firstLine="969" w:firstLineChars="404"/>
        <w:contextualSpacing/>
        <w:jc w:val="left"/>
      </w:pPr>
      <w:r>
        <w:rPr>
          <w:rFonts w:hint="eastAsia"/>
        </w:rPr>
        <w:t xml:space="preserve">电　　话：                         </w:t>
      </w:r>
      <w:r>
        <w:rPr>
          <w:rFonts w:hint="eastAsia"/>
        </w:rPr>
        <w:tab/>
      </w:r>
      <w:r>
        <w:rPr>
          <w:rFonts w:hint="eastAsia"/>
        </w:rPr>
        <w:t>电　　话：</w:t>
      </w:r>
    </w:p>
    <w:p>
      <w:pPr>
        <w:wordWrap w:val="0"/>
        <w:spacing w:before="78" w:beforeLines="25" w:line="360" w:lineRule="auto"/>
        <w:ind w:firstLine="969" w:firstLineChars="404"/>
        <w:contextualSpacing/>
        <w:jc w:val="left"/>
      </w:pPr>
      <w:r>
        <w:rPr>
          <w:rFonts w:hint="eastAsia"/>
        </w:rPr>
        <w:t xml:space="preserve">传　　真：                         </w:t>
      </w:r>
      <w:r>
        <w:rPr>
          <w:rFonts w:hint="eastAsia"/>
        </w:rPr>
        <w:tab/>
      </w:r>
      <w:r>
        <w:rPr>
          <w:rFonts w:hint="eastAsia"/>
        </w:rPr>
        <w:t>传　　真：</w:t>
      </w:r>
    </w:p>
    <w:p>
      <w:pPr>
        <w:wordWrap w:val="0"/>
        <w:spacing w:before="78" w:beforeLines="25" w:line="360" w:lineRule="auto"/>
        <w:ind w:firstLine="969" w:firstLineChars="404"/>
        <w:contextualSpacing/>
        <w:jc w:val="left"/>
      </w:pPr>
      <w:r>
        <w:rPr>
          <w:rFonts w:hint="eastAsia"/>
        </w:rPr>
        <w:t xml:space="preserve">邮政编码：                         </w:t>
      </w:r>
      <w:r>
        <w:rPr>
          <w:rFonts w:hint="eastAsia"/>
        </w:rPr>
        <w:tab/>
      </w:r>
      <w:r>
        <w:rPr>
          <w:rFonts w:hint="eastAsia"/>
        </w:rPr>
        <w:t>邮政编码：</w:t>
      </w:r>
    </w:p>
    <w:p>
      <w:pPr>
        <w:wordWrap w:val="0"/>
        <w:spacing w:before="78" w:beforeLines="25" w:line="360" w:lineRule="auto"/>
        <w:ind w:firstLine="969" w:firstLineChars="404"/>
        <w:contextualSpacing/>
        <w:jc w:val="left"/>
      </w:pPr>
      <w:r>
        <w:rPr>
          <w:rFonts w:hint="eastAsia"/>
        </w:rPr>
        <w:t xml:space="preserve">开户银行：                         </w:t>
      </w:r>
      <w:r>
        <w:rPr>
          <w:rFonts w:hint="eastAsia"/>
        </w:rPr>
        <w:tab/>
      </w:r>
      <w:r>
        <w:rPr>
          <w:rFonts w:hint="eastAsia"/>
        </w:rPr>
        <w:t>开户银行：</w:t>
      </w:r>
    </w:p>
    <w:p>
      <w:pPr>
        <w:wordWrap w:val="0"/>
        <w:spacing w:before="78" w:beforeLines="25" w:line="360" w:lineRule="auto"/>
        <w:ind w:firstLine="969" w:firstLineChars="404"/>
        <w:contextualSpacing/>
        <w:jc w:val="left"/>
      </w:pPr>
      <w:r>
        <w:rPr>
          <w:rFonts w:hint="eastAsia"/>
        </w:rPr>
        <w:t xml:space="preserve">帐　　号：                         </w:t>
      </w:r>
      <w:r>
        <w:rPr>
          <w:rFonts w:hint="eastAsia"/>
        </w:rPr>
        <w:tab/>
      </w:r>
      <w:r>
        <w:rPr>
          <w:rFonts w:hint="eastAsia"/>
        </w:rPr>
        <w:t>帐　　号：</w:t>
      </w:r>
    </w:p>
    <w:p>
      <w:pPr>
        <w:wordWrap w:val="0"/>
        <w:spacing w:before="78" w:beforeLines="25" w:line="360" w:lineRule="auto"/>
        <w:ind w:firstLine="969" w:firstLineChars="404"/>
        <w:contextualSpacing/>
        <w:jc w:val="left"/>
      </w:pPr>
      <w:r>
        <w:rPr>
          <w:rFonts w:hint="eastAsia"/>
        </w:rPr>
        <w:t xml:space="preserve">税　　号：                         </w:t>
      </w:r>
      <w:r>
        <w:rPr>
          <w:rFonts w:hint="eastAsia"/>
        </w:rPr>
        <w:tab/>
      </w:r>
      <w:r>
        <w:rPr>
          <w:rFonts w:hint="eastAsia"/>
        </w:rPr>
        <w:t>税　　号：</w:t>
      </w:r>
    </w:p>
    <w:p>
      <w:pPr>
        <w:wordWrap w:val="0"/>
        <w:spacing w:line="360" w:lineRule="auto"/>
        <w:ind w:firstLine="480" w:firstLineChars="200"/>
        <w:rPr>
          <w:strike/>
          <w:szCs w:val="24"/>
        </w:rPr>
      </w:pPr>
    </w:p>
    <w:p>
      <w:pPr>
        <w:widowControl/>
        <w:tabs>
          <w:tab w:val="right" w:leader="dot" w:pos="9514"/>
        </w:tabs>
        <w:wordWrap w:val="0"/>
        <w:spacing w:line="360" w:lineRule="auto"/>
        <w:jc w:val="left"/>
        <w:rPr>
          <w:b/>
          <w:iCs/>
          <w:sz w:val="28"/>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p>
    <w:p>
      <w:pPr>
        <w:pStyle w:val="2"/>
        <w:numPr>
          <w:ilvl w:val="0"/>
          <w:numId w:val="1"/>
        </w:numPr>
        <w:tabs>
          <w:tab w:val="left" w:pos="1276"/>
        </w:tabs>
        <w:wordWrap w:val="0"/>
        <w:spacing w:before="120" w:after="120" w:line="360" w:lineRule="auto"/>
        <w:ind w:left="723" w:hanging="723" w:hangingChars="200"/>
        <w:jc w:val="center"/>
        <w:rPr>
          <w:sz w:val="36"/>
          <w:szCs w:val="36"/>
        </w:rPr>
      </w:pPr>
      <w:bookmarkStart w:id="522" w:name="_Toc102119891"/>
      <w:bookmarkStart w:id="523" w:name="_Toc30495"/>
      <w:bookmarkStart w:id="524" w:name="_Toc102116060"/>
      <w:bookmarkStart w:id="525" w:name="_Toc102057756"/>
      <w:bookmarkStart w:id="526" w:name="_Toc102114958"/>
      <w:bookmarkStart w:id="527" w:name="_Toc494702264"/>
      <w:bookmarkStart w:id="528" w:name="_Toc494721094"/>
      <w:bookmarkStart w:id="529" w:name="_Toc494745311"/>
      <w:bookmarkStart w:id="530" w:name="_Toc102056256"/>
      <w:bookmarkStart w:id="531" w:name="_Toc102116190"/>
      <w:bookmarkStart w:id="532" w:name="_Toc494665547"/>
      <w:bookmarkStart w:id="533" w:name="_Toc494665944"/>
      <w:bookmarkStart w:id="534" w:name="_Toc511894521"/>
      <w:bookmarkStart w:id="535" w:name="_Toc117244373"/>
      <w:bookmarkStart w:id="536" w:name="_Toc117244488"/>
      <w:bookmarkStart w:id="537" w:name="_Toc494664994"/>
      <w:r>
        <w:rPr>
          <w:rFonts w:hint="eastAsia"/>
          <w:sz w:val="36"/>
          <w:szCs w:val="36"/>
        </w:rPr>
        <w:t>投标文件格式（参考）</w:t>
      </w:r>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p>
    <w:p>
      <w:pPr>
        <w:wordWrap w:val="0"/>
        <w:spacing w:line="360" w:lineRule="auto"/>
      </w:pPr>
    </w:p>
    <w:p>
      <w:pPr>
        <w:wordWrap w:val="0"/>
        <w:spacing w:line="360" w:lineRule="auto"/>
        <w:jc w:val="center"/>
        <w:rPr>
          <w:b/>
          <w:sz w:val="96"/>
          <w:szCs w:val="96"/>
        </w:rPr>
      </w:pPr>
      <w:r>
        <w:rPr>
          <w:rFonts w:hint="eastAsia"/>
          <w:b/>
          <w:sz w:val="96"/>
          <w:szCs w:val="96"/>
          <w:lang w:eastAsia="zh-CN"/>
        </w:rPr>
        <w:t>黄冈市</w:t>
      </w:r>
      <w:r>
        <w:rPr>
          <w:rFonts w:hint="eastAsia"/>
          <w:b/>
          <w:sz w:val="96"/>
          <w:szCs w:val="96"/>
        </w:rPr>
        <w:t>政府采购</w:t>
      </w:r>
    </w:p>
    <w:p>
      <w:pPr>
        <w:spacing w:line="360" w:lineRule="auto"/>
        <w:rPr>
          <w:sz w:val="72"/>
          <w:szCs w:val="72"/>
        </w:rPr>
      </w:pPr>
    </w:p>
    <w:p>
      <w:pPr>
        <w:wordWrap w:val="0"/>
        <w:spacing w:after="624" w:afterLines="200" w:line="360" w:lineRule="auto"/>
        <w:jc w:val="center"/>
        <w:rPr>
          <w:b/>
          <w:sz w:val="120"/>
          <w:szCs w:val="120"/>
        </w:rPr>
      </w:pPr>
      <w:r>
        <w:rPr>
          <w:rFonts w:hint="eastAsia"/>
          <w:b/>
          <w:sz w:val="120"/>
          <w:szCs w:val="120"/>
        </w:rPr>
        <w:t>投 标 文 件</w:t>
      </w:r>
    </w:p>
    <w:p>
      <w:pPr>
        <w:spacing w:line="360" w:lineRule="auto"/>
        <w:ind w:left="2241" w:leftChars="619" w:right="1486" w:rightChars="619" w:hanging="755" w:hangingChars="209"/>
        <w:jc w:val="left"/>
        <w:rPr>
          <w:b/>
          <w:bCs/>
          <w:sz w:val="36"/>
          <w:szCs w:val="24"/>
        </w:rPr>
      </w:pPr>
    </w:p>
    <w:p>
      <w:pPr>
        <w:spacing w:line="360" w:lineRule="auto"/>
        <w:jc w:val="left"/>
      </w:pPr>
      <w:r>
        <w:rPr>
          <w:rFonts w:hint="eastAsia"/>
        </w:rPr>
        <w:t xml:space="preserve">           </w:t>
      </w:r>
    </w:p>
    <w:p>
      <w:pPr>
        <w:wordWrap w:val="0"/>
        <w:spacing w:line="360" w:lineRule="auto"/>
        <w:ind w:firstLine="1687" w:firstLineChars="600"/>
        <w:rPr>
          <w:b/>
          <w:bCs/>
          <w:sz w:val="28"/>
          <w:szCs w:val="28"/>
        </w:rPr>
      </w:pPr>
      <w:r>
        <w:rPr>
          <w:rFonts w:hint="eastAsia"/>
          <w:b/>
          <w:bCs/>
          <w:sz w:val="28"/>
          <w:szCs w:val="28"/>
        </w:rPr>
        <w:t>项目编号：</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p>
    <w:p>
      <w:pPr>
        <w:wordWrap w:val="0"/>
        <w:spacing w:line="360" w:lineRule="auto"/>
        <w:ind w:firstLine="1687" w:firstLineChars="600"/>
        <w:rPr>
          <w:b/>
          <w:bCs/>
          <w:sz w:val="28"/>
          <w:szCs w:val="28"/>
          <w:lang w:val="zh-CN"/>
        </w:rPr>
      </w:pPr>
      <w:r>
        <w:rPr>
          <w:rFonts w:hint="eastAsia"/>
          <w:b/>
          <w:bCs/>
          <w:sz w:val="28"/>
          <w:szCs w:val="28"/>
        </w:rPr>
        <w:t>项目名称：</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p>
    <w:p>
      <w:pPr>
        <w:wordWrap w:val="0"/>
        <w:spacing w:line="360" w:lineRule="auto"/>
        <w:ind w:firstLine="1687" w:firstLineChars="600"/>
        <w:rPr>
          <w:b/>
          <w:sz w:val="36"/>
          <w:szCs w:val="36"/>
        </w:rPr>
      </w:pPr>
      <w:r>
        <w:rPr>
          <w:rFonts w:hint="eastAsia"/>
          <w:b/>
          <w:bCs/>
          <w:sz w:val="28"/>
          <w:szCs w:val="28"/>
        </w:rPr>
        <w:t>招标内容：</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r>
        <w:rPr>
          <w:b/>
          <w:sz w:val="28"/>
          <w:szCs w:val="28"/>
          <w:u w:val="single"/>
        </w:rPr>
        <w:t xml:space="preserve"> </w:t>
      </w:r>
      <w:r>
        <w:rPr>
          <w:rFonts w:hint="eastAsia"/>
          <w:b/>
          <w:sz w:val="28"/>
          <w:szCs w:val="28"/>
          <w:u w:val="single"/>
        </w:rPr>
        <w:t xml:space="preserve">   </w:t>
      </w:r>
      <w:r>
        <w:rPr>
          <w:rFonts w:hint="eastAsia"/>
          <w:b/>
          <w:sz w:val="36"/>
          <w:szCs w:val="36"/>
          <w:u w:val="single"/>
        </w:rPr>
        <w:t xml:space="preserve"> </w:t>
      </w: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left="2018" w:leftChars="841" w:right="1471" w:rightChars="613" w:firstLine="1606" w:firstLineChars="500"/>
        <w:rPr>
          <w:b/>
          <w:bCs/>
          <w:sz w:val="32"/>
          <w:szCs w:val="32"/>
        </w:rPr>
      </w:pPr>
    </w:p>
    <w:p>
      <w:pPr>
        <w:wordWrap w:val="0"/>
        <w:spacing w:line="360" w:lineRule="auto"/>
        <w:ind w:firstLine="1687" w:firstLineChars="600"/>
        <w:rPr>
          <w:b/>
          <w:bCs/>
          <w:sz w:val="28"/>
          <w:szCs w:val="28"/>
        </w:rPr>
      </w:pPr>
      <w:r>
        <w:rPr>
          <w:rFonts w:hint="eastAsia"/>
          <w:b/>
          <w:bCs/>
          <w:sz w:val="28"/>
          <w:szCs w:val="28"/>
        </w:rPr>
        <w:t>投标人（公章）：</w:t>
      </w:r>
      <w:r>
        <w:rPr>
          <w:rFonts w:hint="eastAsia"/>
          <w:b/>
          <w:bCs/>
          <w:sz w:val="28"/>
          <w:szCs w:val="28"/>
          <w:u w:val="single"/>
        </w:rPr>
        <w:t xml:space="preserve">          </w:t>
      </w:r>
      <w:r>
        <w:rPr>
          <w:b/>
          <w:bCs/>
          <w:sz w:val="28"/>
          <w:szCs w:val="28"/>
          <w:u w:val="single"/>
        </w:rPr>
        <w:t xml:space="preserve">      </w:t>
      </w:r>
      <w:r>
        <w:rPr>
          <w:rFonts w:hint="eastAsia"/>
          <w:b/>
          <w:bCs/>
          <w:sz w:val="28"/>
          <w:szCs w:val="28"/>
          <w:u w:val="single"/>
        </w:rPr>
        <w:t xml:space="preserve">     </w:t>
      </w:r>
      <w:r>
        <w:rPr>
          <w:b/>
          <w:bCs/>
          <w:sz w:val="28"/>
          <w:szCs w:val="28"/>
          <w:u w:val="single"/>
        </w:rPr>
        <w:t xml:space="preserve"> </w:t>
      </w:r>
      <w:r>
        <w:rPr>
          <w:rFonts w:hint="eastAsia"/>
          <w:b/>
          <w:bCs/>
          <w:sz w:val="28"/>
          <w:szCs w:val="28"/>
          <w:u w:val="single"/>
        </w:rPr>
        <w:t xml:space="preserve">      </w:t>
      </w:r>
    </w:p>
    <w:p>
      <w:pPr>
        <w:wordWrap w:val="0"/>
        <w:spacing w:before="312" w:beforeLines="100" w:after="312" w:afterLines="100" w:line="360" w:lineRule="auto"/>
        <w:ind w:left="2116" w:leftChars="466" w:right="466" w:hanging="998" w:hangingChars="355"/>
        <w:jc w:val="center"/>
        <w:rPr>
          <w:b/>
          <w:sz w:val="28"/>
          <w:szCs w:val="28"/>
        </w:rPr>
      </w:pPr>
      <w:r>
        <w:rPr>
          <w:rFonts w:hint="eastAsia"/>
          <w:b/>
          <w:bCs/>
          <w:sz w:val="28"/>
          <w:szCs w:val="28"/>
        </w:rPr>
        <w:t xml:space="preserve">二〇   </w:t>
      </w:r>
      <w:r>
        <w:rPr>
          <w:rFonts w:hint="eastAsia"/>
          <w:b/>
          <w:sz w:val="28"/>
          <w:szCs w:val="28"/>
        </w:rPr>
        <w:t>年  月</w:t>
      </w:r>
    </w:p>
    <w:p>
      <w:pPr>
        <w:pStyle w:val="11"/>
        <w:jc w:val="center"/>
        <w:outlineLvl w:val="1"/>
        <w:rPr>
          <w:b/>
          <w:bCs/>
          <w:sz w:val="36"/>
          <w:szCs w:val="36"/>
          <w:lang w:val="zh-CN"/>
        </w:rPr>
      </w:pPr>
      <w:r>
        <w:br w:type="page"/>
      </w:r>
      <w:bookmarkStart w:id="538" w:name="_Toc25690"/>
      <w:bookmarkStart w:id="539" w:name="_Toc117244489"/>
      <w:bookmarkStart w:id="540" w:name="_Toc117244374"/>
      <w:r>
        <w:rPr>
          <w:rFonts w:hint="eastAsia"/>
          <w:b/>
          <w:bCs/>
          <w:sz w:val="36"/>
          <w:szCs w:val="36"/>
          <w:lang w:val="zh-CN"/>
        </w:rPr>
        <w:t>目   录</w:t>
      </w:r>
      <w:bookmarkEnd w:id="538"/>
      <w:bookmarkEnd w:id="539"/>
      <w:bookmarkEnd w:id="540"/>
    </w:p>
    <w:p>
      <w:pPr>
        <w:wordWrap w:val="0"/>
        <w:spacing w:line="360" w:lineRule="auto"/>
        <w:ind w:firstLine="480" w:firstLineChars="200"/>
        <w:jc w:val="left"/>
        <w:rPr>
          <w:rFonts w:ascii="楷体" w:hAnsi="楷体" w:eastAsia="楷体"/>
          <w:bCs/>
          <w:szCs w:val="24"/>
          <w:lang w:val="zh-CN"/>
        </w:rPr>
      </w:pPr>
      <w:bookmarkStart w:id="541" w:name="_Toc494664998"/>
      <w:bookmarkStart w:id="542" w:name="_Toc102116063"/>
      <w:bookmarkStart w:id="543" w:name="_Toc494665948"/>
      <w:bookmarkStart w:id="544" w:name="_Toc102056259"/>
      <w:bookmarkStart w:id="545" w:name="_Toc102114961"/>
      <w:bookmarkStart w:id="546" w:name="_Toc494665551"/>
      <w:bookmarkStart w:id="547" w:name="_Toc494745315"/>
      <w:bookmarkStart w:id="548" w:name="_Toc494702268"/>
      <w:bookmarkStart w:id="549" w:name="_Toc102119894"/>
      <w:bookmarkStart w:id="550" w:name="_Toc102057759"/>
      <w:bookmarkStart w:id="551" w:name="_Toc494721098"/>
      <w:bookmarkStart w:id="552" w:name="_Toc511894525"/>
      <w:bookmarkStart w:id="553" w:name="_Toc102116193"/>
      <w:r>
        <w:rPr>
          <w:rFonts w:hint="eastAsia" w:ascii="楷体" w:hAnsi="楷体" w:eastAsia="楷体"/>
          <w:bCs/>
          <w:szCs w:val="24"/>
          <w:lang w:val="zh-CN"/>
        </w:rPr>
        <w:t>（应当包括但不限于第一部分</w:t>
      </w:r>
      <w:r>
        <w:rPr>
          <w:rFonts w:ascii="楷体" w:hAnsi="楷体" w:eastAsia="楷体"/>
          <w:bCs/>
          <w:szCs w:val="24"/>
          <w:lang w:val="zh-CN"/>
        </w:rPr>
        <w:t xml:space="preserve"> 资格证明文件</w:t>
      </w:r>
      <w:r>
        <w:rPr>
          <w:rFonts w:hint="eastAsia" w:ascii="楷体" w:hAnsi="楷体" w:eastAsia="楷体"/>
          <w:bCs/>
          <w:szCs w:val="24"/>
          <w:lang w:val="zh-CN"/>
        </w:rPr>
        <w:t>、</w:t>
      </w:r>
      <w:r>
        <w:rPr>
          <w:rFonts w:ascii="楷体" w:hAnsi="楷体" w:eastAsia="楷体"/>
          <w:bCs/>
          <w:szCs w:val="24"/>
          <w:lang w:val="zh-CN"/>
        </w:rPr>
        <w:t>第二部分商务技术文件的内容，编制的详细目录应能链接到</w:t>
      </w:r>
      <w:r>
        <w:rPr>
          <w:rFonts w:hint="eastAsia" w:ascii="楷体" w:hAnsi="楷体" w:eastAsia="楷体"/>
          <w:bCs/>
          <w:szCs w:val="24"/>
          <w:lang w:val="zh-CN"/>
        </w:rPr>
        <w:t>投标</w:t>
      </w:r>
      <w:r>
        <w:rPr>
          <w:rFonts w:ascii="楷体" w:hAnsi="楷体" w:eastAsia="楷体"/>
          <w:bCs/>
          <w:szCs w:val="24"/>
          <w:lang w:val="zh-CN"/>
        </w:rPr>
        <w:t>文件对应章节内容，且具有文档结构图。设置方法：在Word中设置相应章节的段落大纲级别；查看方法：打开Word视图中的“导航窗格”后能看到各章节。</w:t>
      </w:r>
      <w:r>
        <w:rPr>
          <w:rFonts w:hint="eastAsia" w:ascii="楷体" w:hAnsi="楷体" w:eastAsia="楷体"/>
          <w:b/>
          <w:bCs w:val="0"/>
          <w:szCs w:val="24"/>
          <w:lang w:val="zh-CN"/>
        </w:rPr>
        <w:t>特别说明：若项目未分包，包号填写“</w:t>
      </w:r>
      <w:r>
        <w:rPr>
          <w:rFonts w:hint="eastAsia" w:ascii="楷体" w:hAnsi="楷体" w:eastAsia="楷体"/>
          <w:b/>
          <w:bCs w:val="0"/>
          <w:szCs w:val="24"/>
          <w:lang w:val="en-US" w:eastAsia="zh-CN"/>
        </w:rPr>
        <w:t>0包</w:t>
      </w:r>
      <w:r>
        <w:rPr>
          <w:rFonts w:hint="eastAsia" w:ascii="楷体" w:hAnsi="楷体" w:eastAsia="楷体"/>
          <w:b/>
          <w:bCs w:val="0"/>
          <w:szCs w:val="24"/>
          <w:lang w:val="zh-CN"/>
        </w:rPr>
        <w:t>”即可，若有分包，则填写所投包段的包号。</w:t>
      </w:r>
      <w:r>
        <w:rPr>
          <w:rFonts w:hint="eastAsia" w:ascii="楷体" w:hAnsi="楷体" w:eastAsia="楷体"/>
          <w:bCs/>
          <w:szCs w:val="24"/>
          <w:lang w:val="zh-CN"/>
        </w:rPr>
        <w:t>）</w:t>
      </w:r>
    </w:p>
    <w:p>
      <w:pPr>
        <w:pStyle w:val="11"/>
        <w:rPr>
          <w:rFonts w:hint="eastAsia"/>
          <w:szCs w:val="24"/>
          <w:lang w:val="zh-CN"/>
        </w:rPr>
      </w:pPr>
    </w:p>
    <w:p>
      <w:pPr>
        <w:wordWrap w:val="0"/>
        <w:spacing w:line="360" w:lineRule="auto"/>
        <w:ind w:left="426"/>
        <w:rPr>
          <w:bCs/>
        </w:rPr>
      </w:pPr>
      <w:bookmarkStart w:id="554" w:name="_Toc107561297"/>
    </w:p>
    <w:p>
      <w:pPr>
        <w:rPr>
          <w:rFonts w:hint="eastAsia" w:ascii="宋体" w:hAnsi="宋体" w:eastAsia="宋体" w:cs="Times New Roman"/>
          <w:bCs w:val="0"/>
        </w:rPr>
      </w:pPr>
      <w:bookmarkStart w:id="555" w:name="_Toc107561296"/>
      <w:bookmarkStart w:id="556" w:name="_Toc117244491"/>
      <w:bookmarkStart w:id="557" w:name="_Toc117244376"/>
      <w:r>
        <w:rPr>
          <w:rFonts w:hint="eastAsia" w:ascii="宋体" w:hAnsi="宋体" w:eastAsia="宋体" w:cs="Times New Roman"/>
          <w:bCs w:val="0"/>
        </w:rPr>
        <w:br w:type="page"/>
      </w:r>
    </w:p>
    <w:p>
      <w:pPr>
        <w:pStyle w:val="3"/>
        <w:tabs>
          <w:tab w:val="left" w:pos="567"/>
        </w:tabs>
        <w:spacing w:before="0" w:after="0" w:line="360" w:lineRule="auto"/>
        <w:ind w:left="420"/>
        <w:jc w:val="center"/>
        <w:rPr>
          <w:rFonts w:hint="eastAsia" w:ascii="宋体" w:hAnsi="宋体" w:eastAsia="宋体" w:cs="Times New Roman"/>
          <w:bCs w:val="0"/>
        </w:rPr>
      </w:pPr>
      <w:bookmarkStart w:id="558" w:name="_Toc11746"/>
      <w:r>
        <w:rPr>
          <w:rFonts w:hint="eastAsia" w:ascii="宋体" w:hAnsi="宋体" w:eastAsia="宋体" w:cs="Times New Roman"/>
          <w:bCs w:val="0"/>
        </w:rPr>
        <w:t>第</w:t>
      </w:r>
      <w:r>
        <w:rPr>
          <w:rFonts w:ascii="宋体" w:hAnsi="宋体" w:eastAsia="宋体" w:cs="Times New Roman"/>
          <w:bCs w:val="0"/>
        </w:rPr>
        <w:t>一部分</w:t>
      </w:r>
      <w:r>
        <w:rPr>
          <w:rFonts w:hint="eastAsia" w:ascii="宋体" w:hAnsi="宋体" w:eastAsia="宋体" w:cs="Times New Roman"/>
          <w:bCs w:val="0"/>
        </w:rPr>
        <w:t xml:space="preserve"> 资格</w:t>
      </w:r>
      <w:r>
        <w:rPr>
          <w:rFonts w:ascii="宋体" w:hAnsi="宋体" w:eastAsia="宋体" w:cs="Times New Roman"/>
          <w:bCs w:val="0"/>
        </w:rPr>
        <w:t>证明文件</w:t>
      </w:r>
      <w:bookmarkEnd w:id="558"/>
    </w:p>
    <w:p>
      <w:pPr>
        <w:pStyle w:val="3"/>
        <w:numPr>
          <w:ilvl w:val="0"/>
          <w:numId w:val="57"/>
        </w:numPr>
        <w:tabs>
          <w:tab w:val="left" w:pos="567"/>
        </w:tabs>
        <w:spacing w:before="0" w:after="0" w:line="360" w:lineRule="auto"/>
        <w:jc w:val="left"/>
        <w:rPr>
          <w:rFonts w:ascii="宋体" w:hAnsi="宋体" w:eastAsia="宋体" w:cs="Times New Roman"/>
          <w:bCs w:val="0"/>
          <w:sz w:val="24"/>
          <w:szCs w:val="24"/>
        </w:rPr>
      </w:pPr>
      <w:bookmarkStart w:id="559" w:name="_Toc25489"/>
      <w:r>
        <w:rPr>
          <w:rFonts w:hint="eastAsia" w:ascii="宋体" w:hAnsi="宋体" w:eastAsia="宋体" w:cs="Times New Roman"/>
          <w:bCs w:val="0"/>
          <w:sz w:val="24"/>
          <w:szCs w:val="24"/>
        </w:rPr>
        <w:t>资格审查对照表</w:t>
      </w:r>
      <w:bookmarkEnd w:id="555"/>
      <w:bookmarkEnd w:id="556"/>
      <w:bookmarkEnd w:id="557"/>
      <w:bookmarkEnd w:id="559"/>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773"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07"/>
        <w:gridCol w:w="3814"/>
        <w:gridCol w:w="3829"/>
        <w:gridCol w:w="115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56" w:hRule="atLeast"/>
          <w:jc w:val="center"/>
        </w:trPr>
        <w:tc>
          <w:tcPr>
            <w:tcW w:w="2350" w:type="pct"/>
            <w:gridSpan w:val="2"/>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招标文件资格审查标准</w:t>
            </w:r>
          </w:p>
        </w:tc>
        <w:tc>
          <w:tcPr>
            <w:tcW w:w="2035"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615"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23" w:type="pct"/>
            <w:tcBorders>
              <w:top w:val="single" w:color="auto" w:sz="4" w:space="0"/>
            </w:tcBorders>
            <w:shd w:val="pct10" w:color="C3BD96" w:fill="DDD9C4"/>
            <w:noWrap w:val="0"/>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2027" w:type="pct"/>
            <w:tcBorders>
              <w:top w:val="single" w:color="auto" w:sz="4" w:space="0"/>
            </w:tcBorders>
            <w:shd w:val="pct10" w:color="C3BD96" w:fill="DDD9C4"/>
            <w:noWrap w:val="0"/>
            <w:vAlign w:val="center"/>
          </w:tcPr>
          <w:p>
            <w:pPr>
              <w:wordWrap w:val="0"/>
              <w:spacing w:before="100" w:beforeAutospacing="1" w:after="100" w:afterAutospacing="1" w:line="360" w:lineRule="auto"/>
              <w:ind w:right="-60" w:rightChars="-25"/>
              <w:jc w:val="center"/>
              <w:rPr>
                <w:rFonts w:cs="仿宋_GB2312"/>
                <w:szCs w:val="24"/>
              </w:rPr>
            </w:pPr>
            <w:r>
              <w:rPr>
                <w:rFonts w:hint="eastAsia" w:cs="仿宋_GB2312"/>
                <w:szCs w:val="24"/>
              </w:rPr>
              <w:t>审查内容</w:t>
            </w:r>
          </w:p>
        </w:tc>
        <w:tc>
          <w:tcPr>
            <w:tcW w:w="2035" w:type="pct"/>
            <w:vMerge w:val="continue"/>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5" w:type="pct"/>
            <w:vMerge w:val="continue"/>
            <w:shd w:val="pct10" w:color="C3BD96" w:fill="DDD9C4"/>
            <w:noWrap w:val="0"/>
            <w:vAlign w:val="top"/>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8" w:hRule="atLeast"/>
          <w:jc w:val="center"/>
        </w:trPr>
        <w:tc>
          <w:tcPr>
            <w:tcW w:w="323" w:type="pct"/>
            <w:noWrap w:val="0"/>
            <w:vAlign w:val="center"/>
          </w:tcPr>
          <w:p>
            <w:pPr>
              <w:numPr>
                <w:ilvl w:val="0"/>
                <w:numId w:val="58"/>
              </w:numPr>
              <w:tabs>
                <w:tab w:val="left" w:pos="61"/>
              </w:tabs>
              <w:wordWrap w:val="0"/>
              <w:adjustRightInd w:val="0"/>
              <w:snapToGrid w:val="0"/>
              <w:spacing w:line="360" w:lineRule="auto"/>
              <w:ind w:left="-72" w:leftChars="-30" w:firstLine="0"/>
              <w:jc w:val="center"/>
            </w:pPr>
          </w:p>
        </w:tc>
        <w:tc>
          <w:tcPr>
            <w:tcW w:w="2027" w:type="pct"/>
            <w:noWrap w:val="0"/>
            <w:vAlign w:val="center"/>
          </w:tcPr>
          <w:p>
            <w:pPr>
              <w:wordWrap w:val="0"/>
              <w:spacing w:line="360" w:lineRule="auto"/>
              <w:jc w:val="center"/>
              <w:rPr>
                <w:rFonts w:cs="仿宋_GB2312"/>
                <w:szCs w:val="24"/>
              </w:rPr>
            </w:pPr>
          </w:p>
        </w:tc>
        <w:tc>
          <w:tcPr>
            <w:tcW w:w="2035" w:type="pct"/>
            <w:noWrap w:val="0"/>
            <w:vAlign w:val="center"/>
          </w:tcPr>
          <w:p>
            <w:p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62" w:hRule="atLeast"/>
          <w:jc w:val="center"/>
        </w:trPr>
        <w:tc>
          <w:tcPr>
            <w:tcW w:w="323" w:type="pct"/>
            <w:noWrap w:val="0"/>
            <w:vAlign w:val="center"/>
          </w:tcPr>
          <w:p>
            <w:pPr>
              <w:numPr>
                <w:ilvl w:val="0"/>
                <w:numId w:val="58"/>
              </w:numPr>
              <w:tabs>
                <w:tab w:val="left" w:pos="61"/>
              </w:tabs>
              <w:wordWrap w:val="0"/>
              <w:adjustRightInd w:val="0"/>
              <w:snapToGrid w:val="0"/>
              <w:spacing w:line="360" w:lineRule="auto"/>
              <w:ind w:left="-72" w:leftChars="-30" w:firstLine="0"/>
              <w:jc w:val="center"/>
            </w:pPr>
          </w:p>
        </w:tc>
        <w:tc>
          <w:tcPr>
            <w:tcW w:w="2027" w:type="pct"/>
            <w:noWrap w:val="0"/>
            <w:vAlign w:val="center"/>
          </w:tcPr>
          <w:p>
            <w:pPr>
              <w:wordWrap w:val="0"/>
              <w:spacing w:line="360" w:lineRule="auto"/>
              <w:jc w:val="center"/>
              <w:rPr>
                <w:rFonts w:cs="仿宋_GB2312"/>
                <w:szCs w:val="24"/>
              </w:rPr>
            </w:pPr>
          </w:p>
        </w:tc>
        <w:tc>
          <w:tcPr>
            <w:tcW w:w="2035" w:type="pct"/>
            <w:noWrap w:val="0"/>
            <w:vAlign w:val="center"/>
          </w:tcPr>
          <w:p>
            <w:p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5" w:hRule="atLeast"/>
          <w:jc w:val="center"/>
        </w:trPr>
        <w:tc>
          <w:tcPr>
            <w:tcW w:w="323" w:type="pct"/>
            <w:noWrap w:val="0"/>
            <w:vAlign w:val="center"/>
          </w:tcPr>
          <w:p>
            <w:pPr>
              <w:numPr>
                <w:ilvl w:val="0"/>
                <w:numId w:val="58"/>
              </w:numPr>
              <w:tabs>
                <w:tab w:val="left" w:pos="61"/>
              </w:tabs>
              <w:wordWrap w:val="0"/>
              <w:adjustRightInd w:val="0"/>
              <w:snapToGrid w:val="0"/>
              <w:spacing w:line="360" w:lineRule="auto"/>
              <w:ind w:left="-72" w:leftChars="-30" w:firstLine="0"/>
              <w:jc w:val="center"/>
            </w:pPr>
          </w:p>
        </w:tc>
        <w:tc>
          <w:tcPr>
            <w:tcW w:w="2027" w:type="pct"/>
            <w:noWrap w:val="0"/>
            <w:vAlign w:val="center"/>
          </w:tcPr>
          <w:p>
            <w:pPr>
              <w:wordWrap w:val="0"/>
              <w:spacing w:line="360" w:lineRule="auto"/>
              <w:jc w:val="center"/>
              <w:rPr>
                <w:rFonts w:cs="仿宋_GB2312"/>
                <w:szCs w:val="24"/>
              </w:rPr>
            </w:pPr>
          </w:p>
        </w:tc>
        <w:tc>
          <w:tcPr>
            <w:tcW w:w="2035" w:type="pct"/>
            <w:noWrap w:val="0"/>
            <w:vAlign w:val="center"/>
          </w:tcPr>
          <w:p>
            <w:p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91" w:hRule="atLeast"/>
          <w:jc w:val="center"/>
        </w:trPr>
        <w:tc>
          <w:tcPr>
            <w:tcW w:w="323" w:type="pct"/>
            <w:noWrap w:val="0"/>
            <w:vAlign w:val="center"/>
          </w:tcPr>
          <w:p>
            <w:pPr>
              <w:wordWrap w:val="0"/>
              <w:spacing w:line="360" w:lineRule="auto"/>
              <w:jc w:val="center"/>
              <w:rPr>
                <w:rFonts w:cs="仿宋_GB2312"/>
                <w:szCs w:val="24"/>
              </w:rPr>
            </w:pPr>
            <w:r>
              <w:rPr>
                <w:rFonts w:hint="eastAsia" w:cs="仿宋_GB2312"/>
                <w:szCs w:val="24"/>
              </w:rPr>
              <w:t>…</w:t>
            </w:r>
          </w:p>
        </w:tc>
        <w:tc>
          <w:tcPr>
            <w:tcW w:w="2027" w:type="pct"/>
            <w:noWrap w:val="0"/>
            <w:vAlign w:val="center"/>
          </w:tcPr>
          <w:p>
            <w:pPr>
              <w:wordWrap w:val="0"/>
              <w:spacing w:line="360" w:lineRule="auto"/>
              <w:jc w:val="center"/>
              <w:rPr>
                <w:rFonts w:cs="仿宋_GB2312"/>
                <w:szCs w:val="24"/>
              </w:rPr>
            </w:pPr>
          </w:p>
        </w:tc>
        <w:tc>
          <w:tcPr>
            <w:tcW w:w="2035" w:type="pct"/>
            <w:noWrap w:val="0"/>
            <w:vAlign w:val="center"/>
          </w:tcPr>
          <w:p>
            <w:pPr>
              <w:wordWrap w:val="0"/>
              <w:spacing w:line="360" w:lineRule="auto"/>
              <w:jc w:val="center"/>
              <w:rPr>
                <w:rFonts w:cs="仿宋_GB2312"/>
                <w:szCs w:val="24"/>
              </w:rPr>
            </w:pPr>
            <w:r>
              <w:rPr>
                <w:rFonts w:hint="eastAsia" w:cs="宋体"/>
                <w:szCs w:val="24"/>
              </w:rPr>
              <w:t>……</w:t>
            </w:r>
          </w:p>
        </w:tc>
        <w:tc>
          <w:tcPr>
            <w:tcW w:w="615" w:type="pct"/>
            <w:noWrap w:val="0"/>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b/>
          <w:szCs w:val="24"/>
        </w:rPr>
      </w:pPr>
      <w:r>
        <w:rPr>
          <w:rFonts w:hint="eastAsia"/>
          <w:b/>
          <w:szCs w:val="24"/>
        </w:rPr>
        <w:t>说明</w:t>
      </w:r>
      <w:r>
        <w:rPr>
          <w:rFonts w:hint="eastAsia" w:cs="Corbel"/>
          <w:b/>
          <w:szCs w:val="24"/>
        </w:rPr>
        <w:t>：</w:t>
      </w:r>
      <w:r>
        <w:rPr>
          <w:rFonts w:hint="eastAsia" w:cs="Corbel"/>
          <w:szCs w:val="24"/>
        </w:rPr>
        <w:t>1</w:t>
      </w:r>
      <w:r>
        <w:rPr>
          <w:rFonts w:hint="eastAsia"/>
          <w:szCs w:val="24"/>
        </w:rPr>
        <w:t>、</w:t>
      </w:r>
      <w:r>
        <w:rPr>
          <w:rFonts w:hint="eastAsia" w:cs="Corbel"/>
          <w:szCs w:val="24"/>
        </w:rPr>
        <w:t>应按招标文件“第四章 资格审查”中</w:t>
      </w:r>
      <w:r>
        <w:rPr>
          <w:rFonts w:cs="Corbel"/>
          <w:szCs w:val="24"/>
        </w:rPr>
        <w:t>“资格审查标准”</w:t>
      </w:r>
      <w:r>
        <w:rPr>
          <w:rFonts w:hint="eastAsia" w:cs="Corbel"/>
          <w:szCs w:val="24"/>
        </w:rPr>
        <w:t>逐项在“投标文件响应的内容”栏中进行响应说明。未按照要求填写此表或在“投标文件响应的内容”栏中仅注明“符合”、“满足”的，导致的后果由投标人自行承担</w:t>
      </w:r>
      <w:r>
        <w:rPr>
          <w:rFonts w:hint="eastAsia"/>
          <w:szCs w:val="24"/>
        </w:rPr>
        <w:t>。</w:t>
      </w:r>
    </w:p>
    <w:p>
      <w:pPr>
        <w:wordWrap w:val="0"/>
        <w:spacing w:line="360" w:lineRule="auto"/>
        <w:ind w:left="1133" w:leftChars="299" w:hanging="415" w:hangingChars="173"/>
        <w:jc w:val="left"/>
        <w:rPr>
          <w:b/>
          <w:szCs w:val="24"/>
        </w:rPr>
      </w:pPr>
      <w:r>
        <w:rPr>
          <w:rFonts w:hint="eastAsia" w:cs="Corbel"/>
          <w:szCs w:val="24"/>
        </w:rPr>
        <w:t>2、</w:t>
      </w:r>
      <w:r>
        <w:rPr>
          <w:rFonts w:hint="eastAsia"/>
          <w:szCs w:val="24"/>
        </w:rPr>
        <w:t>应将对应</w:t>
      </w:r>
      <w:r>
        <w:rPr>
          <w:rFonts w:hint="eastAsia" w:cs="Corbel"/>
          <w:szCs w:val="24"/>
        </w:rPr>
        <w:t>响</w:t>
      </w:r>
      <w:r>
        <w:rPr>
          <w:rFonts w:hint="eastAsia"/>
          <w:szCs w:val="24"/>
        </w:rPr>
        <w:t>应内容的页码（多页的，起码和止码）填写到上表“投标文件对应页码”栏中。未提供准确页码或对应内容不一致的，导致的后果由投标人自行承担。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u w:val="single"/>
        </w:rPr>
      </w:pPr>
      <w:r>
        <w:rPr>
          <w:rFonts w:hint="eastAsia"/>
          <w:szCs w:val="24"/>
        </w:rPr>
        <w:t>日   期：</w:t>
      </w:r>
      <w:r>
        <w:rPr>
          <w:rFonts w:hint="eastAsia"/>
          <w:bCs/>
          <w:u w:val="single"/>
        </w:rPr>
        <w:t xml:space="preserve">                                   </w:t>
      </w:r>
    </w:p>
    <w:bookmarkEnd w:id="554"/>
    <w:p>
      <w:pPr>
        <w:wordWrap w:val="0"/>
        <w:spacing w:line="360" w:lineRule="auto"/>
        <w:rPr>
          <w:rFonts w:hint="eastAsia" w:ascii="宋体" w:hAnsi="宋体" w:cs="宋体"/>
          <w:sz w:val="28"/>
          <w:szCs w:val="28"/>
          <w:highlight w:val="none"/>
        </w:rPr>
      </w:pPr>
      <w:bookmarkStart w:id="560" w:name="_Toc107561299"/>
      <w:bookmarkStart w:id="561" w:name="_Toc117244493"/>
      <w:bookmarkStart w:id="562" w:name="_Toc117244378"/>
      <w:r>
        <w:rPr>
          <w:rFonts w:hint="eastAsia" w:ascii="宋体" w:hAnsi="宋体" w:cs="宋体"/>
          <w:sz w:val="28"/>
          <w:szCs w:val="28"/>
          <w:highlight w:val="none"/>
        </w:rPr>
        <w:t xml:space="preserve">    </w:t>
      </w:r>
    </w:p>
    <w:p>
      <w:pPr>
        <w:rPr>
          <w:rFonts w:ascii="宋体" w:hAnsi="宋体" w:eastAsia="宋体" w:cs="Times New Roman"/>
          <w:bCs w:val="0"/>
          <w:sz w:val="24"/>
          <w:szCs w:val="24"/>
        </w:rPr>
      </w:pPr>
      <w:r>
        <w:rPr>
          <w:rFonts w:ascii="宋体" w:hAnsi="宋体" w:eastAsia="宋体" w:cs="Times New Roman"/>
          <w:bCs w:val="0"/>
          <w:sz w:val="24"/>
          <w:szCs w:val="24"/>
        </w:rPr>
        <w:br w:type="page"/>
      </w:r>
    </w:p>
    <w:p>
      <w:pPr>
        <w:spacing w:line="440" w:lineRule="exact"/>
        <w:jc w:val="center"/>
        <w:rPr>
          <w:rFonts w:ascii="宋体" w:hAnsi="宋体" w:eastAsia="宋体" w:cs="Times New Roman"/>
          <w:bCs w:val="0"/>
          <w:sz w:val="24"/>
          <w:szCs w:val="24"/>
        </w:rPr>
      </w:pPr>
    </w:p>
    <w:p>
      <w:pPr>
        <w:pStyle w:val="3"/>
        <w:numPr>
          <w:ilvl w:val="0"/>
          <w:numId w:val="57"/>
        </w:numPr>
        <w:tabs>
          <w:tab w:val="left" w:pos="567"/>
        </w:tabs>
        <w:spacing w:before="0" w:after="0" w:line="360" w:lineRule="auto"/>
        <w:jc w:val="left"/>
        <w:rPr>
          <w:rFonts w:hint="eastAsia" w:ascii="宋体" w:hAnsi="宋体" w:eastAsia="宋体" w:cs="Times New Roman"/>
          <w:bCs w:val="0"/>
          <w:sz w:val="24"/>
          <w:szCs w:val="24"/>
        </w:rPr>
      </w:pPr>
      <w:bookmarkStart w:id="563" w:name="_Toc31201"/>
      <w:r>
        <w:rPr>
          <w:rFonts w:hint="eastAsia" w:ascii="宋体" w:hAnsi="宋体" w:eastAsia="宋体" w:cs="Times New Roman"/>
          <w:bCs w:val="0"/>
          <w:sz w:val="24"/>
          <w:szCs w:val="24"/>
        </w:rPr>
        <w:t>参加政府采购活动前三年内在经营活动中没有重大违法记录的书面声明函</w:t>
      </w:r>
      <w:bookmarkEnd w:id="563"/>
    </w:p>
    <w:p>
      <w:pPr>
        <w:spacing w:line="440" w:lineRule="exact"/>
        <w:rPr>
          <w:rFonts w:hint="eastAsia" w:ascii="宋体" w:hAnsi="宋体" w:cs="宋体"/>
          <w:sz w:val="24"/>
          <w:szCs w:val="24"/>
          <w:highlight w:val="none"/>
        </w:rPr>
      </w:pPr>
      <w:r>
        <w:rPr>
          <w:rFonts w:hint="eastAsia" w:cs="宋体"/>
          <w:sz w:val="24"/>
          <w:szCs w:val="24"/>
          <w:highlight w:val="none"/>
          <w:lang w:eastAsia="zh-CN"/>
        </w:rPr>
        <w:t>湖北齐兴会计师事务有限公司</w:t>
      </w:r>
      <w:r>
        <w:rPr>
          <w:rFonts w:hint="eastAsia" w:ascii="宋体" w:hAnsi="宋体" w:cs="宋体"/>
          <w:sz w:val="24"/>
          <w:szCs w:val="24"/>
          <w:highlight w:val="none"/>
        </w:rPr>
        <w:t>：</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u w:val="single"/>
        </w:rPr>
        <w:t xml:space="preserve">  （投标人全称）  </w:t>
      </w:r>
      <w:r>
        <w:rPr>
          <w:rFonts w:hint="eastAsia" w:ascii="宋体" w:hAnsi="宋体" w:cs="宋体"/>
          <w:sz w:val="24"/>
          <w:szCs w:val="24"/>
          <w:highlight w:val="none"/>
        </w:rPr>
        <w:t>参加贵公司组织的</w:t>
      </w:r>
      <w:r>
        <w:rPr>
          <w:rFonts w:hint="eastAsia" w:ascii="宋体" w:hAnsi="宋体" w:cs="宋体"/>
          <w:sz w:val="24"/>
          <w:szCs w:val="24"/>
          <w:highlight w:val="none"/>
          <w:u w:val="single"/>
        </w:rPr>
        <w:t xml:space="preserve"> （项目名称） </w:t>
      </w:r>
      <w:r>
        <w:rPr>
          <w:rFonts w:hint="eastAsia" w:ascii="宋体" w:hAnsi="宋体" w:cs="宋体"/>
          <w:sz w:val="24"/>
          <w:szCs w:val="24"/>
          <w:highlight w:val="none"/>
        </w:rPr>
        <w:t>项目（项目编号：</w:t>
      </w:r>
      <w:r>
        <w:rPr>
          <w:rFonts w:hint="eastAsia" w:ascii="宋体" w:hAnsi="宋体" w:cs="宋体"/>
          <w:sz w:val="24"/>
          <w:szCs w:val="24"/>
          <w:highlight w:val="none"/>
          <w:u w:val="single"/>
        </w:rPr>
        <w:t xml:space="preserve">          </w:t>
      </w:r>
      <w:r>
        <w:rPr>
          <w:rFonts w:hint="eastAsia" w:ascii="宋体" w:hAnsi="宋体" w:cs="宋体"/>
          <w:sz w:val="24"/>
          <w:szCs w:val="24"/>
          <w:highlight w:val="none"/>
        </w:rPr>
        <w:t>）的政府采购活动，根据采购文件的规定提交相关资格证明文件。本单位郑重声明如下：</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1.参加本项目政府采购活动前三年内，本单位未因违法经营受到刑事处罚或者责令停产停业、吊销许可证或者执照、较大数额罚款（根据各地方、各部门明确的听证范围确定较大数额罚款的额度）等行政处罚；</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2.参加本项目政府采购活动前三年内，本单位未受到过全国各级人民政府财政部门依法作出的禁止参加政府采购活动等行政处罚决定；</w:t>
      </w:r>
    </w:p>
    <w:p>
      <w:pPr>
        <w:spacing w:line="440" w:lineRule="exact"/>
        <w:ind w:firstLine="480" w:firstLineChars="200"/>
        <w:rPr>
          <w:rFonts w:hint="eastAsia" w:ascii="宋体" w:hAnsi="宋体" w:cs="宋体"/>
          <w:sz w:val="24"/>
          <w:szCs w:val="24"/>
          <w:highlight w:val="none"/>
        </w:rPr>
      </w:pPr>
      <w:r>
        <w:rPr>
          <w:rFonts w:hint="eastAsia" w:ascii="宋体" w:hAnsi="宋体" w:cs="宋体"/>
          <w:sz w:val="24"/>
          <w:szCs w:val="24"/>
          <w:highlight w:val="none"/>
        </w:rPr>
        <w:t>3.如上述声明内容不实，本单位自愿接受政府采购监管部门按照《政府采购法》关于提供虚假材料的规定给予处罚，并承担一切法律后果。</w:t>
      </w:r>
    </w:p>
    <w:p>
      <w:pPr>
        <w:wordWrap w:val="0"/>
        <w:spacing w:before="100" w:beforeAutospacing="1" w:after="100" w:afterAutospacing="1" w:line="360" w:lineRule="auto"/>
        <w:ind w:left="2880" w:leftChars="1200" w:firstLine="436" w:firstLineChars="1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left="2880" w:leftChars="1200" w:firstLine="436" w:firstLineChars="182"/>
        <w:rPr>
          <w:lang w:val="zh-CN"/>
        </w:rPr>
      </w:pPr>
      <w:r>
        <w:rPr>
          <w:rFonts w:hint="eastAsia"/>
          <w:szCs w:val="24"/>
        </w:rPr>
        <w:t>日   期：</w:t>
      </w:r>
      <w:r>
        <w:rPr>
          <w:rFonts w:hint="eastAsia"/>
          <w:bCs/>
          <w:szCs w:val="21"/>
          <w:u w:val="single"/>
          <w:lang w:val="zh-CN"/>
        </w:rPr>
        <w:t xml:space="preserve">                                     </w:t>
      </w:r>
    </w:p>
    <w:p>
      <w:pPr>
        <w:pStyle w:val="3"/>
        <w:numPr>
          <w:ilvl w:val="0"/>
          <w:numId w:val="57"/>
        </w:numPr>
        <w:tabs>
          <w:tab w:val="left" w:pos="567"/>
        </w:tabs>
        <w:spacing w:before="0" w:after="0" w:line="360" w:lineRule="auto"/>
        <w:jc w:val="left"/>
        <w:rPr>
          <w:rFonts w:ascii="宋体" w:hAnsi="宋体" w:eastAsia="宋体" w:cs="Times New Roman"/>
          <w:bCs w:val="0"/>
          <w:sz w:val="24"/>
          <w:szCs w:val="24"/>
        </w:rPr>
      </w:pPr>
      <w:bookmarkStart w:id="564" w:name="_Toc1606"/>
      <w:r>
        <w:rPr>
          <w:rFonts w:hint="eastAsia" w:ascii="宋体" w:hAnsi="宋体" w:eastAsia="宋体" w:cs="Times New Roman"/>
          <w:bCs w:val="0"/>
          <w:sz w:val="24"/>
          <w:szCs w:val="24"/>
        </w:rPr>
        <w:t>未与有关系的其它投标人参加同一合同采购活动的声明函</w:t>
      </w:r>
      <w:bookmarkEnd w:id="560"/>
      <w:bookmarkEnd w:id="561"/>
      <w:bookmarkEnd w:id="562"/>
      <w:bookmarkEnd w:id="564"/>
    </w:p>
    <w:p>
      <w:pPr>
        <w:wordWrap w:val="0"/>
        <w:spacing w:line="360" w:lineRule="auto"/>
        <w:ind w:firstLine="480" w:firstLineChars="200"/>
        <w:rPr>
          <w:bCs/>
          <w:szCs w:val="24"/>
        </w:rPr>
      </w:pPr>
      <w:r>
        <w:rPr>
          <w:rFonts w:hint="eastAsia"/>
          <w:bCs/>
          <w:szCs w:val="24"/>
        </w:rPr>
        <w:t>本公司参加</w:t>
      </w:r>
      <w:r>
        <w:rPr>
          <w:rFonts w:hint="eastAsia"/>
          <w:bCs/>
          <w:szCs w:val="24"/>
          <w:lang w:eastAsia="zh-CN"/>
        </w:rPr>
        <w:t>贵公司</w:t>
      </w:r>
      <w:r>
        <w:rPr>
          <w:rFonts w:hint="eastAsia"/>
          <w:bCs/>
          <w:szCs w:val="24"/>
        </w:rPr>
        <w:t>组织的</w:t>
      </w:r>
      <w:r>
        <w:rPr>
          <w:rFonts w:hint="eastAsia"/>
          <w:bCs/>
          <w:szCs w:val="24"/>
          <w:u w:val="single"/>
        </w:rPr>
        <w:t xml:space="preserve"> </w:t>
      </w:r>
      <w:r>
        <w:rPr>
          <w:rFonts w:hint="eastAsia"/>
          <w:i/>
          <w:szCs w:val="24"/>
          <w:u w:val="single"/>
        </w:rPr>
        <w:t>（项目名称）</w:t>
      </w:r>
      <w:r>
        <w:rPr>
          <w:rFonts w:hint="eastAsia"/>
          <w:bCs/>
          <w:szCs w:val="24"/>
          <w:u w:val="single"/>
        </w:rPr>
        <w:t xml:space="preserve"> </w:t>
      </w:r>
      <w:r>
        <w:rPr>
          <w:rFonts w:hint="eastAsia"/>
          <w:bCs/>
          <w:szCs w:val="24"/>
        </w:rPr>
        <w:t>项目</w:t>
      </w:r>
      <w:r>
        <w:rPr>
          <w:rFonts w:hint="eastAsia"/>
          <w:bCs/>
          <w:szCs w:val="24"/>
          <w:lang w:eastAsia="zh-CN"/>
        </w:rPr>
        <w:t>（</w:t>
      </w:r>
      <w:r>
        <w:rPr>
          <w:rFonts w:hint="eastAsia"/>
          <w:bCs/>
          <w:szCs w:val="24"/>
        </w:rPr>
        <w:t>项目编号：</w:t>
      </w:r>
      <w:r>
        <w:rPr>
          <w:rFonts w:hint="eastAsia"/>
          <w:bCs/>
          <w:szCs w:val="24"/>
          <w:u w:val="single"/>
        </w:rPr>
        <w:t xml:space="preserve">          </w:t>
      </w:r>
      <w:r>
        <w:rPr>
          <w:rFonts w:hint="eastAsia"/>
          <w:bCs/>
          <w:szCs w:val="24"/>
          <w:lang w:eastAsia="zh-CN"/>
        </w:rPr>
        <w:t>）</w:t>
      </w:r>
      <w:r>
        <w:rPr>
          <w:rFonts w:hint="eastAsia"/>
          <w:bCs/>
          <w:szCs w:val="24"/>
        </w:rPr>
        <w:t>的政府采购活动，根据招标文件的规定提交相关资格证明文件。并郑重声明如下：</w:t>
      </w:r>
    </w:p>
    <w:p>
      <w:pPr>
        <w:numPr>
          <w:ilvl w:val="0"/>
          <w:numId w:val="59"/>
        </w:numPr>
        <w:tabs>
          <w:tab w:val="left" w:pos="0"/>
        </w:tabs>
        <w:wordWrap w:val="0"/>
        <w:spacing w:line="360" w:lineRule="auto"/>
        <w:ind w:left="709" w:hanging="227"/>
        <w:rPr>
          <w:szCs w:val="24"/>
        </w:rPr>
      </w:pPr>
      <w:r>
        <w:rPr>
          <w:rFonts w:hint="eastAsia"/>
          <w:szCs w:val="24"/>
        </w:rPr>
        <w:t>未与单位负责人为同一人或者存在直接控股、管理关系的其它投标人</w:t>
      </w:r>
      <w:r>
        <w:rPr>
          <w:rFonts w:hint="eastAsia" w:ascii="楷体" w:hAnsi="楷体" w:eastAsia="楷体"/>
          <w:bCs/>
          <w:szCs w:val="24"/>
        </w:rPr>
        <w:t>（含专门面向中小企业预留的采购项目或采购包，组成联合体或者接受分包合同的中小企业与联合体内其它企业、分包企业之间）</w:t>
      </w:r>
      <w:r>
        <w:rPr>
          <w:rFonts w:hint="eastAsia"/>
          <w:szCs w:val="24"/>
        </w:rPr>
        <w:t>，参加本项目同一合同项下的政府采购活动；</w:t>
      </w:r>
    </w:p>
    <w:p>
      <w:pPr>
        <w:numPr>
          <w:ilvl w:val="0"/>
          <w:numId w:val="59"/>
        </w:numPr>
        <w:tabs>
          <w:tab w:val="left" w:pos="0"/>
        </w:tabs>
        <w:wordWrap w:val="0"/>
        <w:spacing w:line="360" w:lineRule="auto"/>
        <w:ind w:left="709" w:hanging="227"/>
        <w:rPr>
          <w:szCs w:val="24"/>
        </w:rPr>
      </w:pPr>
      <w:r>
        <w:rPr>
          <w:rFonts w:hint="eastAsia"/>
          <w:szCs w:val="24"/>
        </w:rPr>
        <w:t>对上述声明内容的真实性负责。如有虚假，将依法承担相应责任。</w:t>
      </w:r>
    </w:p>
    <w:p>
      <w:pPr>
        <w:pStyle w:val="3"/>
        <w:numPr>
          <w:ilvl w:val="0"/>
          <w:numId w:val="57"/>
        </w:numPr>
        <w:tabs>
          <w:tab w:val="left" w:pos="567"/>
        </w:tabs>
        <w:spacing w:before="0" w:after="0" w:line="360" w:lineRule="auto"/>
        <w:jc w:val="left"/>
        <w:rPr>
          <w:rFonts w:ascii="宋体" w:hAnsi="宋体" w:eastAsia="宋体" w:cs="Times New Roman"/>
          <w:bCs w:val="0"/>
          <w:sz w:val="24"/>
          <w:szCs w:val="24"/>
        </w:rPr>
      </w:pPr>
      <w:bookmarkStart w:id="565" w:name="_Toc21193"/>
      <w:bookmarkStart w:id="566" w:name="_Toc117244379"/>
      <w:bookmarkStart w:id="567" w:name="_Toc117244494"/>
      <w:bookmarkStart w:id="568" w:name="_Toc107561300"/>
      <w:r>
        <w:rPr>
          <w:rFonts w:hint="eastAsia" w:ascii="宋体" w:hAnsi="宋体" w:eastAsia="宋体" w:cs="Times New Roman"/>
          <w:bCs w:val="0"/>
          <w:sz w:val="24"/>
          <w:szCs w:val="24"/>
        </w:rPr>
        <w:t>未为本项目提供相关服务的声明函</w:t>
      </w:r>
      <w:bookmarkEnd w:id="565"/>
      <w:bookmarkEnd w:id="566"/>
      <w:bookmarkEnd w:id="567"/>
      <w:bookmarkEnd w:id="568"/>
      <w:r>
        <w:rPr>
          <w:rFonts w:hint="eastAsia" w:ascii="宋体" w:hAnsi="宋体" w:eastAsia="宋体" w:cs="Times New Roman"/>
          <w:bCs w:val="0"/>
          <w:sz w:val="24"/>
          <w:szCs w:val="24"/>
        </w:rPr>
        <w:t xml:space="preserve"> </w:t>
      </w:r>
    </w:p>
    <w:p>
      <w:pPr>
        <w:wordWrap w:val="0"/>
        <w:spacing w:line="360" w:lineRule="auto"/>
        <w:ind w:firstLine="480" w:firstLineChars="200"/>
        <w:rPr>
          <w:bCs/>
          <w:szCs w:val="24"/>
        </w:rPr>
      </w:pPr>
      <w:r>
        <w:rPr>
          <w:rFonts w:hint="eastAsia"/>
          <w:bCs/>
          <w:szCs w:val="24"/>
        </w:rPr>
        <w:t>本公司参加</w:t>
      </w:r>
      <w:r>
        <w:rPr>
          <w:rFonts w:hint="eastAsia"/>
          <w:bCs/>
          <w:szCs w:val="24"/>
          <w:lang w:eastAsia="zh-CN"/>
        </w:rPr>
        <w:t>贵公司</w:t>
      </w:r>
      <w:r>
        <w:rPr>
          <w:rFonts w:hint="eastAsia"/>
          <w:bCs/>
          <w:szCs w:val="24"/>
        </w:rPr>
        <w:t>组织的</w:t>
      </w:r>
      <w:r>
        <w:rPr>
          <w:rFonts w:hint="eastAsia"/>
          <w:bCs/>
          <w:szCs w:val="24"/>
          <w:u w:val="single"/>
        </w:rPr>
        <w:t xml:space="preserve"> </w:t>
      </w:r>
      <w:r>
        <w:rPr>
          <w:rFonts w:hint="eastAsia"/>
          <w:i/>
          <w:szCs w:val="24"/>
          <w:u w:val="single"/>
        </w:rPr>
        <w:t>（项目名称）</w:t>
      </w:r>
      <w:r>
        <w:rPr>
          <w:rFonts w:hint="eastAsia"/>
          <w:bCs/>
          <w:szCs w:val="24"/>
          <w:u w:val="single"/>
        </w:rPr>
        <w:t xml:space="preserve"> </w:t>
      </w:r>
      <w:r>
        <w:rPr>
          <w:rFonts w:hint="eastAsia"/>
          <w:bCs/>
          <w:szCs w:val="24"/>
        </w:rPr>
        <w:t>项目</w:t>
      </w:r>
      <w:r>
        <w:rPr>
          <w:rFonts w:hint="eastAsia"/>
          <w:bCs/>
          <w:szCs w:val="24"/>
          <w:lang w:eastAsia="zh-CN"/>
        </w:rPr>
        <w:t>（</w:t>
      </w:r>
      <w:r>
        <w:rPr>
          <w:rFonts w:hint="eastAsia"/>
          <w:bCs/>
          <w:szCs w:val="24"/>
        </w:rPr>
        <w:t>项目编号：</w:t>
      </w:r>
      <w:r>
        <w:rPr>
          <w:rFonts w:hint="eastAsia"/>
          <w:bCs/>
          <w:szCs w:val="24"/>
          <w:u w:val="single"/>
        </w:rPr>
        <w:t xml:space="preserve">          </w:t>
      </w:r>
      <w:r>
        <w:rPr>
          <w:rFonts w:hint="eastAsia"/>
          <w:bCs/>
          <w:szCs w:val="24"/>
          <w:lang w:eastAsia="zh-CN"/>
        </w:rPr>
        <w:t>）</w:t>
      </w:r>
      <w:r>
        <w:rPr>
          <w:rFonts w:hint="eastAsia"/>
          <w:bCs/>
          <w:szCs w:val="24"/>
        </w:rPr>
        <w:t>的政府采购活动，根据招标文件的规定提交相关资格证明文件。并郑重声明如下：</w:t>
      </w:r>
    </w:p>
    <w:p>
      <w:pPr>
        <w:numPr>
          <w:ilvl w:val="0"/>
          <w:numId w:val="60"/>
        </w:numPr>
        <w:tabs>
          <w:tab w:val="left" w:pos="0"/>
        </w:tabs>
        <w:wordWrap w:val="0"/>
        <w:spacing w:line="360" w:lineRule="auto"/>
        <w:ind w:left="709" w:hanging="227"/>
        <w:rPr>
          <w:bCs/>
          <w:szCs w:val="24"/>
        </w:rPr>
      </w:pPr>
      <w:r>
        <w:rPr>
          <w:rFonts w:hint="eastAsia"/>
          <w:bCs/>
          <w:szCs w:val="24"/>
        </w:rPr>
        <w:t>未为本</w:t>
      </w:r>
      <w:r>
        <w:rPr>
          <w:rFonts w:hint="eastAsia"/>
          <w:szCs w:val="24"/>
        </w:rPr>
        <w:t>采购</w:t>
      </w:r>
      <w:r>
        <w:rPr>
          <w:rFonts w:hint="eastAsia"/>
          <w:bCs/>
          <w:szCs w:val="24"/>
        </w:rPr>
        <w:t>项目提供整体设计、规范编制或者项目管理、监理、检测等服务；</w:t>
      </w:r>
    </w:p>
    <w:p>
      <w:pPr>
        <w:numPr>
          <w:ilvl w:val="0"/>
          <w:numId w:val="60"/>
        </w:numPr>
        <w:tabs>
          <w:tab w:val="left" w:pos="0"/>
        </w:tabs>
        <w:wordWrap w:val="0"/>
        <w:spacing w:line="360" w:lineRule="auto"/>
        <w:ind w:left="709" w:hanging="227"/>
        <w:rPr>
          <w:bCs/>
          <w:szCs w:val="24"/>
        </w:rPr>
      </w:pPr>
      <w:r>
        <w:rPr>
          <w:rFonts w:hint="eastAsia"/>
          <w:bCs/>
          <w:szCs w:val="24"/>
        </w:rPr>
        <w:t>对上述声明内容的真实性负责。如有虚假，将依法承担相应责任。</w:t>
      </w: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1"/>
          <w:u w:val="single"/>
          <w:lang w:val="zh-CN"/>
        </w:rPr>
      </w:pPr>
      <w:r>
        <w:rPr>
          <w:rFonts w:hint="eastAsia"/>
          <w:szCs w:val="24"/>
        </w:rPr>
        <w:t>日   期：</w:t>
      </w:r>
      <w:r>
        <w:rPr>
          <w:rFonts w:hint="eastAsia"/>
          <w:bCs/>
          <w:szCs w:val="21"/>
          <w:u w:val="single"/>
          <w:lang w:val="zh-CN"/>
        </w:rPr>
        <w:t xml:space="preserve">                                     </w:t>
      </w:r>
    </w:p>
    <w:p>
      <w:pPr>
        <w:pStyle w:val="3"/>
        <w:numPr>
          <w:ilvl w:val="0"/>
          <w:numId w:val="57"/>
        </w:numPr>
        <w:tabs>
          <w:tab w:val="left" w:pos="567"/>
        </w:tabs>
        <w:spacing w:before="0" w:after="0" w:line="360" w:lineRule="auto"/>
        <w:jc w:val="left"/>
        <w:rPr>
          <w:rFonts w:ascii="宋体" w:hAnsi="宋体" w:cs="Times New Roman"/>
          <w:bCs w:val="0"/>
          <w:sz w:val="28"/>
          <w:szCs w:val="28"/>
        </w:rPr>
      </w:pPr>
      <w:bookmarkStart w:id="569" w:name="_Toc14614"/>
      <w:bookmarkStart w:id="570" w:name="_Toc107561301"/>
      <w:bookmarkStart w:id="571" w:name="_Toc117244380"/>
      <w:bookmarkStart w:id="572" w:name="_Toc117244495"/>
      <w:r>
        <w:rPr>
          <w:rFonts w:hint="eastAsia" w:ascii="宋体" w:hAnsi="宋体" w:eastAsia="宋体" w:cs="Times New Roman"/>
          <w:bCs w:val="0"/>
          <w:sz w:val="24"/>
          <w:szCs w:val="24"/>
        </w:rPr>
        <w:t>未被列入违法失信行为记录名单的声明函</w:t>
      </w:r>
      <w:bookmarkEnd w:id="569"/>
      <w:bookmarkEnd w:id="570"/>
    </w:p>
    <w:p>
      <w:pPr>
        <w:wordWrap w:val="0"/>
        <w:spacing w:line="360" w:lineRule="auto"/>
        <w:ind w:firstLine="480" w:firstLineChars="200"/>
        <w:rPr>
          <w:rFonts w:ascii="楷体" w:hAnsi="楷体" w:eastAsia="楷体"/>
          <w:bCs/>
          <w:sz w:val="28"/>
          <w:szCs w:val="28"/>
        </w:rPr>
      </w:pPr>
      <w:r>
        <w:rPr>
          <w:rFonts w:hint="eastAsia" w:ascii="楷体" w:hAnsi="楷体" w:eastAsia="楷体"/>
          <w:szCs w:val="24"/>
        </w:rPr>
        <w:t>（可不再提供其它证明材料）</w:t>
      </w:r>
      <w:bookmarkEnd w:id="571"/>
      <w:bookmarkEnd w:id="572"/>
    </w:p>
    <w:p>
      <w:pPr>
        <w:wordWrap w:val="0"/>
        <w:spacing w:line="360" w:lineRule="auto"/>
        <w:ind w:firstLine="480" w:firstLineChars="200"/>
        <w:rPr>
          <w:bCs/>
          <w:szCs w:val="24"/>
        </w:rPr>
      </w:pPr>
      <w:r>
        <w:rPr>
          <w:rFonts w:hint="eastAsia"/>
          <w:bCs/>
          <w:szCs w:val="24"/>
        </w:rPr>
        <w:t>本公司参加</w:t>
      </w:r>
      <w:r>
        <w:rPr>
          <w:rFonts w:hint="eastAsia"/>
          <w:bCs/>
          <w:szCs w:val="24"/>
          <w:lang w:eastAsia="zh-CN"/>
        </w:rPr>
        <w:t>贵公司</w:t>
      </w:r>
      <w:r>
        <w:rPr>
          <w:rFonts w:hint="eastAsia"/>
          <w:bCs/>
          <w:szCs w:val="24"/>
        </w:rPr>
        <w:t>组织的</w:t>
      </w:r>
      <w:r>
        <w:rPr>
          <w:rFonts w:hint="eastAsia"/>
          <w:bCs/>
          <w:szCs w:val="24"/>
          <w:u w:val="single"/>
        </w:rPr>
        <w:t xml:space="preserve"> </w:t>
      </w:r>
      <w:r>
        <w:rPr>
          <w:rFonts w:hint="eastAsia"/>
          <w:i/>
          <w:szCs w:val="24"/>
          <w:u w:val="single"/>
        </w:rPr>
        <w:t>（项目名称）</w:t>
      </w:r>
      <w:r>
        <w:rPr>
          <w:rFonts w:hint="eastAsia"/>
          <w:bCs/>
          <w:szCs w:val="24"/>
          <w:u w:val="single"/>
        </w:rPr>
        <w:t xml:space="preserve"> </w:t>
      </w:r>
      <w:r>
        <w:rPr>
          <w:rFonts w:hint="eastAsia"/>
          <w:bCs/>
          <w:szCs w:val="24"/>
        </w:rPr>
        <w:t>项目</w:t>
      </w:r>
      <w:r>
        <w:rPr>
          <w:rFonts w:hint="eastAsia"/>
          <w:bCs/>
          <w:szCs w:val="24"/>
          <w:lang w:eastAsia="zh-CN"/>
        </w:rPr>
        <w:t>（</w:t>
      </w:r>
      <w:r>
        <w:rPr>
          <w:rFonts w:hint="eastAsia"/>
          <w:bCs/>
          <w:szCs w:val="24"/>
        </w:rPr>
        <w:t>项目编号：</w:t>
      </w:r>
      <w:r>
        <w:rPr>
          <w:rFonts w:hint="eastAsia"/>
          <w:bCs/>
          <w:szCs w:val="24"/>
          <w:u w:val="single"/>
        </w:rPr>
        <w:t xml:space="preserve">          </w:t>
      </w:r>
      <w:r>
        <w:rPr>
          <w:rFonts w:hint="eastAsia"/>
          <w:bCs/>
          <w:szCs w:val="24"/>
          <w:lang w:eastAsia="zh-CN"/>
        </w:rPr>
        <w:t>）</w:t>
      </w:r>
      <w:r>
        <w:rPr>
          <w:rFonts w:hint="eastAsia"/>
          <w:bCs/>
          <w:szCs w:val="24"/>
        </w:rPr>
        <w:t>的政府采购活动，根据招标文件的规定提交相关资格证明文件。并郑重声明如下：</w:t>
      </w:r>
    </w:p>
    <w:p>
      <w:pPr>
        <w:numPr>
          <w:ilvl w:val="0"/>
          <w:numId w:val="61"/>
        </w:numPr>
        <w:tabs>
          <w:tab w:val="left" w:pos="0"/>
        </w:tabs>
        <w:wordWrap w:val="0"/>
        <w:spacing w:line="360" w:lineRule="auto"/>
        <w:ind w:left="709" w:hanging="227"/>
        <w:rPr>
          <w:szCs w:val="24"/>
        </w:rPr>
      </w:pPr>
      <w:r>
        <w:rPr>
          <w:rFonts w:hint="eastAsia"/>
          <w:szCs w:val="24"/>
        </w:rPr>
        <w:t>未被“信用中国”网站</w:t>
      </w:r>
      <w:r>
        <w:rPr>
          <w:rFonts w:hint="eastAsia"/>
          <w:szCs w:val="24"/>
          <w:lang w:eastAsia="zh-CN"/>
        </w:rPr>
        <w:t>（</w:t>
      </w:r>
      <w:r>
        <w:rPr>
          <w:rFonts w:hint="eastAsia"/>
          <w:szCs w:val="24"/>
        </w:rPr>
        <w:t>www.creditchina.gov.cn</w:t>
      </w:r>
      <w:r>
        <w:rPr>
          <w:rFonts w:hint="eastAsia"/>
          <w:szCs w:val="24"/>
          <w:lang w:eastAsia="zh-CN"/>
        </w:rPr>
        <w:t>）</w:t>
      </w:r>
      <w:r>
        <w:rPr>
          <w:rFonts w:hint="eastAsia"/>
          <w:szCs w:val="24"/>
        </w:rPr>
        <w:t xml:space="preserve"> 、“中国政府采购网”</w:t>
      </w:r>
      <w:r>
        <w:rPr>
          <w:rFonts w:hint="eastAsia"/>
          <w:szCs w:val="24"/>
          <w:lang w:eastAsia="zh-CN"/>
        </w:rPr>
        <w:t>（</w:t>
      </w:r>
      <w:r>
        <w:rPr>
          <w:rFonts w:hint="eastAsia"/>
          <w:szCs w:val="24"/>
        </w:rPr>
        <w:t>www.ccgp.gov.cn</w:t>
      </w:r>
      <w:r>
        <w:rPr>
          <w:rFonts w:hint="eastAsia"/>
          <w:szCs w:val="24"/>
          <w:lang w:eastAsia="zh-CN"/>
        </w:rPr>
        <w:t>）</w:t>
      </w:r>
      <w:r>
        <w:rPr>
          <w:rFonts w:hint="eastAsia"/>
          <w:szCs w:val="24"/>
        </w:rPr>
        <w:t>列入失信被执行人、重大税收违法案件当事人名单、政府采购严重违法失信行为记录名单；</w:t>
      </w:r>
    </w:p>
    <w:p>
      <w:pPr>
        <w:numPr>
          <w:ilvl w:val="0"/>
          <w:numId w:val="61"/>
        </w:numPr>
        <w:tabs>
          <w:tab w:val="left" w:pos="0"/>
        </w:tabs>
        <w:wordWrap w:val="0"/>
        <w:spacing w:line="360" w:lineRule="auto"/>
        <w:ind w:left="709" w:hanging="227"/>
        <w:rPr>
          <w:szCs w:val="24"/>
        </w:rPr>
      </w:pPr>
      <w:r>
        <w:rPr>
          <w:rFonts w:hint="eastAsia"/>
          <w:szCs w:val="24"/>
        </w:rPr>
        <w:t>对上述声明内容的真实性负责。如有虚假，将依法承担相应责任。</w:t>
      </w: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1"/>
          <w:lang w:val="zh-CN"/>
        </w:rPr>
      </w:pPr>
      <w:r>
        <w:rPr>
          <w:rFonts w:hint="eastAsia"/>
          <w:szCs w:val="24"/>
        </w:rPr>
        <w:t>日   期：</w:t>
      </w:r>
      <w:r>
        <w:rPr>
          <w:rFonts w:hint="eastAsia"/>
          <w:bCs/>
          <w:szCs w:val="21"/>
          <w:u w:val="single"/>
          <w:lang w:val="zh-CN"/>
        </w:rPr>
        <w:t xml:space="preserve">             </w:t>
      </w:r>
      <w:r>
        <w:rPr>
          <w:bCs/>
          <w:szCs w:val="21"/>
          <w:u w:val="single"/>
          <w:lang w:val="zh-CN"/>
        </w:rPr>
        <w:br w:type="page"/>
      </w:r>
    </w:p>
    <w:p>
      <w:pPr>
        <w:pStyle w:val="3"/>
        <w:numPr>
          <w:ilvl w:val="0"/>
          <w:numId w:val="57"/>
        </w:numPr>
        <w:tabs>
          <w:tab w:val="left" w:pos="567"/>
        </w:tabs>
        <w:spacing w:before="0" w:after="0" w:line="360" w:lineRule="auto"/>
        <w:jc w:val="left"/>
        <w:rPr>
          <w:rFonts w:ascii="宋体" w:hAnsi="宋体" w:eastAsia="宋体" w:cs="Times New Roman"/>
          <w:bCs w:val="0"/>
          <w:sz w:val="28"/>
          <w:szCs w:val="28"/>
        </w:rPr>
      </w:pPr>
      <w:bookmarkStart w:id="573" w:name="_Toc107561302"/>
      <w:r>
        <w:rPr>
          <w:rFonts w:hint="eastAsia" w:ascii="宋体" w:hAnsi="宋体" w:eastAsia="宋体" w:cs="Times New Roman"/>
          <w:bCs w:val="0"/>
          <w:sz w:val="24"/>
          <w:szCs w:val="24"/>
        </w:rPr>
        <w:tab/>
      </w:r>
      <w:bookmarkStart w:id="574" w:name="_Toc32736"/>
      <w:bookmarkStart w:id="575" w:name="_Toc117244381"/>
      <w:bookmarkStart w:id="576" w:name="_Toc117244496"/>
      <w:r>
        <w:rPr>
          <w:rFonts w:hint="eastAsia" w:ascii="宋体" w:hAnsi="宋体" w:eastAsia="宋体" w:cs="Times New Roman"/>
          <w:bCs w:val="0"/>
          <w:sz w:val="24"/>
          <w:szCs w:val="24"/>
        </w:rPr>
        <w:t>落实政府采购政策应提供的资料</w:t>
      </w:r>
      <w:bookmarkEnd w:id="574"/>
    </w:p>
    <w:p>
      <w:pPr>
        <w:pStyle w:val="27"/>
        <w:wordWrap w:val="0"/>
        <w:adjustRightInd w:val="0"/>
        <w:snapToGrid w:val="0"/>
        <w:spacing w:before="0" w:beforeAutospacing="0" w:after="0" w:afterAutospacing="0" w:line="360" w:lineRule="auto"/>
        <w:ind w:firstLine="480"/>
        <w:rPr>
          <w:rFonts w:ascii="楷体" w:hAnsi="楷体" w:eastAsia="楷体" w:cs="Times New Roman"/>
          <w:bCs/>
        </w:rPr>
      </w:pPr>
      <w:r>
        <w:rPr>
          <w:rFonts w:hint="eastAsia" w:ascii="楷体" w:hAnsi="楷体" w:eastAsia="楷体" w:cs="Times New Roman"/>
        </w:rPr>
        <w:t>（若有，根据项目要求提供）</w:t>
      </w:r>
      <w:bookmarkEnd w:id="575"/>
      <w:bookmarkEnd w:id="576"/>
    </w:p>
    <w:p>
      <w:pPr>
        <w:pStyle w:val="4"/>
        <w:numPr>
          <w:ilvl w:val="0"/>
          <w:numId w:val="62"/>
        </w:numPr>
        <w:adjustRightInd w:val="0"/>
        <w:snapToGrid w:val="0"/>
        <w:spacing w:before="0" w:after="0" w:line="360" w:lineRule="auto"/>
        <w:ind w:left="569" w:hanging="569" w:hangingChars="236"/>
        <w:rPr>
          <w:bCs w:val="0"/>
          <w:sz w:val="24"/>
          <w:szCs w:val="24"/>
        </w:rPr>
      </w:pPr>
      <w:r>
        <w:rPr>
          <w:bCs w:val="0"/>
          <w:sz w:val="24"/>
          <w:szCs w:val="24"/>
        </w:rPr>
        <w:t>联合协议书</w:t>
      </w:r>
      <w:bookmarkEnd w:id="573"/>
    </w:p>
    <w:p>
      <w:pPr>
        <w:pStyle w:val="27"/>
        <w:wordWrap w:val="0"/>
        <w:adjustRightInd w:val="0"/>
        <w:snapToGrid w:val="0"/>
        <w:spacing w:before="0" w:beforeAutospacing="0" w:after="0" w:afterAutospacing="0" w:line="360" w:lineRule="auto"/>
        <w:ind w:firstLine="480"/>
        <w:rPr>
          <w:rFonts w:ascii="楷体" w:hAnsi="楷体" w:eastAsia="楷体"/>
          <w:bCs/>
        </w:rPr>
      </w:pPr>
      <w:r>
        <w:rPr>
          <w:rFonts w:hint="eastAsia" w:ascii="楷体" w:hAnsi="楷体" w:eastAsia="楷体"/>
        </w:rPr>
        <w:t>（</w:t>
      </w:r>
      <w:r>
        <w:rPr>
          <w:rFonts w:hint="eastAsia" w:ascii="楷体" w:hAnsi="楷体" w:eastAsia="楷体" w:cs="Tahoma"/>
        </w:rPr>
        <w:t>联合体</w:t>
      </w:r>
      <w:r>
        <w:rPr>
          <w:rFonts w:hint="eastAsia" w:ascii="楷体" w:hAnsi="楷体" w:eastAsia="楷体"/>
        </w:rPr>
        <w:t>投标时应提供，非联合体不用提供）</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lang w:eastAsia="zh-CN"/>
        </w:rPr>
        <w:t>（</w:t>
      </w:r>
      <w:r>
        <w:rPr>
          <w:rFonts w:hint="eastAsia" w:cs="Tahoma"/>
          <w:i/>
          <w:u w:val="single"/>
        </w:rPr>
        <w:t>甲公司名称</w:t>
      </w:r>
      <w:r>
        <w:rPr>
          <w:rFonts w:hint="eastAsia" w:cs="Tahoma"/>
          <w:i/>
          <w:u w:val="single"/>
          <w:lang w:eastAsia="zh-CN"/>
        </w:rPr>
        <w:t>）</w:t>
      </w:r>
      <w:r>
        <w:rPr>
          <w:rFonts w:hint="eastAsia" w:cs="Tahoma"/>
          <w:u w:val="single"/>
        </w:rPr>
        <w:t xml:space="preserve">_   </w:t>
      </w:r>
      <w:r>
        <w:rPr>
          <w:rFonts w:hint="eastAsia" w:cs="Tahoma"/>
        </w:rPr>
        <w:t>（以下简称甲方）</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lang w:eastAsia="zh-CN"/>
        </w:rPr>
        <w:t>（</w:t>
      </w:r>
      <w:r>
        <w:rPr>
          <w:rFonts w:hint="eastAsia" w:cs="Tahoma"/>
          <w:i/>
          <w:u w:val="single"/>
        </w:rPr>
        <w:t>乙公司名称</w:t>
      </w:r>
      <w:r>
        <w:rPr>
          <w:rFonts w:hint="eastAsia" w:cs="Tahoma"/>
          <w:i/>
          <w:u w:val="single"/>
          <w:lang w:eastAsia="zh-CN"/>
        </w:rPr>
        <w:t>）</w:t>
      </w:r>
      <w:r>
        <w:rPr>
          <w:rFonts w:hint="eastAsia" w:cs="Tahoma"/>
          <w:u w:val="single"/>
        </w:rPr>
        <w:t xml:space="preserve">    </w:t>
      </w:r>
      <w:r>
        <w:rPr>
          <w:rFonts w:hint="eastAsia" w:cs="Tahoma"/>
        </w:rPr>
        <w:t>（以下简称乙方）</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r>
        <w:rPr>
          <w:rFonts w:hint="eastAsia" w:ascii="楷体" w:hAnsi="楷体" w:eastAsia="楷体" w:cs="Tahoma"/>
        </w:rPr>
        <w:t>（多家企业的以甲、乙、丙、丁……描述）</w:t>
      </w:r>
    </w:p>
    <w:p>
      <w:pPr>
        <w:pStyle w:val="27"/>
        <w:wordWrap w:val="0"/>
        <w:adjustRightInd w:val="0"/>
        <w:snapToGrid w:val="0"/>
        <w:spacing w:before="0" w:beforeAutospacing="0" w:after="0" w:afterAutospacing="0" w:line="360" w:lineRule="auto"/>
        <w:ind w:firstLine="480"/>
        <w:rPr>
          <w:rFonts w:cs="Tahoma"/>
        </w:rPr>
      </w:pPr>
      <w:r>
        <w:rPr>
          <w:rFonts w:hint="eastAsia" w:cs="Tahoma"/>
        </w:rPr>
        <w:t>以上各方</w:t>
      </w:r>
      <w:r>
        <w:rPr>
          <w:rFonts w:cs="Tahoma"/>
        </w:rPr>
        <w:t>自愿组成联合体，参加</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的</w:t>
      </w:r>
      <w:r>
        <w:rPr>
          <w:rFonts w:cs="Tahoma"/>
        </w:rPr>
        <w:t>投标</w:t>
      </w:r>
      <w:r>
        <w:rPr>
          <w:rFonts w:hint="eastAsia" w:cs="Tahoma"/>
        </w:rPr>
        <w:t>，不再单独参加或者与其他</w:t>
      </w:r>
      <w:r>
        <w:rPr>
          <w:rFonts w:hint="eastAsia" w:cs="Tahoma"/>
          <w:lang w:eastAsia="zh-CN"/>
        </w:rPr>
        <w:t>投标人</w:t>
      </w:r>
      <w:r>
        <w:rPr>
          <w:rFonts w:hint="eastAsia" w:cs="Tahoma"/>
        </w:rPr>
        <w:t>另外组成联合体参加本项目的采购活动。</w:t>
      </w:r>
      <w:r>
        <w:rPr>
          <w:rFonts w:cs="Tahoma"/>
        </w:rPr>
        <w:t>现就有关事宜订立协议如下：</w:t>
      </w:r>
    </w:p>
    <w:p>
      <w:pPr>
        <w:pStyle w:val="27"/>
        <w:wordWrap w:val="0"/>
        <w:adjustRightInd w:val="0"/>
        <w:snapToGrid w:val="0"/>
        <w:spacing w:before="0" w:beforeAutospacing="0" w:after="0" w:afterAutospacing="0" w:line="360" w:lineRule="auto"/>
        <w:ind w:firstLine="480"/>
        <w:rPr>
          <w:rFonts w:cs="Tahoma"/>
        </w:rPr>
      </w:pPr>
      <w:r>
        <w:rPr>
          <w:rFonts w:hint="eastAsia" w:cs="Tahoma"/>
        </w:rPr>
        <w:t>1.</w:t>
      </w:r>
      <w:r>
        <w:rPr>
          <w:rFonts w:hint="eastAsia" w:cs="Tahoma"/>
          <w:u w:val="single"/>
        </w:rPr>
        <w:t xml:space="preserve"> </w:t>
      </w:r>
      <w:r>
        <w:rPr>
          <w:rFonts w:hint="eastAsia" w:cs="Tahoma"/>
          <w:i/>
          <w:u w:val="single"/>
        </w:rPr>
        <w:t>（甲方）</w:t>
      </w:r>
      <w:r>
        <w:rPr>
          <w:rFonts w:hint="eastAsia" w:cs="Tahoma"/>
          <w:u w:val="single"/>
        </w:rPr>
        <w:t xml:space="preserve"> </w:t>
      </w:r>
      <w:r>
        <w:rPr>
          <w:rFonts w:cs="Tahoma"/>
        </w:rPr>
        <w:t>为联合体</w:t>
      </w:r>
      <w:r>
        <w:rPr>
          <w:rFonts w:hint="eastAsia" w:cs="Tahoma"/>
        </w:rPr>
        <w:t>主体，其它各方为联合体成员。</w:t>
      </w:r>
    </w:p>
    <w:p>
      <w:pPr>
        <w:pStyle w:val="27"/>
        <w:wordWrap w:val="0"/>
        <w:adjustRightInd w:val="0"/>
        <w:snapToGrid w:val="0"/>
        <w:spacing w:before="0" w:beforeAutospacing="0" w:after="0" w:afterAutospacing="0" w:line="360" w:lineRule="auto"/>
        <w:ind w:firstLine="480"/>
        <w:rPr>
          <w:rFonts w:cs="Tahoma"/>
        </w:rPr>
      </w:pPr>
      <w:r>
        <w:rPr>
          <w:rFonts w:hint="eastAsia" w:cs="Tahoma"/>
        </w:rPr>
        <w:t>2.</w:t>
      </w:r>
      <w:r>
        <w:rPr>
          <w:rFonts w:cs="Tahoma"/>
        </w:rPr>
        <w:t>联合体将严格按照</w:t>
      </w:r>
      <w:r>
        <w:fldChar w:fldCharType="begin"/>
      </w:r>
      <w:r>
        <w:instrText xml:space="preserve"> HYPERLINK "https://www.66law.cn/special/zb/" \t "_blank" \o "招标" </w:instrText>
      </w:r>
      <w:r>
        <w:fldChar w:fldCharType="separate"/>
      </w:r>
      <w:r>
        <w:rPr>
          <w:rStyle w:val="34"/>
          <w:rFonts w:cs="Tahoma"/>
          <w:color w:val="auto"/>
        </w:rPr>
        <w:t>招标</w:t>
      </w:r>
      <w:r>
        <w:rPr>
          <w:rStyle w:val="34"/>
          <w:rFonts w:cs="Tahoma"/>
          <w:color w:val="auto"/>
        </w:rPr>
        <w:fldChar w:fldCharType="end"/>
      </w:r>
      <w:r>
        <w:rPr>
          <w:rFonts w:cs="Tahoma"/>
        </w:rPr>
        <w:t>文件的各项要求办理投标事宜，投标文件中的所有承诺均代表了联合体各成员</w:t>
      </w:r>
      <w:r>
        <w:rPr>
          <w:rFonts w:hint="eastAsia" w:cs="Tahoma"/>
        </w:rPr>
        <w:t>，联合体各成员共同承担相应的法律责任</w:t>
      </w:r>
      <w:r>
        <w:rPr>
          <w:rFonts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3.</w:t>
      </w:r>
      <w:r>
        <w:rPr>
          <w:rFonts w:cs="Tahoma"/>
        </w:rPr>
        <w:t>联合体分工：</w:t>
      </w:r>
      <w:r>
        <w:rPr>
          <w:rFonts w:hint="eastAsia" w:cs="Tahoma"/>
        </w:rPr>
        <w:t xml:space="preserve"> </w:t>
      </w:r>
    </w:p>
    <w:p>
      <w:pPr>
        <w:pStyle w:val="27"/>
        <w:wordWrap w:val="0"/>
        <w:adjustRightInd w:val="0"/>
        <w:snapToGrid w:val="0"/>
        <w:spacing w:before="0" w:beforeAutospacing="0" w:after="0" w:afterAutospacing="0" w:line="360" w:lineRule="auto"/>
        <w:ind w:firstLine="480"/>
        <w:rPr>
          <w:rFonts w:cs="Tahoma"/>
        </w:rPr>
      </w:pPr>
      <w:r>
        <w:rPr>
          <w:rFonts w:hint="eastAsia" w:cs="Tahoma"/>
          <w:u w:val="single"/>
        </w:rPr>
        <w:t>（</w:t>
      </w:r>
      <w:r>
        <w:rPr>
          <w:rFonts w:hint="eastAsia" w:cs="Tahoma"/>
          <w:i/>
          <w:u w:val="single"/>
        </w:rPr>
        <w:t>甲方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w:t>
      </w:r>
      <w:r>
        <w:rPr>
          <w:rFonts w:cs="Tahoma"/>
        </w:rPr>
        <w:t>负责</w:t>
      </w:r>
      <w:r>
        <w:rPr>
          <w:rFonts w:hint="eastAsia" w:cs="Tahoma"/>
        </w:rPr>
        <w:t>的工作为：</w:t>
      </w:r>
      <w:r>
        <w:rPr>
          <w:rFonts w:hint="eastAsia" w:cs="Tahoma"/>
          <w:i/>
          <w:u w:val="single"/>
        </w:rPr>
        <w:t xml:space="preserve">                     </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i/>
          <w:u w:val="single"/>
        </w:rPr>
        <w:t>（乙方）</w:t>
      </w:r>
      <w:r>
        <w:rPr>
          <w:rFonts w:hint="eastAsia" w:cs="Tahoma"/>
          <w:u w:val="single"/>
        </w:rPr>
        <w:t xml:space="preserve"> </w:t>
      </w:r>
      <w:r>
        <w:rPr>
          <w:rFonts w:hint="eastAsia" w:cs="Tahoma"/>
        </w:rPr>
        <w:t>承担项目采购合同金额的</w:t>
      </w:r>
      <w:r>
        <w:rPr>
          <w:rFonts w:hint="eastAsia" w:cs="Tahoma"/>
          <w:u w:val="single"/>
        </w:rPr>
        <w:t xml:space="preserve">     %</w:t>
      </w:r>
      <w:r>
        <w:rPr>
          <w:rFonts w:hint="eastAsia" w:cs="Tahoma"/>
        </w:rPr>
        <w:t>，负责的工作为：</w:t>
      </w:r>
      <w:r>
        <w:rPr>
          <w:rFonts w:hint="eastAsia" w:cs="Tahoma"/>
          <w:u w:val="single"/>
        </w:rPr>
        <w:t xml:space="preserve">                     </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4.若</w:t>
      </w:r>
      <w:r>
        <w:rPr>
          <w:rFonts w:cs="Tahoma"/>
        </w:rPr>
        <w:t>中标，联合体成员共同与</w:t>
      </w:r>
      <w:r>
        <w:rPr>
          <w:rFonts w:hint="eastAsia" w:cs="Tahoma"/>
        </w:rPr>
        <w:t>采购人</w:t>
      </w:r>
      <w:r>
        <w:rPr>
          <w:rFonts w:cs="Tahoma"/>
        </w:rPr>
        <w:t>签订</w:t>
      </w:r>
      <w:r>
        <w:rPr>
          <w:rFonts w:hint="eastAsia" w:cs="Tahoma"/>
        </w:rPr>
        <w:t>采购合同（本协议应作为采购合同的组成部分）</w:t>
      </w:r>
      <w:r>
        <w:rPr>
          <w:rFonts w:cs="Tahoma"/>
        </w:rPr>
        <w:t>，</w:t>
      </w:r>
      <w:r>
        <w:rPr>
          <w:rFonts w:hint="eastAsia" w:cs="Tahoma"/>
        </w:rPr>
        <w:t>就采购合同约定的事项对采购人承担连带责任，联合体主体负主要责任。</w:t>
      </w:r>
    </w:p>
    <w:p>
      <w:pPr>
        <w:pStyle w:val="27"/>
        <w:wordWrap w:val="0"/>
        <w:adjustRightInd w:val="0"/>
        <w:snapToGrid w:val="0"/>
        <w:spacing w:before="0" w:beforeAutospacing="0" w:after="0" w:afterAutospacing="0" w:line="360" w:lineRule="auto"/>
        <w:ind w:firstLine="480"/>
        <w:rPr>
          <w:rFonts w:cs="Tahoma"/>
        </w:rPr>
      </w:pPr>
      <w:r>
        <w:rPr>
          <w:rFonts w:hint="eastAsia" w:cs="Tahoma"/>
        </w:rPr>
        <w:t>5.其他：</w:t>
      </w:r>
      <w:r>
        <w:rPr>
          <w:rFonts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6.本协议书自签署之日起生效，若未中标，自本次投标有效期结束后自行失效；若中标，自合同书规定的期限之后自行失效。</w:t>
      </w:r>
    </w:p>
    <w:p>
      <w:pPr>
        <w:pStyle w:val="27"/>
        <w:wordWrap w:val="0"/>
        <w:adjustRightInd w:val="0"/>
        <w:snapToGrid w:val="0"/>
        <w:spacing w:before="0" w:beforeAutospacing="0" w:after="0" w:afterAutospacing="0" w:line="360" w:lineRule="auto"/>
        <w:ind w:left="274" w:leftChars="114" w:firstLine="240" w:firstLineChars="100"/>
        <w:rPr>
          <w:rFonts w:cs="Tahoma"/>
        </w:rPr>
      </w:pPr>
      <w:r>
        <w:rPr>
          <w:rFonts w:hint="eastAsia" w:cs="Tahoma"/>
        </w:rPr>
        <w:t>7.</w:t>
      </w:r>
      <w:r>
        <w:rPr>
          <w:rFonts w:cs="Tahoma"/>
        </w:rPr>
        <w:t>本协议书正本一式</w:t>
      </w:r>
      <w:r>
        <w:rPr>
          <w:rFonts w:hint="eastAsia" w:cs="Tahoma"/>
          <w:u w:val="single"/>
        </w:rPr>
        <w:t xml:space="preserve">    </w:t>
      </w:r>
      <w:r>
        <w:rPr>
          <w:rFonts w:cs="Tahoma"/>
        </w:rPr>
        <w:t>份，联合体成员各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份，联合体成员各执</w:t>
      </w:r>
      <w:r>
        <w:rPr>
          <w:rFonts w:hint="eastAsia" w:cs="Tahoma"/>
          <w:u w:val="single"/>
        </w:rPr>
        <w:t xml:space="preserve">     </w:t>
      </w:r>
      <w:r>
        <w:rPr>
          <w:rFonts w:cs="Tahoma"/>
        </w:rPr>
        <w:t>份。</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甲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乙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r>
        <w:rPr>
          <w:rFonts w:hint="eastAsia" w:cs="Tahoma"/>
        </w:rPr>
        <w:t xml:space="preserve"> </w:t>
      </w:r>
    </w:p>
    <w:p>
      <w:pPr>
        <w:pStyle w:val="27"/>
        <w:wordWrap w:val="0"/>
        <w:adjustRightInd w:val="0"/>
        <w:snapToGrid w:val="0"/>
        <w:spacing w:before="0" w:beforeAutospacing="0" w:after="0" w:afterAutospacing="0" w:line="360" w:lineRule="auto"/>
        <w:ind w:firstLine="3720" w:firstLineChars="1550"/>
        <w:rPr>
          <w:rFonts w:cs="Tahoma"/>
        </w:rPr>
      </w:pPr>
      <w:r>
        <w:rPr>
          <w:rFonts w:hint="eastAsia" w:cs="Tahoma"/>
        </w:rPr>
        <w:t xml:space="preserve">……            </w:t>
      </w:r>
    </w:p>
    <w:p>
      <w:pPr>
        <w:pStyle w:val="27"/>
        <w:wordWrap w:val="0"/>
        <w:adjustRightInd w:val="0"/>
        <w:snapToGrid w:val="0"/>
        <w:spacing w:before="0" w:beforeAutospacing="0" w:after="0" w:afterAutospacing="0" w:line="360" w:lineRule="auto"/>
        <w:ind w:firstLine="3480" w:firstLineChars="1450"/>
        <w:rPr>
          <w:rFonts w:cs="Tahoma"/>
        </w:rPr>
      </w:pPr>
      <w:r>
        <w:rPr>
          <w:rFonts w:hint="eastAsia" w:cs="Tahoma"/>
        </w:rPr>
        <w:t xml:space="preserve"> 签订日期: </w:t>
      </w:r>
      <w:r>
        <w:rPr>
          <w:rFonts w:hint="eastAsia" w:cs="Tahoma"/>
          <w:u w:val="single"/>
        </w:rPr>
        <w:t xml:space="preserve">            </w:t>
      </w:r>
      <w:r>
        <w:rPr>
          <w:rFonts w:cs="Tahoma"/>
          <w:u w:val="single"/>
        </w:rPr>
        <w:br w:type="page"/>
      </w:r>
    </w:p>
    <w:p>
      <w:pPr>
        <w:pStyle w:val="4"/>
        <w:numPr>
          <w:ilvl w:val="0"/>
          <w:numId w:val="62"/>
        </w:numPr>
        <w:spacing w:before="0" w:after="0" w:line="360" w:lineRule="auto"/>
        <w:ind w:left="569" w:hanging="569" w:hangingChars="236"/>
        <w:rPr>
          <w:bCs w:val="0"/>
          <w:sz w:val="24"/>
          <w:szCs w:val="24"/>
        </w:rPr>
      </w:pPr>
      <w:bookmarkStart w:id="577" w:name="_Toc107561303"/>
      <w:r>
        <w:rPr>
          <w:rFonts w:hint="eastAsia"/>
          <w:bCs w:val="0"/>
          <w:sz w:val="24"/>
          <w:szCs w:val="24"/>
        </w:rPr>
        <w:t>分包意</w:t>
      </w:r>
      <w:r>
        <w:rPr>
          <w:rFonts w:hint="eastAsia"/>
          <w:sz w:val="24"/>
          <w:szCs w:val="24"/>
        </w:rPr>
        <w:t>向</w:t>
      </w:r>
      <w:r>
        <w:rPr>
          <w:rFonts w:hint="eastAsia"/>
          <w:bCs w:val="0"/>
          <w:sz w:val="24"/>
          <w:szCs w:val="24"/>
        </w:rPr>
        <w:t>协议书</w:t>
      </w:r>
      <w:bookmarkEnd w:id="577"/>
    </w:p>
    <w:p>
      <w:pPr>
        <w:pStyle w:val="27"/>
        <w:wordWrap w:val="0"/>
        <w:adjustRightInd w:val="0"/>
        <w:snapToGrid w:val="0"/>
        <w:spacing w:before="0" w:beforeAutospacing="0" w:after="0" w:afterAutospacing="0" w:line="360" w:lineRule="auto"/>
        <w:ind w:firstLine="360" w:firstLineChars="150"/>
        <w:rPr>
          <w:rFonts w:ascii="楷体" w:hAnsi="楷体" w:eastAsia="楷体"/>
          <w:bCs/>
        </w:rPr>
      </w:pPr>
      <w:r>
        <w:rPr>
          <w:rFonts w:hint="eastAsia" w:ascii="楷体" w:hAnsi="楷体" w:eastAsia="楷体"/>
        </w:rPr>
        <w:t>（拟中标后合同分包的应提供，未分包的不用提供）</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lang w:eastAsia="zh-CN"/>
        </w:rPr>
        <w:t>（</w:t>
      </w:r>
      <w:r>
        <w:rPr>
          <w:rFonts w:hint="eastAsia" w:cs="Tahoma"/>
          <w:i/>
          <w:u w:val="single"/>
        </w:rPr>
        <w:t>甲公司名称</w:t>
      </w:r>
      <w:r>
        <w:rPr>
          <w:rFonts w:hint="eastAsia" w:cs="Tahoma"/>
          <w:i/>
          <w:u w:val="single"/>
          <w:lang w:eastAsia="zh-CN"/>
        </w:rPr>
        <w:t>）</w:t>
      </w:r>
      <w:r>
        <w:rPr>
          <w:rFonts w:hint="eastAsia" w:cs="Tahoma"/>
          <w:u w:val="single"/>
        </w:rPr>
        <w:t xml:space="preserve">_   </w:t>
      </w:r>
      <w:r>
        <w:rPr>
          <w:rFonts w:hint="eastAsia" w:cs="Tahoma"/>
        </w:rPr>
        <w:t>（以下简称甲方）</w:t>
      </w:r>
    </w:p>
    <w:p>
      <w:pPr>
        <w:pStyle w:val="27"/>
        <w:wordWrap w:val="0"/>
        <w:adjustRightInd w:val="0"/>
        <w:snapToGrid w:val="0"/>
        <w:spacing w:before="0" w:beforeAutospacing="0" w:after="0" w:afterAutospacing="0" w:line="360" w:lineRule="auto"/>
        <w:rPr>
          <w:rFonts w:cs="Tahoma"/>
        </w:rPr>
      </w:pPr>
      <w:r>
        <w:rPr>
          <w:rFonts w:hint="eastAsia" w:cs="Tahoma"/>
          <w:u w:val="single"/>
        </w:rPr>
        <w:t xml:space="preserve">    </w:t>
      </w:r>
      <w:r>
        <w:rPr>
          <w:rFonts w:hint="eastAsia" w:cs="Tahoma"/>
          <w:i/>
          <w:u w:val="single"/>
          <w:lang w:eastAsia="zh-CN"/>
        </w:rPr>
        <w:t>（</w:t>
      </w:r>
      <w:r>
        <w:rPr>
          <w:rFonts w:hint="eastAsia" w:cs="Tahoma"/>
          <w:i/>
          <w:u w:val="single"/>
        </w:rPr>
        <w:t>乙公司名称</w:t>
      </w:r>
      <w:r>
        <w:rPr>
          <w:rFonts w:hint="eastAsia" w:cs="Tahoma"/>
          <w:i/>
          <w:u w:val="single"/>
          <w:lang w:eastAsia="zh-CN"/>
        </w:rPr>
        <w:t>）</w:t>
      </w:r>
      <w:r>
        <w:rPr>
          <w:rFonts w:hint="eastAsia" w:cs="Tahoma"/>
          <w:u w:val="single"/>
        </w:rPr>
        <w:t xml:space="preserve">    </w:t>
      </w:r>
      <w:r>
        <w:rPr>
          <w:rFonts w:hint="eastAsia" w:cs="Tahoma"/>
        </w:rPr>
        <w:t>（以下简称乙方）</w:t>
      </w:r>
    </w:p>
    <w:p>
      <w:pPr>
        <w:pStyle w:val="27"/>
        <w:wordWrap w:val="0"/>
        <w:adjustRightInd w:val="0"/>
        <w:snapToGrid w:val="0"/>
        <w:spacing w:before="0" w:beforeAutospacing="0" w:after="0" w:afterAutospacing="0" w:line="360" w:lineRule="auto"/>
        <w:ind w:firstLine="480"/>
        <w:rPr>
          <w:rFonts w:cs="Tahoma"/>
        </w:rPr>
      </w:pPr>
      <w:r>
        <w:rPr>
          <w:rFonts w:hint="eastAsia" w:cs="Tahoma"/>
        </w:rPr>
        <w:t xml:space="preserve">……  </w:t>
      </w:r>
      <w:r>
        <w:rPr>
          <w:rFonts w:hint="eastAsia" w:ascii="楷体" w:hAnsi="楷体" w:eastAsia="楷体" w:cs="Tahoma"/>
        </w:rPr>
        <w:t>（多家企业的以甲、乙、丙、丁……描述）</w:t>
      </w:r>
      <w:r>
        <w:rPr>
          <w:rFonts w:hint="eastAsia" w:cs="Tahoma"/>
        </w:rPr>
        <w:t xml:space="preserve">                          </w:t>
      </w:r>
    </w:p>
    <w:p>
      <w:pPr>
        <w:pStyle w:val="27"/>
        <w:wordWrap w:val="0"/>
        <w:adjustRightInd w:val="0"/>
        <w:snapToGrid w:val="0"/>
        <w:spacing w:before="0" w:beforeAutospacing="0" w:after="0" w:afterAutospacing="0" w:line="360" w:lineRule="auto"/>
        <w:ind w:firstLine="480"/>
        <w:rPr>
          <w:rFonts w:cs="Tahoma"/>
        </w:rPr>
      </w:pPr>
      <w:r>
        <w:rPr>
          <w:rFonts w:hint="eastAsia" w:cs="Tahoma"/>
        </w:rPr>
        <w:t>甲方就</w:t>
      </w:r>
      <w:r>
        <w:rPr>
          <w:rFonts w:hint="eastAsia" w:cs="Tahoma"/>
          <w:u w:val="single"/>
        </w:rPr>
        <w:t xml:space="preserve">  </w:t>
      </w:r>
      <w:r>
        <w:rPr>
          <w:rFonts w:hint="eastAsia" w:cs="Tahoma"/>
          <w:i/>
          <w:u w:val="single"/>
        </w:rPr>
        <w:t>（项目名称）</w:t>
      </w:r>
      <w:r>
        <w:rPr>
          <w:rFonts w:hint="eastAsia" w:cs="Tahoma"/>
          <w:u w:val="single"/>
        </w:rPr>
        <w:t xml:space="preserve">  </w:t>
      </w:r>
      <w:r>
        <w:rPr>
          <w:rFonts w:hint="eastAsia" w:cs="Tahoma"/>
        </w:rPr>
        <w:t>与其它各方通过友好协商达成如下分包意向协议：</w:t>
      </w:r>
    </w:p>
    <w:p>
      <w:pPr>
        <w:pStyle w:val="27"/>
        <w:wordWrap w:val="0"/>
        <w:adjustRightInd w:val="0"/>
        <w:snapToGrid w:val="0"/>
        <w:spacing w:before="0" w:beforeAutospacing="0" w:after="0" w:afterAutospacing="0" w:line="360" w:lineRule="auto"/>
        <w:ind w:firstLine="480"/>
        <w:rPr>
          <w:rFonts w:cs="Tahoma"/>
        </w:rPr>
      </w:pPr>
      <w:r>
        <w:rPr>
          <w:rFonts w:hint="eastAsia" w:cs="Tahoma"/>
        </w:rPr>
        <w:t>1.在本次投标有效期内，其它各方同意甲方代理投标事宜。</w:t>
      </w:r>
    </w:p>
    <w:p>
      <w:pPr>
        <w:pStyle w:val="27"/>
        <w:wordWrap w:val="0"/>
        <w:adjustRightInd w:val="0"/>
        <w:snapToGrid w:val="0"/>
        <w:spacing w:before="0" w:beforeAutospacing="0" w:after="0" w:afterAutospacing="0" w:line="360" w:lineRule="auto"/>
        <w:ind w:firstLine="480"/>
        <w:rPr>
          <w:rFonts w:cs="Tahoma"/>
        </w:rPr>
      </w:pPr>
      <w:r>
        <w:rPr>
          <w:rFonts w:hint="eastAsia" w:cs="Tahoma"/>
        </w:rPr>
        <w:t>2.其它各方合同金额及负责的工作:</w:t>
      </w:r>
    </w:p>
    <w:p>
      <w:pPr>
        <w:pStyle w:val="27"/>
        <w:wordWrap w:val="0"/>
        <w:adjustRightInd w:val="0"/>
        <w:snapToGrid w:val="0"/>
        <w:spacing w:before="0" w:beforeAutospacing="0" w:after="0" w:afterAutospacing="0" w:line="360" w:lineRule="auto"/>
        <w:ind w:firstLine="480"/>
        <w:rPr>
          <w:rFonts w:cs="Tahoma"/>
        </w:rPr>
      </w:pPr>
      <w:r>
        <w:rPr>
          <w:rFonts w:hint="eastAsia" w:cs="Tahoma"/>
        </w:rPr>
        <w:t>乙方承担的分包合同金额为项目采购合同金额的</w:t>
      </w:r>
      <w:r>
        <w:rPr>
          <w:rFonts w:cs="Tahoma"/>
          <w:u w:val="single"/>
        </w:rPr>
        <w:t xml:space="preserve">    %</w:t>
      </w:r>
      <w:r>
        <w:rPr>
          <w:rFonts w:hint="eastAsia" w:cs="Tahoma"/>
        </w:rPr>
        <w:t>，负责的工作为：</w:t>
      </w:r>
      <w:r>
        <w:rPr>
          <w:rFonts w:hint="eastAsia" w:cs="Tahoma"/>
          <w:u w:val="single"/>
        </w:rPr>
        <w:t xml:space="preserve">           </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3.各方责任和义务：</w:t>
      </w:r>
    </w:p>
    <w:p>
      <w:pPr>
        <w:pStyle w:val="27"/>
        <w:wordWrap w:val="0"/>
        <w:adjustRightInd w:val="0"/>
        <w:snapToGrid w:val="0"/>
        <w:spacing w:before="0" w:beforeAutospacing="0" w:after="0" w:afterAutospacing="0" w:line="360" w:lineRule="auto"/>
        <w:ind w:firstLine="480"/>
        <w:rPr>
          <w:rFonts w:cs="Tahoma"/>
        </w:rPr>
      </w:pPr>
      <w:r>
        <w:rPr>
          <w:rFonts w:hint="eastAsia" w:cs="Tahoma"/>
        </w:rPr>
        <w:t>（</w:t>
      </w:r>
      <w:r>
        <w:rPr>
          <w:rFonts w:cs="Tahoma"/>
        </w:rPr>
        <w:t>1</w:t>
      </w:r>
      <w:r>
        <w:rPr>
          <w:rFonts w:hint="eastAsia" w:cs="Tahoma"/>
        </w:rPr>
        <w:t>）其它方按甲方的要求，负责提供分包负责工作量的相关资料；（包括资质、报价、技术文件等资料）；</w:t>
      </w:r>
    </w:p>
    <w:p>
      <w:pPr>
        <w:pStyle w:val="27"/>
        <w:wordWrap w:val="0"/>
        <w:adjustRightInd w:val="0"/>
        <w:snapToGrid w:val="0"/>
        <w:spacing w:before="0" w:beforeAutospacing="0" w:after="0" w:afterAutospacing="0" w:line="360" w:lineRule="auto"/>
        <w:ind w:firstLine="480"/>
        <w:rPr>
          <w:rFonts w:cs="Tahoma"/>
        </w:rPr>
      </w:pPr>
      <w:r>
        <w:rPr>
          <w:rFonts w:hint="eastAsia" w:cs="Tahoma"/>
        </w:rPr>
        <w:t>（2）甲方负责提供招标文件中规定的除其它方应提供的资料外的所有资料，并组织、汇编投标文件、参与投标；甲方未经其它方同意不得擅自提高或降低其它方所提供的报价；</w:t>
      </w:r>
    </w:p>
    <w:p>
      <w:pPr>
        <w:pStyle w:val="27"/>
        <w:wordWrap w:val="0"/>
        <w:adjustRightInd w:val="0"/>
        <w:snapToGrid w:val="0"/>
        <w:spacing w:before="0" w:beforeAutospacing="0" w:after="0" w:afterAutospacing="0" w:line="360" w:lineRule="auto"/>
        <w:ind w:firstLine="480"/>
        <w:rPr>
          <w:rFonts w:cs="Tahoma"/>
        </w:rPr>
      </w:pPr>
      <w:r>
        <w:rPr>
          <w:rFonts w:hint="eastAsia" w:cs="Tahoma"/>
        </w:rPr>
        <w:t>（3）若中标，其它方应各自承担全部分包内容的工作量，并对所承担工作的质量、工期向甲方负责；甲方不得将其它方各自负责的工作量全部或部分转让给另外的</w:t>
      </w:r>
      <w:r>
        <w:rPr>
          <w:rFonts w:hint="eastAsia" w:cs="Tahoma"/>
          <w:lang w:eastAsia="zh-CN"/>
        </w:rPr>
        <w:t>投标人</w:t>
      </w:r>
      <w:r>
        <w:rPr>
          <w:rFonts w:hint="eastAsia"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4.若中标，甲方与采购人签订采购合同，就采购合同约定的事项对采购人负责，同时本协议应作为采购合同的组成部分。</w:t>
      </w:r>
    </w:p>
    <w:p>
      <w:pPr>
        <w:pStyle w:val="27"/>
        <w:wordWrap w:val="0"/>
        <w:adjustRightInd w:val="0"/>
        <w:snapToGrid w:val="0"/>
        <w:spacing w:before="0" w:beforeAutospacing="0" w:after="0" w:afterAutospacing="0" w:line="360" w:lineRule="auto"/>
        <w:ind w:firstLine="480"/>
        <w:rPr>
          <w:rFonts w:cs="Tahoma"/>
        </w:rPr>
      </w:pPr>
      <w:r>
        <w:rPr>
          <w:rFonts w:hint="eastAsia" w:cs="Tahoma"/>
        </w:rPr>
        <w:t>5.其他:</w:t>
      </w:r>
      <w:r>
        <w:rPr>
          <w:rFonts w:cs="Tahoma"/>
        </w:rPr>
        <w:t>……</w:t>
      </w:r>
    </w:p>
    <w:p>
      <w:pPr>
        <w:pStyle w:val="27"/>
        <w:wordWrap w:val="0"/>
        <w:adjustRightInd w:val="0"/>
        <w:snapToGrid w:val="0"/>
        <w:spacing w:before="0" w:beforeAutospacing="0" w:after="0" w:afterAutospacing="0" w:line="360" w:lineRule="auto"/>
        <w:ind w:firstLine="480"/>
        <w:rPr>
          <w:rFonts w:cs="Tahoma"/>
        </w:rPr>
      </w:pPr>
      <w:r>
        <w:rPr>
          <w:rFonts w:hint="eastAsia" w:cs="Tahoma"/>
        </w:rPr>
        <w:t>6.本协议书自签署之日起生效，若未中标，自本次投标有效期结束后自行失效；若中标，自项目合同书规定的期限之后自行失效。</w:t>
      </w:r>
    </w:p>
    <w:p>
      <w:pPr>
        <w:pStyle w:val="27"/>
        <w:wordWrap w:val="0"/>
        <w:adjustRightInd w:val="0"/>
        <w:snapToGrid w:val="0"/>
        <w:spacing w:before="0" w:beforeAutospacing="0" w:after="0" w:afterAutospacing="0" w:line="360" w:lineRule="auto"/>
        <w:ind w:firstLine="480"/>
        <w:rPr>
          <w:rFonts w:cs="Tahoma"/>
        </w:rPr>
      </w:pPr>
      <w:r>
        <w:rPr>
          <w:rFonts w:hint="eastAsia" w:cs="Tahoma"/>
        </w:rPr>
        <w:t>7.</w:t>
      </w:r>
      <w:r>
        <w:rPr>
          <w:rFonts w:cs="Tahoma"/>
        </w:rPr>
        <w:t>本协议书正本一式</w:t>
      </w:r>
      <w:r>
        <w:rPr>
          <w:rFonts w:hint="eastAsia" w:cs="Tahoma"/>
          <w:u w:val="single"/>
        </w:rPr>
        <w:t xml:space="preserve">   </w:t>
      </w:r>
      <w:r>
        <w:rPr>
          <w:rFonts w:cs="Tahoma"/>
        </w:rPr>
        <w:t>份，</w:t>
      </w:r>
      <w:r>
        <w:rPr>
          <w:rFonts w:hint="eastAsia" w:cs="Tahoma"/>
        </w:rPr>
        <w:t>甲方与其它方</w:t>
      </w:r>
      <w:r>
        <w:rPr>
          <w:rFonts w:cs="Tahoma"/>
        </w:rPr>
        <w:t>各</w:t>
      </w:r>
      <w:r>
        <w:rPr>
          <w:rFonts w:hint="eastAsia" w:cs="Tahoma"/>
        </w:rPr>
        <w:t>执</w:t>
      </w:r>
      <w:r>
        <w:rPr>
          <w:rFonts w:hint="eastAsia" w:cs="Tahoma"/>
          <w:u w:val="single"/>
        </w:rPr>
        <w:t xml:space="preserve">   </w:t>
      </w:r>
      <w:r>
        <w:rPr>
          <w:rFonts w:cs="Tahoma"/>
        </w:rPr>
        <w:t>份；副本一式</w:t>
      </w:r>
      <w:r>
        <w:rPr>
          <w:rFonts w:hint="eastAsia" w:cs="Tahoma"/>
          <w:u w:val="single"/>
        </w:rPr>
        <w:t xml:space="preserve">   </w:t>
      </w:r>
      <w:r>
        <w:rPr>
          <w:rFonts w:cs="Tahoma"/>
        </w:rPr>
        <w:t>份，</w:t>
      </w:r>
      <w:r>
        <w:rPr>
          <w:rFonts w:hint="eastAsia" w:cs="Tahoma"/>
        </w:rPr>
        <w:t>甲方与其它方</w:t>
      </w:r>
      <w:r>
        <w:rPr>
          <w:rFonts w:cs="Tahoma"/>
        </w:rPr>
        <w:t>各执</w:t>
      </w:r>
      <w:r>
        <w:rPr>
          <w:rFonts w:hint="eastAsia" w:cs="Tahoma"/>
          <w:u w:val="single"/>
        </w:rPr>
        <w:t xml:space="preserve">   </w:t>
      </w:r>
      <w:r>
        <w:rPr>
          <w:rFonts w:cs="Tahoma"/>
        </w:rPr>
        <w:t>份。</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甲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乙  方（公章）：</w:t>
      </w:r>
      <w:r>
        <w:rPr>
          <w:rFonts w:hint="eastAsia" w:cs="Tahoma"/>
          <w:u w:val="single"/>
        </w:rPr>
        <w:t xml:space="preserve">                             </w:t>
      </w:r>
    </w:p>
    <w:p>
      <w:pPr>
        <w:pStyle w:val="27"/>
        <w:wordWrap w:val="0"/>
        <w:adjustRightInd w:val="0"/>
        <w:snapToGrid w:val="0"/>
        <w:spacing w:before="0" w:beforeAutospacing="0" w:after="0" w:afterAutospacing="0" w:line="360" w:lineRule="auto"/>
        <w:ind w:firstLine="3600" w:firstLineChars="1500"/>
        <w:rPr>
          <w:rFonts w:cs="Tahoma"/>
        </w:rPr>
      </w:pPr>
      <w:r>
        <w:rPr>
          <w:rFonts w:hint="eastAsia" w:cs="Tahoma"/>
        </w:rPr>
        <w:t>法定代表人（签字或签章）：</w:t>
      </w:r>
      <w:r>
        <w:rPr>
          <w:rFonts w:hint="eastAsia" w:cs="Tahoma"/>
          <w:u w:val="single"/>
        </w:rPr>
        <w:t xml:space="preserve">                   </w:t>
      </w:r>
      <w:r>
        <w:rPr>
          <w:rFonts w:hint="eastAsia" w:cs="Tahoma"/>
        </w:rPr>
        <w:t xml:space="preserve"> </w:t>
      </w:r>
    </w:p>
    <w:p>
      <w:pPr>
        <w:pStyle w:val="27"/>
        <w:wordWrap w:val="0"/>
        <w:adjustRightInd w:val="0"/>
        <w:snapToGrid w:val="0"/>
        <w:spacing w:before="0" w:beforeAutospacing="0" w:after="0" w:afterAutospacing="0" w:line="360" w:lineRule="auto"/>
        <w:ind w:firstLine="3720" w:firstLineChars="1550"/>
        <w:rPr>
          <w:rFonts w:cs="Tahoma"/>
        </w:rPr>
      </w:pPr>
      <w:r>
        <w:rPr>
          <w:rFonts w:hint="eastAsia" w:cs="Tahoma"/>
        </w:rPr>
        <w:t xml:space="preserve">……             </w:t>
      </w:r>
    </w:p>
    <w:p>
      <w:pPr>
        <w:wordWrap w:val="0"/>
        <w:spacing w:line="360" w:lineRule="auto"/>
        <w:ind w:firstLine="4200" w:firstLineChars="1750"/>
        <w:rPr>
          <w:rFonts w:cs="Tahoma"/>
          <w:u w:val="single"/>
        </w:rPr>
      </w:pPr>
      <w:r>
        <w:rPr>
          <w:rFonts w:hint="eastAsia" w:cs="Tahoma"/>
        </w:rPr>
        <w:t xml:space="preserve">签订日期: </w:t>
      </w:r>
      <w:r>
        <w:rPr>
          <w:rFonts w:hint="eastAsia" w:cs="Tahoma"/>
          <w:u w:val="single"/>
        </w:rPr>
        <w:t xml:space="preserve">       </w:t>
      </w:r>
      <w:r>
        <w:rPr>
          <w:rFonts w:cs="Tahoma"/>
          <w:u w:val="single"/>
        </w:rPr>
        <w:br w:type="page"/>
      </w:r>
    </w:p>
    <w:p>
      <w:pPr>
        <w:pStyle w:val="11"/>
        <w:spacing w:line="360" w:lineRule="auto"/>
        <w:sectPr>
          <w:pgSz w:w="11906" w:h="16838"/>
          <w:pgMar w:top="1134" w:right="1134" w:bottom="1134" w:left="1134" w:header="851" w:footer="992" w:gutter="0"/>
          <w:pgBorders>
            <w:top w:val="none" w:sz="0" w:space="0"/>
            <w:left w:val="none" w:sz="0" w:space="0"/>
            <w:bottom w:val="none" w:sz="0" w:space="0"/>
            <w:right w:val="none" w:sz="0" w:space="0"/>
          </w:pgBorders>
          <w:cols w:space="720" w:num="1"/>
          <w:docGrid w:type="lines" w:linePitch="312" w:charSpace="0"/>
        </w:sectPr>
      </w:pPr>
    </w:p>
    <w:p>
      <w:pPr>
        <w:pStyle w:val="4"/>
        <w:numPr>
          <w:ilvl w:val="0"/>
          <w:numId w:val="62"/>
        </w:numPr>
        <w:spacing w:line="360" w:lineRule="auto"/>
        <w:ind w:left="567" w:hanging="567"/>
        <w:rPr>
          <w:bCs w:val="0"/>
          <w:sz w:val="24"/>
          <w:szCs w:val="24"/>
        </w:rPr>
      </w:pPr>
      <w:bookmarkStart w:id="578" w:name="_Toc107561304"/>
      <w:bookmarkStart w:id="579" w:name="_Toc106962849"/>
      <w:r>
        <w:rPr>
          <w:rFonts w:hint="eastAsia"/>
          <w:bCs w:val="0"/>
          <w:sz w:val="24"/>
          <w:szCs w:val="24"/>
        </w:rPr>
        <w:t>中小企业声明函</w:t>
      </w:r>
      <w:bookmarkEnd w:id="578"/>
      <w:bookmarkEnd w:id="579"/>
    </w:p>
    <w:p>
      <w:pPr>
        <w:wordWrap w:val="0"/>
        <w:spacing w:line="360" w:lineRule="auto"/>
        <w:ind w:firstLine="480" w:firstLineChars="200"/>
        <w:rPr>
          <w:szCs w:val="24"/>
        </w:rPr>
      </w:pPr>
      <w:r>
        <w:rPr>
          <w:rFonts w:hint="eastAsia"/>
          <w:szCs w:val="24"/>
        </w:rPr>
        <w:t>（</w:t>
      </w:r>
      <w:r>
        <w:rPr>
          <w:rFonts w:hint="eastAsia" w:ascii="楷体" w:hAnsi="楷体" w:eastAsia="楷体"/>
          <w:szCs w:val="24"/>
        </w:rPr>
        <w:t>符合条件的可选择提供，专门面向或部分预留给中小企业采购的项目或采购包,承担预留份额的应选择提供</w:t>
      </w:r>
      <w:r>
        <w:rPr>
          <w:rFonts w:hint="eastAsia"/>
          <w:szCs w:val="24"/>
        </w:rPr>
        <w:t>）</w:t>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1：中小企业声明函（货物）</w:t>
      </w:r>
    </w:p>
    <w:p>
      <w:pPr>
        <w:wordWrap w:val="0"/>
        <w:spacing w:line="360" w:lineRule="auto"/>
        <w:ind w:firstLine="480" w:firstLineChars="200"/>
        <w:rPr>
          <w:szCs w:val="24"/>
        </w:rPr>
      </w:pPr>
      <w:r>
        <w:rPr>
          <w:rFonts w:hint="eastAsia"/>
          <w:szCs w:val="24"/>
        </w:rPr>
        <w:t>本公司（联合体）郑重声明，根据《政府采购促进中小企业发展管理办法》（财库〔</w:t>
      </w:r>
      <w:r>
        <w:rPr>
          <w:szCs w:val="24"/>
        </w:rPr>
        <w:t>2020〕</w:t>
      </w:r>
      <w:r>
        <w:rPr>
          <w:rFonts w:hint="eastAsia"/>
          <w:szCs w:val="24"/>
        </w:rPr>
        <w:t>46 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中小企业制造</w:t>
      </w:r>
      <w:r>
        <w:rPr>
          <w:rFonts w:hint="eastAsia"/>
          <w:szCs w:val="24"/>
        </w:rPr>
        <w:t>。相关企业（含联合体中的中小企业、签订分包意向协议的中小企业）的具体情况如下：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w:t>
      </w:r>
      <w:r>
        <w:rPr>
          <w:rFonts w:hint="eastAsia"/>
          <w:szCs w:val="24"/>
        </w:rPr>
        <w:t>，属于</w:t>
      </w:r>
      <w:r>
        <w:rPr>
          <w:rFonts w:hint="eastAsia"/>
          <w:szCs w:val="24"/>
          <w:u w:val="single"/>
        </w:rPr>
        <w:t xml:space="preserve"> （</w:t>
      </w:r>
      <w:r>
        <w:rPr>
          <w:rFonts w:hint="eastAsia"/>
          <w:i/>
          <w:szCs w:val="24"/>
          <w:u w:val="single"/>
        </w:rPr>
        <w:t>采购文件中明确的所属行业</w:t>
      </w:r>
      <w:r>
        <w:rPr>
          <w:rFonts w:hint="eastAsia"/>
          <w:szCs w:val="24"/>
          <w:u w:val="single"/>
        </w:rPr>
        <w:t xml:space="preserve">） </w:t>
      </w:r>
      <w:r>
        <w:rPr>
          <w:rFonts w:hint="eastAsia"/>
          <w:szCs w:val="24"/>
        </w:rPr>
        <w:t>行业；制造商为</w:t>
      </w:r>
      <w:r>
        <w:rPr>
          <w:rFonts w:hint="eastAsia"/>
          <w:szCs w:val="24"/>
          <w:u w:val="single"/>
        </w:rPr>
        <w:t>（</w:t>
      </w:r>
      <w:r>
        <w:rPr>
          <w:rFonts w:hint="eastAsia"/>
          <w:i/>
          <w:szCs w:val="24"/>
          <w:u w:val="single"/>
        </w:rPr>
        <w:t>企业名称</w:t>
      </w:r>
      <w:r>
        <w:rPr>
          <w:rFonts w:hint="eastAsia"/>
          <w:szCs w:val="24"/>
          <w:u w:val="single"/>
        </w:rPr>
        <w:t>）</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货物2名称</w:t>
      </w:r>
      <w:r>
        <w:rPr>
          <w:rFonts w:hint="eastAsia"/>
          <w:szCs w:val="24"/>
          <w:u w:val="single"/>
        </w:rPr>
        <w:t xml:space="preserve">） </w:t>
      </w:r>
      <w:r>
        <w:rPr>
          <w:rFonts w:hint="eastAsia"/>
          <w:szCs w:val="24"/>
        </w:rPr>
        <w:t>，属于</w:t>
      </w:r>
      <w:r>
        <w:rPr>
          <w:rFonts w:hint="eastAsia"/>
          <w:szCs w:val="24"/>
          <w:u w:val="single"/>
        </w:rPr>
        <w:t xml:space="preserve"> （</w:t>
      </w:r>
      <w:r>
        <w:rPr>
          <w:rFonts w:hint="eastAsia"/>
          <w:i/>
          <w:szCs w:val="24"/>
          <w:u w:val="single"/>
        </w:rPr>
        <w:t>采购文件中明确的所属行业</w:t>
      </w:r>
      <w:r>
        <w:rPr>
          <w:rFonts w:hint="eastAsia"/>
          <w:szCs w:val="24"/>
          <w:u w:val="single"/>
        </w:rPr>
        <w:t xml:space="preserve">） </w:t>
      </w:r>
      <w:r>
        <w:rPr>
          <w:rFonts w:hint="eastAsia"/>
          <w:szCs w:val="24"/>
        </w:rPr>
        <w:t xml:space="preserve">行业 ；制造商为 </w:t>
      </w:r>
      <w:r>
        <w:rPr>
          <w:rFonts w:hint="eastAsia"/>
          <w:szCs w:val="24"/>
          <w:u w:val="single"/>
        </w:rPr>
        <w:t>（</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87" w:hangingChars="453"/>
        <w:jc w:val="left"/>
        <w:rPr>
          <w:b/>
          <w:bCs/>
          <w:szCs w:val="24"/>
        </w:rPr>
      </w:pPr>
    </w:p>
    <w:p>
      <w:pPr>
        <w:wordWrap w:val="0"/>
        <w:spacing w:line="360" w:lineRule="auto"/>
        <w:ind w:left="1091" w:hanging="1087" w:hangingChars="453"/>
        <w:jc w:val="left"/>
        <w:rPr>
          <w:bCs/>
          <w:szCs w:val="24"/>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rFonts w:cs="Courier New"/>
          <w:szCs w:val="21"/>
        </w:rPr>
      </w:pPr>
      <w:r>
        <w:rPr>
          <w:rFonts w:hint="eastAsia"/>
          <w:bCs/>
          <w:szCs w:val="21"/>
          <w:lang w:val="zh-CN"/>
        </w:rPr>
        <w:t xml:space="preserve">      2、</w:t>
      </w:r>
      <w:r>
        <w:rPr>
          <w:rFonts w:hint="eastAsia" w:cs="Courier New"/>
          <w:szCs w:val="21"/>
        </w:rPr>
        <w:t>以联合体方式参与项目投标的</w:t>
      </w:r>
      <w:r>
        <w:rPr>
          <w:rFonts w:hint="eastAsia" w:cs="Courier New"/>
          <w:szCs w:val="21"/>
          <w:lang w:eastAsia="zh-CN"/>
        </w:rPr>
        <w:t>投标人</w:t>
      </w:r>
      <w:r>
        <w:rPr>
          <w:rFonts w:hint="eastAsia" w:cs="Courier New"/>
          <w:szCs w:val="21"/>
        </w:rPr>
        <w:t>，应由联合体各方盖章。</w:t>
      </w:r>
    </w:p>
    <w:p>
      <w:pPr>
        <w:wordWrap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436" w:firstLineChars="1432"/>
        <w:rPr>
          <w:szCs w:val="24"/>
        </w:rPr>
      </w:pPr>
      <w:r>
        <w:rPr>
          <w:rFonts w:hint="eastAsia"/>
          <w:szCs w:val="24"/>
        </w:rPr>
        <w:t>日 </w:t>
      </w:r>
      <w:r>
        <w:rPr>
          <w:szCs w:val="24"/>
        </w:rPr>
        <w:t xml:space="preserve"> </w:t>
      </w:r>
      <w:r>
        <w:rPr>
          <w:rFonts w:hint="eastAsia"/>
          <w:szCs w:val="24"/>
        </w:rPr>
        <w:t> 期：</w:t>
      </w:r>
      <w:r>
        <w:rPr>
          <w:bCs/>
          <w:szCs w:val="24"/>
          <w:u w:val="single"/>
        </w:rPr>
        <w:t xml:space="preserve">                       </w:t>
      </w:r>
      <w:r>
        <w:rPr>
          <w:rFonts w:hint="eastAsia"/>
          <w:bCs/>
          <w:szCs w:val="24"/>
          <w:u w:val="single"/>
        </w:rPr>
        <w:t xml:space="preserve">   </w:t>
      </w:r>
      <w:r>
        <w:rPr>
          <w:bCs/>
          <w:szCs w:val="24"/>
          <w:u w:val="single"/>
        </w:rPr>
        <w:t xml:space="preserve">         </w:t>
      </w:r>
    </w:p>
    <w:p>
      <w:pPr>
        <w:widowControl/>
        <w:tabs>
          <w:tab w:val="right" w:leader="dot" w:pos="9514"/>
        </w:tabs>
        <w:wordWrap w:val="0"/>
        <w:spacing w:line="360" w:lineRule="auto"/>
        <w:jc w:val="left"/>
        <w:rPr>
          <w:b/>
          <w:iCs/>
          <w:sz w:val="28"/>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AndChars" w:linePitch="312" w:charSpace="0"/>
        </w:sectPr>
      </w:pP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-2：中小企业声明函（服务）</w:t>
      </w:r>
    </w:p>
    <w:p>
      <w:pPr>
        <w:wordWrap w:val="0"/>
        <w:spacing w:line="360" w:lineRule="auto"/>
        <w:ind w:firstLine="480" w:firstLineChars="200"/>
        <w:rPr>
          <w:szCs w:val="24"/>
        </w:rPr>
      </w:pPr>
      <w:r>
        <w:rPr>
          <w:rFonts w:hint="eastAsia"/>
          <w:szCs w:val="24"/>
        </w:rPr>
        <w:t>本公司（联合体）郑重声明，根据《政府采购促进中小企业发展管理办法》（财库〔</w:t>
      </w:r>
      <w:r>
        <w:rPr>
          <w:szCs w:val="24"/>
        </w:rPr>
        <w:t>2020〕</w:t>
      </w:r>
      <w:r>
        <w:rPr>
          <w:rFonts w:hint="eastAsia"/>
          <w:szCs w:val="24"/>
        </w:rPr>
        <w:t>46 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中小企业承接</w:t>
      </w:r>
      <w:r>
        <w:rPr>
          <w:rFonts w:hint="eastAsia"/>
          <w:szCs w:val="24"/>
        </w:rPr>
        <w:t>。相关企业（含联合体中的中小企业、签订分包意向协议的中小企业）的具体情况如下：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（服务1名称）</w:t>
      </w:r>
      <w:r>
        <w:rPr>
          <w:rFonts w:hint="eastAsia"/>
          <w:szCs w:val="24"/>
          <w:u w:val="single"/>
        </w:rPr>
        <w:t xml:space="preserve"> </w:t>
      </w:r>
      <w:r>
        <w:rPr>
          <w:rFonts w:hint="eastAsia"/>
          <w:szCs w:val="24"/>
        </w:rPr>
        <w:t>，属于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（服务2名称）</w:t>
      </w:r>
      <w:r>
        <w:rPr>
          <w:rFonts w:hint="eastAsia"/>
          <w:szCs w:val="24"/>
          <w:u w:val="single"/>
        </w:rPr>
        <w:t xml:space="preserve"> </w:t>
      </w:r>
      <w:r>
        <w:rPr>
          <w:rFonts w:hint="eastAsia"/>
          <w:szCs w:val="24"/>
        </w:rPr>
        <w:t>，属于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91" w:hangingChars="453"/>
        <w:jc w:val="left"/>
        <w:rPr>
          <w:b/>
          <w:szCs w:val="21"/>
          <w:lang w:val="zh-CN"/>
        </w:rPr>
      </w:pPr>
    </w:p>
    <w:p>
      <w:pPr>
        <w:wordWrap w:val="0"/>
        <w:spacing w:line="360" w:lineRule="auto"/>
        <w:ind w:left="1091" w:hanging="1091" w:hangingChars="453"/>
        <w:jc w:val="left"/>
        <w:rPr>
          <w:bCs/>
          <w:szCs w:val="24"/>
        </w:rPr>
      </w:pPr>
      <w:r>
        <w:rPr>
          <w:rFonts w:hint="eastAsia"/>
          <w:b/>
          <w:szCs w:val="21"/>
          <w:lang w:val="zh-CN"/>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bCs/>
          <w:szCs w:val="21"/>
          <w:lang w:val="zh-CN"/>
        </w:rPr>
      </w:pPr>
      <w:r>
        <w:rPr>
          <w:rFonts w:hint="eastAsia"/>
          <w:bCs/>
          <w:szCs w:val="21"/>
          <w:lang w:val="zh-CN"/>
        </w:rPr>
        <w:t xml:space="preserve">      2、</w:t>
      </w:r>
      <w:r>
        <w:rPr>
          <w:rFonts w:hint="eastAsia" w:cs="Courier New"/>
          <w:szCs w:val="21"/>
        </w:rPr>
        <w:t>以联合体方式参与项目投标的</w:t>
      </w:r>
      <w:r>
        <w:rPr>
          <w:rFonts w:hint="eastAsia" w:cs="Courier New"/>
          <w:szCs w:val="21"/>
          <w:lang w:eastAsia="zh-CN"/>
        </w:rPr>
        <w:t>投标人</w:t>
      </w:r>
      <w:r>
        <w:rPr>
          <w:rFonts w:hint="eastAsia" w:cs="Courier New"/>
          <w:szCs w:val="21"/>
        </w:rPr>
        <w:t>，应由联合体各方盖章。</w:t>
      </w:r>
    </w:p>
    <w:p>
      <w:pPr>
        <w:wordWrap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436" w:firstLineChars="1432"/>
        <w:rPr>
          <w:bCs/>
          <w:szCs w:val="24"/>
          <w:u w:val="single"/>
        </w:rPr>
      </w:pPr>
      <w:r>
        <w:rPr>
          <w:rFonts w:hint="eastAsia"/>
          <w:szCs w:val="24"/>
        </w:rPr>
        <w:t>日 </w:t>
      </w:r>
      <w:r>
        <w:rPr>
          <w:szCs w:val="24"/>
        </w:rPr>
        <w:t xml:space="preserve"> </w:t>
      </w:r>
      <w:r>
        <w:rPr>
          <w:rFonts w:hint="eastAsia"/>
          <w:szCs w:val="24"/>
        </w:rPr>
        <w:t> 期：</w:t>
      </w:r>
      <w:r>
        <w:rPr>
          <w:bCs/>
          <w:szCs w:val="24"/>
          <w:u w:val="single"/>
        </w:rPr>
        <w:t xml:space="preserve">                      </w:t>
      </w:r>
      <w:r>
        <w:rPr>
          <w:rFonts w:hint="eastAsia"/>
          <w:bCs/>
          <w:szCs w:val="24"/>
          <w:u w:val="single"/>
        </w:rPr>
        <w:t xml:space="preserve">     </w:t>
      </w:r>
      <w:r>
        <w:rPr>
          <w:bCs/>
          <w:szCs w:val="24"/>
          <w:u w:val="single"/>
        </w:rPr>
        <w:t xml:space="preserve">        </w:t>
      </w:r>
    </w:p>
    <w:p>
      <w:pPr>
        <w:pStyle w:val="11"/>
        <w:wordWrap w:val="0"/>
        <w:spacing w:line="360" w:lineRule="auto"/>
      </w:pPr>
      <w:r>
        <w:br w:type="page"/>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-3：创新产品应用示范推荐目录内中小企业声明函（货物）</w:t>
      </w:r>
    </w:p>
    <w:p>
      <w:pPr>
        <w:wordWrap w:val="0"/>
        <w:adjustRightInd w:val="0"/>
        <w:snapToGrid w:val="0"/>
        <w:spacing w:line="360" w:lineRule="auto"/>
        <w:ind w:firstLine="435"/>
        <w:rPr>
          <w:rFonts w:cs="@仿宋_GB2312"/>
          <w:strike/>
          <w:spacing w:val="6"/>
          <w:szCs w:val="24"/>
        </w:rPr>
      </w:pPr>
      <w:r>
        <w:rPr>
          <w:rFonts w:hint="eastAsia" w:cs="@仿宋_GB2312"/>
          <w:spacing w:val="6"/>
          <w:szCs w:val="24"/>
        </w:rPr>
        <w:t>本公司（联合体）郑重声明，根据《政府采购促进中小企业发展管理办法》（财库〔</w:t>
      </w:r>
      <w:r>
        <w:rPr>
          <w:rFonts w:cs="@仿宋_GB2312"/>
          <w:spacing w:val="6"/>
          <w:szCs w:val="24"/>
        </w:rPr>
        <w:t>2020〕</w:t>
      </w:r>
      <w:r>
        <w:rPr>
          <w:rFonts w:hint="eastAsia" w:cs="@仿宋_GB2312"/>
          <w:spacing w:val="6"/>
          <w:szCs w:val="24"/>
        </w:rPr>
        <w:t>46 号）和《关于落实稳住经济一揽子政策进一步加大政府采购支持中小企业力度的通知》（鄂财采发〔</w:t>
      </w:r>
      <w:r>
        <w:rPr>
          <w:rFonts w:cs="@仿宋_GB2312"/>
          <w:spacing w:val="6"/>
          <w:szCs w:val="24"/>
        </w:rPr>
        <w:t>2022〕</w:t>
      </w:r>
      <w:r>
        <w:rPr>
          <w:rFonts w:hint="eastAsia" w:cs="@仿宋_GB2312"/>
          <w:spacing w:val="6"/>
          <w:szCs w:val="24"/>
        </w:rPr>
        <w:t>5号）的规定，本公司（联合体）参加</w:t>
      </w:r>
      <w:r>
        <w:rPr>
          <w:rFonts w:hint="eastAsia" w:cs="@仿宋_GB2312"/>
          <w:i/>
          <w:spacing w:val="6"/>
          <w:szCs w:val="24"/>
          <w:u w:val="single"/>
        </w:rPr>
        <w:t xml:space="preserve"> （单位名称） </w:t>
      </w:r>
      <w:r>
        <w:rPr>
          <w:rFonts w:hint="eastAsia" w:cs="@仿宋_GB2312"/>
          <w:spacing w:val="6"/>
          <w:szCs w:val="24"/>
        </w:rPr>
        <w:t>的</w:t>
      </w:r>
      <w:r>
        <w:rPr>
          <w:rFonts w:hint="eastAsia" w:cs="@仿宋_GB2312"/>
          <w:i/>
          <w:spacing w:val="6"/>
          <w:szCs w:val="24"/>
          <w:u w:val="single"/>
        </w:rPr>
        <w:t xml:space="preserve"> （项目名称） </w:t>
      </w:r>
      <w:r>
        <w:rPr>
          <w:rFonts w:hint="eastAsia" w:cs="@仿宋_GB2312"/>
          <w:spacing w:val="6"/>
          <w:szCs w:val="24"/>
        </w:rPr>
        <w:t>采购活动，提供的货物</w:t>
      </w:r>
      <w:r>
        <w:rPr>
          <w:rFonts w:hint="eastAsia" w:cs="@仿宋_GB2312"/>
          <w:b/>
          <w:spacing w:val="6"/>
          <w:szCs w:val="24"/>
        </w:rPr>
        <w:t>全部由</w:t>
      </w:r>
      <w:r>
        <w:rPr>
          <w:rFonts w:hint="eastAsia"/>
          <w:bCs/>
          <w:szCs w:val="24"/>
          <w:lang w:val="zh-CN"/>
        </w:rPr>
        <w:t>行政部门颁发的（有效期内）</w:t>
      </w:r>
      <w:r>
        <w:rPr>
          <w:rFonts w:hint="eastAsia" w:cs="@仿宋_GB2312"/>
          <w:spacing w:val="6"/>
          <w:szCs w:val="24"/>
        </w:rPr>
        <w:t>创新产品应用示范推荐</w:t>
      </w:r>
      <w:r>
        <w:rPr>
          <w:rFonts w:hint="eastAsia" w:cs="@仿宋_GB2312"/>
          <w:b/>
          <w:spacing w:val="6"/>
          <w:szCs w:val="24"/>
        </w:rPr>
        <w:t>目录内</w:t>
      </w:r>
      <w:r>
        <w:rPr>
          <w:rFonts w:hint="eastAsia" w:cs="@仿宋_GB2312"/>
          <w:spacing w:val="6"/>
          <w:szCs w:val="24"/>
        </w:rPr>
        <w:t>符合政策要求的</w:t>
      </w:r>
      <w:r>
        <w:rPr>
          <w:rFonts w:hint="eastAsia" w:cs="@仿宋_GB2312"/>
          <w:b/>
          <w:spacing w:val="6"/>
          <w:szCs w:val="24"/>
        </w:rPr>
        <w:t>中小企业制造</w:t>
      </w:r>
      <w:r>
        <w:rPr>
          <w:rFonts w:hint="eastAsia" w:cs="@仿宋_GB2312"/>
          <w:spacing w:val="6"/>
          <w:szCs w:val="24"/>
        </w:rPr>
        <w:t>。相关企业（含联合体中的企业、签订分包意向协议的企业）的具体情况如下：</w:t>
      </w:r>
    </w:p>
    <w:p>
      <w:pPr>
        <w:wordWrap w:val="0"/>
        <w:adjustRightInd w:val="0"/>
        <w:snapToGrid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 xml:space="preserve"> </w:t>
      </w:r>
      <w:r>
        <w:rPr>
          <w:rFonts w:hint="eastAsia"/>
          <w:szCs w:val="24"/>
        </w:rPr>
        <w:t>，属于</w:t>
      </w:r>
      <w:r>
        <w:rPr>
          <w:rFonts w:hint="eastAsia"/>
          <w:bCs/>
          <w:szCs w:val="24"/>
          <w:lang w:val="zh-CN"/>
        </w:rPr>
        <w:t>行政部门颁发的（有效期内）</w:t>
      </w:r>
      <w:r>
        <w:rPr>
          <w:rFonts w:hint="eastAsia"/>
          <w:szCs w:val="24"/>
        </w:rPr>
        <w:t>创新产品应用示范推荐目录内产品，属于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adjustRightInd w:val="0"/>
        <w:snapToGrid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（货物2名称）</w:t>
      </w:r>
      <w:r>
        <w:rPr>
          <w:rFonts w:hint="eastAsia"/>
          <w:szCs w:val="24"/>
          <w:u w:val="single"/>
        </w:rPr>
        <w:t xml:space="preserve"> </w:t>
      </w:r>
      <w:r>
        <w:rPr>
          <w:rFonts w:hint="eastAsia"/>
          <w:szCs w:val="24"/>
        </w:rPr>
        <w:t>，属于</w:t>
      </w:r>
      <w:r>
        <w:rPr>
          <w:rFonts w:hint="eastAsia"/>
          <w:bCs/>
          <w:szCs w:val="24"/>
          <w:lang w:val="zh-CN"/>
        </w:rPr>
        <w:t>行政部门颁发的（有效期内）</w:t>
      </w:r>
      <w:r>
        <w:rPr>
          <w:rFonts w:hint="eastAsia"/>
          <w:szCs w:val="24"/>
        </w:rPr>
        <w:t>创新产品应用示范推荐目录内产品，属于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 ；制造商为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adjustRightInd w:val="0"/>
        <w:snapToGrid w:val="0"/>
        <w:spacing w:line="360" w:lineRule="auto"/>
        <w:ind w:firstLine="480" w:firstLineChars="200"/>
        <w:rPr>
          <w:szCs w:val="24"/>
        </w:rPr>
      </w:pPr>
      <w:r>
        <w:rPr>
          <w:rFonts w:hint="eastAsia"/>
          <w:szCs w:val="24"/>
        </w:rPr>
        <w:t>……</w:t>
      </w:r>
    </w:p>
    <w:p>
      <w:pPr>
        <w:wordWrap w:val="0"/>
        <w:adjustRightInd w:val="0"/>
        <w:snapToGrid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adjustRightInd w:val="0"/>
        <w:snapToGrid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adjustRightInd w:val="0"/>
        <w:snapToGrid w:val="0"/>
        <w:spacing w:line="360" w:lineRule="auto"/>
        <w:ind w:left="1091" w:hanging="1091" w:hangingChars="453"/>
        <w:jc w:val="left"/>
        <w:rPr>
          <w:b/>
          <w:bCs/>
          <w:szCs w:val="24"/>
        </w:rPr>
      </w:pPr>
    </w:p>
    <w:p>
      <w:pPr>
        <w:wordWrap w:val="0"/>
        <w:spacing w:line="360" w:lineRule="auto"/>
        <w:ind w:left="1091" w:hanging="1091" w:hangingChars="453"/>
        <w:jc w:val="left"/>
        <w:rPr>
          <w:bCs/>
          <w:szCs w:val="24"/>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bCs/>
          <w:szCs w:val="21"/>
          <w:lang w:val="zh-CN"/>
        </w:rPr>
      </w:pPr>
      <w:r>
        <w:rPr>
          <w:rFonts w:hint="eastAsia"/>
          <w:bCs/>
          <w:szCs w:val="21"/>
          <w:lang w:val="zh-CN"/>
        </w:rPr>
        <w:t xml:space="preserve">      2、</w:t>
      </w:r>
      <w:r>
        <w:rPr>
          <w:rFonts w:hint="eastAsia" w:cs="Courier New"/>
          <w:szCs w:val="21"/>
        </w:rPr>
        <w:t>以联合体方式参与项目投标的</w:t>
      </w:r>
      <w:r>
        <w:rPr>
          <w:rFonts w:hint="eastAsia" w:cs="Courier New"/>
          <w:szCs w:val="21"/>
          <w:lang w:eastAsia="zh-CN"/>
        </w:rPr>
        <w:t>投标人</w:t>
      </w:r>
      <w:r>
        <w:rPr>
          <w:rFonts w:hint="eastAsia" w:cs="Courier New"/>
          <w:szCs w:val="21"/>
        </w:rPr>
        <w:t>，应由联合体各方盖章。</w:t>
      </w:r>
    </w:p>
    <w:p>
      <w:pPr>
        <w:wordWrap w:val="0"/>
        <w:spacing w:line="360" w:lineRule="auto"/>
        <w:ind w:left="991" w:leftChars="295" w:hanging="283" w:hangingChars="118"/>
        <w:jc w:val="left"/>
        <w:rPr>
          <w:bCs/>
          <w:szCs w:val="21"/>
          <w:lang w:val="zh-CN"/>
        </w:rPr>
      </w:pPr>
      <w:r>
        <w:rPr>
          <w:rFonts w:hint="eastAsia"/>
          <w:bCs/>
          <w:szCs w:val="21"/>
          <w:lang w:val="zh-CN"/>
        </w:rPr>
        <w:t>3、应提供行政部门颁发的（有效期内）的创新产品应用示范推荐目录（所投产品应与清单中产品规格型号一致）。</w:t>
      </w:r>
    </w:p>
    <w:p>
      <w:pPr>
        <w:wordWrap w:val="0"/>
        <w:adjustRightInd w:val="0"/>
        <w:snapToGrid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adjustRightInd w:val="0"/>
        <w:snapToGrid w:val="0"/>
        <w:spacing w:before="100" w:beforeAutospacing="1" w:after="100" w:afterAutospacing="1" w:line="360" w:lineRule="auto"/>
        <w:ind w:firstLine="3436" w:firstLineChars="1432"/>
        <w:rPr>
          <w:b/>
          <w:sz w:val="28"/>
        </w:rPr>
      </w:pPr>
      <w:r>
        <w:rPr>
          <w:rFonts w:hint="eastAsia"/>
          <w:szCs w:val="24"/>
        </w:rPr>
        <w:t>日     期：</w:t>
      </w:r>
      <w:r>
        <w:rPr>
          <w:bCs/>
          <w:szCs w:val="24"/>
          <w:u w:val="single"/>
        </w:rPr>
        <w:t xml:space="preserve">                                  </w:t>
      </w:r>
    </w:p>
    <w:p>
      <w:pPr>
        <w:pStyle w:val="5"/>
        <w:spacing w:before="260" w:after="260" w:line="360" w:lineRule="auto"/>
        <w:rPr>
          <w:rFonts w:ascii="宋体" w:hAnsi="宋体" w:eastAsia="宋体"/>
          <w:bCs/>
          <w:sz w:val="24"/>
          <w:szCs w:val="24"/>
        </w:rPr>
      </w:pPr>
      <w:r>
        <w:rPr>
          <w:rFonts w:hint="eastAsia" w:ascii="宋体" w:hAnsi="宋体" w:eastAsia="宋体"/>
          <w:sz w:val="24"/>
          <w:szCs w:val="24"/>
        </w:rPr>
        <w:t>6</w:t>
      </w:r>
      <w:r>
        <w:rPr>
          <w:rFonts w:ascii="宋体" w:hAnsi="宋体" w:eastAsia="宋体"/>
          <w:sz w:val="24"/>
          <w:szCs w:val="24"/>
        </w:rPr>
        <w:t>.3</w:t>
      </w:r>
      <w:r>
        <w:rPr>
          <w:rFonts w:hint="eastAsia" w:ascii="宋体" w:hAnsi="宋体" w:eastAsia="宋体"/>
          <w:sz w:val="24"/>
          <w:szCs w:val="24"/>
        </w:rPr>
        <w:t>-4：节能环保产品中小企业声明函（货物）</w:t>
      </w:r>
    </w:p>
    <w:p>
      <w:pPr>
        <w:wordWrap w:val="0"/>
        <w:spacing w:line="360" w:lineRule="auto"/>
        <w:ind w:firstLine="504" w:firstLineChars="200"/>
        <w:rPr>
          <w:rFonts w:cs="@仿宋_GB2312"/>
          <w:spacing w:val="6"/>
          <w:szCs w:val="24"/>
        </w:rPr>
      </w:pPr>
      <w:r>
        <w:rPr>
          <w:rFonts w:hint="eastAsia" w:cs="@仿宋_GB2312"/>
          <w:spacing w:val="6"/>
          <w:szCs w:val="24"/>
        </w:rPr>
        <w:t>本公司（联合体）郑重声明，根据《政府采购促进中小企业发展管理办法》（财库〔</w:t>
      </w:r>
      <w:r>
        <w:rPr>
          <w:rFonts w:cs="@仿宋_GB2312"/>
          <w:spacing w:val="6"/>
          <w:szCs w:val="24"/>
        </w:rPr>
        <w:t>2020〕</w:t>
      </w:r>
      <w:r>
        <w:rPr>
          <w:rFonts w:hint="eastAsia" w:cs="@仿宋_GB2312"/>
          <w:spacing w:val="6"/>
          <w:szCs w:val="24"/>
        </w:rPr>
        <w:t>46 号）和《关于落实稳住经济一揽子政策进一步加大政府采购支持中小企业力度的通知》（鄂财采发〔</w:t>
      </w:r>
      <w:r>
        <w:rPr>
          <w:rFonts w:cs="@仿宋_GB2312"/>
          <w:spacing w:val="6"/>
          <w:szCs w:val="24"/>
        </w:rPr>
        <w:t>2022〕</w:t>
      </w:r>
      <w:r>
        <w:rPr>
          <w:rFonts w:hint="eastAsia" w:cs="@仿宋_GB2312"/>
          <w:spacing w:val="6"/>
          <w:szCs w:val="24"/>
        </w:rPr>
        <w:t>5号）的规定，本公司（联合体）参加</w:t>
      </w:r>
      <w:r>
        <w:rPr>
          <w:rFonts w:hint="eastAsia" w:cs="@仿宋_GB2312"/>
          <w:i/>
          <w:spacing w:val="6"/>
          <w:szCs w:val="24"/>
          <w:u w:val="single"/>
        </w:rPr>
        <w:t xml:space="preserve"> （单位名称） </w:t>
      </w:r>
      <w:r>
        <w:rPr>
          <w:rFonts w:hint="eastAsia" w:cs="@仿宋_GB2312"/>
          <w:spacing w:val="6"/>
          <w:szCs w:val="24"/>
        </w:rPr>
        <w:t>的</w:t>
      </w:r>
      <w:r>
        <w:rPr>
          <w:rFonts w:hint="eastAsia" w:cs="@仿宋_GB2312"/>
          <w:i/>
          <w:spacing w:val="6"/>
          <w:szCs w:val="24"/>
          <w:u w:val="single"/>
        </w:rPr>
        <w:t xml:space="preserve"> （项目名称） </w:t>
      </w:r>
      <w:r>
        <w:rPr>
          <w:rFonts w:hint="eastAsia" w:cs="@仿宋_GB2312"/>
          <w:spacing w:val="6"/>
          <w:szCs w:val="24"/>
        </w:rPr>
        <w:t>采购活动，提供的货物</w:t>
      </w:r>
      <w:r>
        <w:rPr>
          <w:rFonts w:hint="eastAsia" w:cs="@仿宋_GB2312"/>
          <w:b/>
          <w:spacing w:val="6"/>
          <w:szCs w:val="24"/>
        </w:rPr>
        <w:t>全部</w:t>
      </w:r>
      <w:r>
        <w:rPr>
          <w:rFonts w:hint="eastAsia"/>
          <w:b/>
          <w:szCs w:val="24"/>
        </w:rPr>
        <w:t>获得</w:t>
      </w:r>
      <w:r>
        <w:rPr>
          <w:rFonts w:hint="eastAsia"/>
          <w:szCs w:val="24"/>
        </w:rPr>
        <w:t>节能产品或环境标志产品认证证书</w:t>
      </w:r>
      <w:r>
        <w:rPr>
          <w:rFonts w:hint="eastAsia" w:cs="@仿宋_GB2312"/>
          <w:b/>
          <w:spacing w:val="6"/>
          <w:szCs w:val="24"/>
        </w:rPr>
        <w:t>且由</w:t>
      </w:r>
      <w:r>
        <w:rPr>
          <w:rFonts w:hint="eastAsia" w:cs="@仿宋_GB2312"/>
          <w:spacing w:val="6"/>
          <w:szCs w:val="24"/>
        </w:rPr>
        <w:t>符合政策要求的</w:t>
      </w:r>
      <w:r>
        <w:rPr>
          <w:rFonts w:hint="eastAsia" w:cs="@仿宋_GB2312"/>
          <w:b/>
          <w:spacing w:val="6"/>
          <w:szCs w:val="24"/>
        </w:rPr>
        <w:t>中小企业制造</w:t>
      </w:r>
      <w:r>
        <w:rPr>
          <w:rFonts w:hint="eastAsia" w:cs="@仿宋_GB2312"/>
          <w:spacing w:val="6"/>
          <w:szCs w:val="24"/>
        </w:rPr>
        <w:t>。相关企业（含联合体中的企业、签订分包意向协议的企业）的具体情况如下：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 xml:space="preserve"> </w:t>
      </w:r>
      <w:r>
        <w:rPr>
          <w:rFonts w:hint="eastAsia"/>
          <w:szCs w:val="24"/>
        </w:rPr>
        <w:t>，属于政府优先采购《节能产品政府采购品目清单》或《环境标志产品政府采购品目清单》范围内且获得节能产品或环境标志产品认证证书的产品，属于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u w:val="single"/>
        </w:rPr>
        <w:t xml:space="preserve"> </w:t>
      </w:r>
      <w:r>
        <w:rPr>
          <w:rFonts w:hint="eastAsia"/>
          <w:szCs w:val="24"/>
        </w:rPr>
        <w:t>；</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（货物2名称）</w:t>
      </w:r>
      <w:r>
        <w:rPr>
          <w:rFonts w:hint="eastAsia"/>
          <w:szCs w:val="24"/>
          <w:u w:val="single"/>
        </w:rPr>
        <w:t xml:space="preserve"> </w:t>
      </w:r>
      <w:r>
        <w:rPr>
          <w:rFonts w:hint="eastAsia"/>
          <w:szCs w:val="24"/>
        </w:rPr>
        <w:t>，属于政府优先采购《节能产品政府采购品目清单》《环境标志产品政府采购品目清单》范围内且获得节能产品或环境标志产品认证证书的产品，属于</w:t>
      </w:r>
      <w:r>
        <w:rPr>
          <w:rFonts w:hint="eastAsia"/>
          <w:szCs w:val="24"/>
          <w:u w:val="single"/>
        </w:rPr>
        <w:t xml:space="preserve"> </w:t>
      </w:r>
      <w:r>
        <w:rPr>
          <w:rFonts w:hint="eastAsia"/>
          <w:i/>
          <w:szCs w:val="24"/>
          <w:u w:val="single"/>
        </w:rPr>
        <w:t xml:space="preserve">（采购文件中明确的所属行业） </w:t>
      </w:r>
      <w:r>
        <w:rPr>
          <w:rFonts w:hint="eastAsia"/>
          <w:szCs w:val="24"/>
        </w:rPr>
        <w:t>行业，制造商为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，从业人员</w:t>
      </w:r>
      <w:r>
        <w:rPr>
          <w:rFonts w:hint="eastAsia"/>
          <w:szCs w:val="24"/>
          <w:u w:val="single"/>
        </w:rPr>
        <w:t xml:space="preserve">      </w:t>
      </w:r>
      <w:r>
        <w:rPr>
          <w:rFonts w:hint="eastAsia"/>
          <w:szCs w:val="24"/>
        </w:rPr>
        <w:t>人，营业收入为</w:t>
      </w:r>
      <w:r>
        <w:rPr>
          <w:rFonts w:hint="eastAsia"/>
          <w:szCs w:val="24"/>
          <w:u w:val="single"/>
        </w:rPr>
        <w:t xml:space="preserve">      </w:t>
      </w:r>
      <w:r>
        <w:rPr>
          <w:rFonts w:hint="eastAsia"/>
          <w:szCs w:val="24"/>
        </w:rPr>
        <w:t>万元，资产总额为</w:t>
      </w:r>
      <w:r>
        <w:rPr>
          <w:rFonts w:hint="eastAsia"/>
          <w:szCs w:val="24"/>
          <w:u w:val="single"/>
        </w:rPr>
        <w:t xml:space="preserve">      </w:t>
      </w:r>
      <w:r>
        <w:rPr>
          <w:rFonts w:hint="eastAsia"/>
          <w:szCs w:val="24"/>
        </w:rPr>
        <w:t>万元（</w:t>
      </w:r>
      <w:r>
        <w:rPr>
          <w:rFonts w:hint="eastAsia" w:ascii="楷体" w:hAnsi="楷体" w:eastAsia="楷体"/>
          <w:szCs w:val="24"/>
        </w:rPr>
        <w:t>从业人员、营业收入、资产总额填报上一年度数据，无上一年度数据的新成立企业可不填报</w:t>
      </w:r>
      <w:r>
        <w:rPr>
          <w:rFonts w:hint="eastAsia"/>
          <w:szCs w:val="24"/>
        </w:rPr>
        <w:t>），属于</w:t>
      </w:r>
      <w:r>
        <w:rPr>
          <w:rFonts w:hint="eastAsia"/>
          <w:szCs w:val="24"/>
          <w:u w:val="single"/>
        </w:rPr>
        <w:t xml:space="preserve"> </w:t>
      </w:r>
      <w:r>
        <w:rPr>
          <w:rFonts w:hint="eastAsia"/>
          <w:i/>
          <w:szCs w:val="24"/>
          <w:u w:val="single"/>
        </w:rPr>
        <w:t>（中型企业、小型企业、微型企业）</w:t>
      </w:r>
      <w:r>
        <w:rPr>
          <w:rFonts w:hint="eastAsia"/>
          <w:szCs w:val="24"/>
        </w:rPr>
        <w:t>；</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91" w:hangingChars="453"/>
        <w:jc w:val="left"/>
        <w:rPr>
          <w:b/>
          <w:bCs/>
          <w:szCs w:val="24"/>
        </w:rPr>
      </w:pPr>
    </w:p>
    <w:p>
      <w:pPr>
        <w:wordWrap w:val="0"/>
        <w:spacing w:line="360" w:lineRule="auto"/>
        <w:ind w:left="1091" w:hanging="1091" w:hangingChars="453"/>
        <w:jc w:val="left"/>
        <w:rPr>
          <w:bCs/>
          <w:szCs w:val="21"/>
          <w:lang w:val="zh-CN"/>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lang w:val="zh-CN"/>
        </w:rPr>
      </w:pPr>
      <w:r>
        <w:rPr>
          <w:rFonts w:hint="eastAsia"/>
          <w:lang w:val="zh-CN"/>
        </w:rPr>
        <w:t xml:space="preserve">      </w:t>
      </w:r>
      <w:r>
        <w:rPr>
          <w:rFonts w:hint="eastAsia"/>
          <w:bCs/>
          <w:szCs w:val="21"/>
          <w:lang w:val="zh-CN"/>
        </w:rPr>
        <w:t>2、应提供节能环保产品在“品目清单”中的相关产品截图（所投产品应与清单中产品规格型号一致）。</w:t>
      </w:r>
    </w:p>
    <w:p>
      <w:pPr>
        <w:wordWrap w:val="0"/>
        <w:spacing w:line="360" w:lineRule="auto"/>
        <w:ind w:left="1087" w:hanging="1087" w:hangingChars="453"/>
        <w:jc w:val="left"/>
        <w:rPr>
          <w:rFonts w:cs="Courier New"/>
          <w:szCs w:val="21"/>
        </w:rPr>
      </w:pPr>
      <w:r>
        <w:rPr>
          <w:rFonts w:hint="eastAsia"/>
          <w:bCs/>
          <w:szCs w:val="21"/>
          <w:lang w:val="zh-CN"/>
        </w:rPr>
        <w:t xml:space="preserve">      3、</w:t>
      </w:r>
      <w:r>
        <w:rPr>
          <w:rFonts w:hint="eastAsia" w:cs="Courier New"/>
          <w:szCs w:val="21"/>
        </w:rPr>
        <w:t>以联合体方式参与项目投标的</w:t>
      </w:r>
      <w:r>
        <w:rPr>
          <w:rFonts w:hint="eastAsia" w:cs="Courier New"/>
          <w:szCs w:val="21"/>
          <w:lang w:eastAsia="zh-CN"/>
        </w:rPr>
        <w:t>投标人</w:t>
      </w:r>
      <w:r>
        <w:rPr>
          <w:rFonts w:hint="eastAsia" w:cs="Courier New"/>
          <w:szCs w:val="21"/>
        </w:rPr>
        <w:t>，应由联合体各方盖章。</w:t>
      </w:r>
    </w:p>
    <w:p>
      <w:pPr>
        <w:wordWrap w:val="0"/>
        <w:spacing w:before="100" w:beforeAutospacing="1" w:after="100" w:afterAutospacing="1" w:line="360" w:lineRule="auto"/>
        <w:ind w:firstLine="3436" w:firstLineChars="1432"/>
        <w:rPr>
          <w:bCs/>
          <w:szCs w:val="21"/>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436" w:firstLineChars="1432"/>
        <w:rPr>
          <w:bCs/>
          <w:szCs w:val="24"/>
          <w:u w:val="single"/>
        </w:rPr>
      </w:pPr>
      <w:r>
        <w:rPr>
          <w:rFonts w:hint="eastAsia"/>
          <w:szCs w:val="24"/>
        </w:rPr>
        <w:t>日     期：</w:t>
      </w:r>
      <w:r>
        <w:rPr>
          <w:bCs/>
          <w:szCs w:val="24"/>
          <w:u w:val="single"/>
        </w:rPr>
        <w:t xml:space="preserve">                            </w:t>
      </w:r>
      <w:r>
        <w:rPr>
          <w:rFonts w:hint="eastAsia"/>
          <w:bCs/>
          <w:szCs w:val="24"/>
          <w:u w:val="single"/>
        </w:rPr>
        <w:t xml:space="preserve">  </w:t>
      </w:r>
      <w:r>
        <w:rPr>
          <w:bCs/>
          <w:szCs w:val="24"/>
          <w:u w:val="single"/>
        </w:rPr>
        <w:t xml:space="preserve">    </w:t>
      </w:r>
    </w:p>
    <w:p>
      <w:pPr>
        <w:pStyle w:val="4"/>
        <w:numPr>
          <w:ilvl w:val="0"/>
          <w:numId w:val="62"/>
        </w:numPr>
        <w:spacing w:line="360" w:lineRule="auto"/>
        <w:ind w:left="567" w:hanging="567"/>
        <w:rPr>
          <w:bCs w:val="0"/>
          <w:sz w:val="24"/>
          <w:szCs w:val="24"/>
        </w:rPr>
      </w:pPr>
      <w:bookmarkStart w:id="580" w:name="_Toc107561305"/>
      <w:bookmarkStart w:id="581" w:name="_Toc106962850"/>
      <w:r>
        <w:rPr>
          <w:rFonts w:hint="eastAsia"/>
          <w:bCs w:val="0"/>
          <w:sz w:val="24"/>
          <w:szCs w:val="24"/>
        </w:rPr>
        <w:t>监狱企业证明文件</w:t>
      </w:r>
    </w:p>
    <w:p>
      <w:pPr>
        <w:adjustRightInd w:val="0"/>
        <w:snapToGrid w:val="0"/>
        <w:spacing w:line="360" w:lineRule="auto"/>
        <w:ind w:firstLine="480" w:firstLineChars="200"/>
        <w:jc w:val="left"/>
        <w:rPr>
          <w:szCs w:val="24"/>
        </w:rPr>
      </w:pPr>
      <w:r>
        <w:rPr>
          <w:rFonts w:hint="eastAsia"/>
          <w:szCs w:val="24"/>
        </w:rPr>
        <w:t>（</w:t>
      </w:r>
      <w:r>
        <w:rPr>
          <w:rFonts w:hint="eastAsia" w:ascii="楷体" w:hAnsi="楷体" w:eastAsia="楷体"/>
          <w:szCs w:val="24"/>
        </w:rPr>
        <w:t>监狱企业应提供由省级及以上监狱管理局、戒毒管理局（含新疆生产建设兵团）出具的监狱企业的证明文件，格式自行编写</w:t>
      </w:r>
      <w:r>
        <w:rPr>
          <w:rFonts w:hint="eastAsia"/>
          <w:szCs w:val="24"/>
        </w:rPr>
        <w:t>）</w:t>
      </w:r>
    </w:p>
    <w:p>
      <w:pPr>
        <w:pStyle w:val="4"/>
        <w:numPr>
          <w:ilvl w:val="0"/>
          <w:numId w:val="62"/>
        </w:numPr>
        <w:spacing w:line="360" w:lineRule="auto"/>
        <w:ind w:left="567" w:hanging="567"/>
        <w:rPr>
          <w:bCs w:val="0"/>
          <w:sz w:val="24"/>
          <w:szCs w:val="24"/>
        </w:rPr>
      </w:pPr>
      <w:r>
        <w:rPr>
          <w:rFonts w:hint="eastAsia"/>
          <w:bCs w:val="0"/>
          <w:sz w:val="24"/>
          <w:szCs w:val="24"/>
        </w:rPr>
        <w:t>残疾人福利性单位声明函</w:t>
      </w:r>
      <w:bookmarkEnd w:id="580"/>
      <w:bookmarkEnd w:id="581"/>
    </w:p>
    <w:p>
      <w:pPr>
        <w:adjustRightInd w:val="0"/>
        <w:snapToGrid w:val="0"/>
        <w:spacing w:line="360" w:lineRule="auto"/>
        <w:ind w:firstLine="480" w:firstLineChars="200"/>
        <w:jc w:val="left"/>
        <w:rPr>
          <w:szCs w:val="24"/>
        </w:rPr>
      </w:pPr>
      <w:r>
        <w:rPr>
          <w:rFonts w:hint="eastAsia"/>
          <w:szCs w:val="24"/>
        </w:rPr>
        <w:t>（</w:t>
      </w:r>
      <w:r>
        <w:rPr>
          <w:rFonts w:hint="eastAsia" w:ascii="楷体" w:hAnsi="楷体" w:eastAsia="楷体"/>
          <w:szCs w:val="24"/>
        </w:rPr>
        <w:t>符合条件的可选择提供，专门面向或部分预留给中小企业采购的项目或采购包，承担预留份额的应选择提供</w:t>
      </w:r>
      <w:r>
        <w:rPr>
          <w:rFonts w:hint="eastAsia"/>
          <w:szCs w:val="24"/>
        </w:rPr>
        <w:t>）</w:t>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.5</w:t>
      </w:r>
      <w:r>
        <w:rPr>
          <w:rFonts w:hint="eastAsia" w:ascii="宋体" w:hAnsi="宋体" w:eastAsia="宋体"/>
          <w:sz w:val="24"/>
          <w:szCs w:val="24"/>
        </w:rPr>
        <w:t>-1：残疾人福利性单位声明函（货物）</w:t>
      </w:r>
    </w:p>
    <w:p>
      <w:pPr>
        <w:wordWrap w:val="0"/>
        <w:spacing w:line="360" w:lineRule="auto"/>
        <w:ind w:firstLine="480" w:firstLineChars="200"/>
        <w:rPr>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采购活动，提供的货物</w:t>
      </w:r>
      <w:r>
        <w:rPr>
          <w:rFonts w:hint="eastAsia"/>
          <w:b/>
          <w:szCs w:val="24"/>
        </w:rPr>
        <w:t>全部由</w:t>
      </w:r>
      <w:r>
        <w:rPr>
          <w:rFonts w:hint="eastAsia"/>
          <w:szCs w:val="24"/>
        </w:rPr>
        <w:t>符合政策要求的</w:t>
      </w:r>
      <w:r>
        <w:rPr>
          <w:rFonts w:hint="eastAsia"/>
          <w:b/>
          <w:szCs w:val="24"/>
        </w:rPr>
        <w:t>残疾人福利性单位制造</w:t>
      </w:r>
      <w:r>
        <w:rPr>
          <w:rFonts w:hint="eastAsia"/>
          <w:szCs w:val="24"/>
        </w:rPr>
        <w:t>。相关企业（含联合体中的残疾人福利性单位、签订分包意向协议的残疾人福利性单位）的具体情况如下：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（货物1名称）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 xml:space="preserve">2. </w:t>
      </w:r>
      <w:r>
        <w:rPr>
          <w:rFonts w:hint="eastAsia"/>
          <w:i/>
          <w:szCs w:val="24"/>
          <w:u w:val="single"/>
        </w:rPr>
        <w:t>（货物2名称）</w:t>
      </w:r>
      <w:r>
        <w:rPr>
          <w:rFonts w:hint="eastAsia"/>
          <w:szCs w:val="24"/>
          <w:u w:val="single"/>
        </w:rPr>
        <w:t xml:space="preserve"> </w:t>
      </w:r>
      <w:r>
        <w:rPr>
          <w:rFonts w:hint="eastAsia"/>
          <w:szCs w:val="24"/>
        </w:rPr>
        <w:t xml:space="preserve">，制造商为 </w:t>
      </w:r>
      <w:r>
        <w:rPr>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91" w:hangingChars="453"/>
        <w:jc w:val="left"/>
        <w:rPr>
          <w:b/>
          <w:bCs/>
          <w:szCs w:val="24"/>
        </w:rPr>
      </w:pPr>
    </w:p>
    <w:p>
      <w:pPr>
        <w:wordWrap w:val="0"/>
        <w:spacing w:line="360" w:lineRule="auto"/>
        <w:ind w:left="1091" w:hanging="1091" w:hangingChars="453"/>
        <w:jc w:val="left"/>
        <w:rPr>
          <w:bCs/>
          <w:szCs w:val="24"/>
        </w:rPr>
      </w:pPr>
      <w:r>
        <w:rPr>
          <w:rFonts w:hint="eastAsia"/>
          <w:b/>
          <w:bCs/>
          <w:szCs w:val="24"/>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rFonts w:cs="Courier New"/>
          <w:szCs w:val="21"/>
        </w:rPr>
      </w:pPr>
      <w:r>
        <w:rPr>
          <w:rFonts w:hint="eastAsia"/>
          <w:bCs/>
          <w:szCs w:val="21"/>
          <w:lang w:val="zh-CN"/>
        </w:rPr>
        <w:t xml:space="preserve">      2、</w:t>
      </w:r>
      <w:r>
        <w:rPr>
          <w:rFonts w:hint="eastAsia" w:cs="Courier New"/>
          <w:szCs w:val="21"/>
        </w:rPr>
        <w:t>以联合体方式参与项目投标的</w:t>
      </w:r>
      <w:r>
        <w:rPr>
          <w:rFonts w:hint="eastAsia" w:cs="Courier New"/>
          <w:szCs w:val="21"/>
          <w:lang w:eastAsia="zh-CN"/>
        </w:rPr>
        <w:t>投标人</w:t>
      </w:r>
      <w:r>
        <w:rPr>
          <w:rFonts w:hint="eastAsia" w:cs="Courier New"/>
          <w:szCs w:val="21"/>
        </w:rPr>
        <w:t>，应由联合体各方盖章。</w:t>
      </w:r>
    </w:p>
    <w:p>
      <w:pPr>
        <w:wordWrap w:val="0"/>
        <w:spacing w:before="100" w:beforeAutospacing="1" w:after="100" w:afterAutospacing="1" w:line="360" w:lineRule="auto"/>
        <w:ind w:firstLine="3316" w:firstLineChars="1382"/>
        <w:rPr>
          <w:bCs/>
          <w:szCs w:val="21"/>
          <w:lang w:val="zh-CN"/>
        </w:rPr>
      </w:pPr>
      <w:r>
        <w:rPr>
          <w:rFonts w:hint="eastAsia"/>
          <w:bCs/>
          <w:szCs w:val="21"/>
          <w:lang w:val="zh-CN"/>
        </w:rPr>
        <w:t>投标人</w:t>
      </w:r>
      <w:r>
        <w:rPr>
          <w:rFonts w:hint="eastAsia"/>
          <w:bCs/>
        </w:rPr>
        <w:t>（公章）</w:t>
      </w:r>
      <w:r>
        <w:rPr>
          <w:rFonts w:hint="eastAsia"/>
          <w:bCs/>
          <w:szCs w:val="21"/>
          <w:lang w:val="zh-CN"/>
        </w:rPr>
        <w:t>：</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szCs w:val="24"/>
        </w:rPr>
        <w:t>日 </w:t>
      </w:r>
      <w:r>
        <w:rPr>
          <w:szCs w:val="24"/>
        </w:rPr>
        <w:t xml:space="preserve"> </w:t>
      </w:r>
      <w:r>
        <w:rPr>
          <w:rFonts w:hint="eastAsia"/>
          <w:szCs w:val="24"/>
        </w:rPr>
        <w:t> 期：</w:t>
      </w:r>
      <w:r>
        <w:rPr>
          <w:bCs/>
          <w:szCs w:val="24"/>
          <w:u w:val="single"/>
        </w:rPr>
        <w:t xml:space="preserve">                              </w:t>
      </w:r>
    </w:p>
    <w:p>
      <w:pPr>
        <w:pStyle w:val="5"/>
        <w:spacing w:before="260" w:after="260" w:line="360" w:lineRule="auto"/>
        <w:rPr>
          <w:rFonts w:ascii="宋体" w:hAnsi="宋体" w:eastAsia="宋体"/>
          <w:sz w:val="24"/>
          <w:szCs w:val="24"/>
        </w:rPr>
      </w:pPr>
      <w:r>
        <w:rPr>
          <w:rFonts w:hint="eastAsia" w:ascii="宋体" w:hAnsi="宋体" w:eastAsia="宋体"/>
          <w:sz w:val="24"/>
          <w:szCs w:val="24"/>
        </w:rPr>
        <w:t>6</w:t>
      </w:r>
      <w:r>
        <w:rPr>
          <w:rFonts w:ascii="宋体" w:hAnsi="宋体" w:eastAsia="宋体"/>
          <w:sz w:val="24"/>
          <w:szCs w:val="24"/>
        </w:rPr>
        <w:t>.5</w:t>
      </w:r>
      <w:r>
        <w:rPr>
          <w:rFonts w:hint="eastAsia" w:ascii="宋体" w:hAnsi="宋体" w:eastAsia="宋体"/>
          <w:sz w:val="24"/>
          <w:szCs w:val="24"/>
        </w:rPr>
        <w:t>-2：残疾人福利性单位声明函（服务）</w:t>
      </w:r>
    </w:p>
    <w:p>
      <w:pPr>
        <w:wordWrap w:val="0"/>
        <w:spacing w:line="360" w:lineRule="auto"/>
        <w:ind w:firstLine="480" w:firstLineChars="200"/>
        <w:rPr>
          <w:szCs w:val="24"/>
        </w:rPr>
      </w:pPr>
      <w:r>
        <w:rPr>
          <w:rFonts w:hint="eastAsia"/>
          <w:szCs w:val="24"/>
        </w:rPr>
        <w:t>本公司（联合体）郑重声明，根据《财政部 民政部 中国残疾人联合会关于促进残疾人就业政府采购政策的通知》（财库〔2017〕141号）的规定，本公司（联合体）参加</w:t>
      </w:r>
      <w:r>
        <w:rPr>
          <w:rFonts w:hint="eastAsia"/>
          <w:szCs w:val="24"/>
          <w:u w:val="single"/>
        </w:rPr>
        <w:t xml:space="preserve"> </w:t>
      </w:r>
      <w:r>
        <w:rPr>
          <w:rFonts w:hint="eastAsia"/>
          <w:i/>
          <w:szCs w:val="24"/>
          <w:u w:val="single"/>
        </w:rPr>
        <w:t>（单位名称）</w:t>
      </w:r>
      <w:r>
        <w:rPr>
          <w:rFonts w:hint="eastAsia"/>
          <w:szCs w:val="24"/>
          <w:u w:val="single"/>
        </w:rPr>
        <w:t xml:space="preserve"> </w:t>
      </w:r>
      <w:r>
        <w:rPr>
          <w:rFonts w:hint="eastAsia"/>
          <w:szCs w:val="24"/>
        </w:rPr>
        <w:t>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采购活动，服务</w:t>
      </w:r>
      <w:r>
        <w:rPr>
          <w:rFonts w:hint="eastAsia"/>
          <w:b/>
          <w:szCs w:val="24"/>
        </w:rPr>
        <w:t>全部由</w:t>
      </w:r>
      <w:r>
        <w:rPr>
          <w:rFonts w:hint="eastAsia"/>
          <w:szCs w:val="24"/>
        </w:rPr>
        <w:t>符合政策要求的</w:t>
      </w:r>
      <w:r>
        <w:rPr>
          <w:rFonts w:hint="eastAsia"/>
          <w:b/>
          <w:szCs w:val="24"/>
        </w:rPr>
        <w:t>残疾人福利性单位承接</w:t>
      </w:r>
      <w:r>
        <w:rPr>
          <w:rFonts w:hint="eastAsia"/>
          <w:szCs w:val="24"/>
        </w:rPr>
        <w:t>。相关企业（含联合体中的残疾人福利性单位、签订分包意向协议的残疾人福利性单位）的具体情况如下：</w:t>
      </w:r>
    </w:p>
    <w:p>
      <w:pPr>
        <w:wordWrap w:val="0"/>
        <w:spacing w:line="360" w:lineRule="auto"/>
        <w:ind w:firstLine="480" w:firstLineChars="200"/>
        <w:rPr>
          <w:szCs w:val="24"/>
        </w:rPr>
      </w:pPr>
      <w:r>
        <w:rPr>
          <w:rFonts w:hint="eastAsia"/>
          <w:szCs w:val="24"/>
        </w:rPr>
        <w:t>1.</w:t>
      </w:r>
      <w:r>
        <w:rPr>
          <w:rFonts w:hint="eastAsia"/>
          <w:szCs w:val="24"/>
          <w:u w:val="single"/>
        </w:rPr>
        <w:t xml:space="preserve"> </w:t>
      </w:r>
      <w:r>
        <w:rPr>
          <w:rFonts w:hint="eastAsia"/>
          <w:i/>
          <w:szCs w:val="24"/>
          <w:u w:val="single"/>
        </w:rPr>
        <w:t>（服务1名称）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2.</w:t>
      </w:r>
      <w:r>
        <w:rPr>
          <w:rFonts w:hint="eastAsia"/>
          <w:szCs w:val="24"/>
          <w:u w:val="single"/>
        </w:rPr>
        <w:t xml:space="preserve"> </w:t>
      </w:r>
      <w:r>
        <w:rPr>
          <w:rFonts w:hint="eastAsia"/>
          <w:i/>
          <w:szCs w:val="24"/>
          <w:u w:val="single"/>
        </w:rPr>
        <w:t>（服务2名称）</w:t>
      </w:r>
      <w:r>
        <w:rPr>
          <w:rFonts w:hint="eastAsia"/>
          <w:szCs w:val="24"/>
          <w:u w:val="single"/>
        </w:rPr>
        <w:t xml:space="preserve"> </w:t>
      </w:r>
      <w:r>
        <w:rPr>
          <w:rFonts w:hint="eastAsia"/>
          <w:szCs w:val="24"/>
        </w:rPr>
        <w:t>，承接企业为</w:t>
      </w:r>
      <w:r>
        <w:rPr>
          <w:rFonts w:hint="eastAsia"/>
          <w:szCs w:val="24"/>
          <w:u w:val="single"/>
        </w:rPr>
        <w:t xml:space="preserve"> </w:t>
      </w:r>
      <w:r>
        <w:rPr>
          <w:rFonts w:hint="eastAsia"/>
          <w:i/>
          <w:szCs w:val="24"/>
          <w:u w:val="single"/>
        </w:rPr>
        <w:t>（企业名称）</w:t>
      </w:r>
      <w:r>
        <w:rPr>
          <w:rFonts w:hint="eastAsia"/>
          <w:szCs w:val="24"/>
          <w:u w:val="single"/>
        </w:rPr>
        <w:t xml:space="preserve"> </w:t>
      </w:r>
      <w:r>
        <w:rPr>
          <w:rFonts w:hint="eastAsia"/>
          <w:szCs w:val="24"/>
        </w:rPr>
        <w:t>，属于残疾人福利性单位；</w:t>
      </w:r>
    </w:p>
    <w:p>
      <w:pPr>
        <w:wordWrap w:val="0"/>
        <w:spacing w:line="360" w:lineRule="auto"/>
        <w:ind w:firstLine="480" w:firstLineChars="200"/>
        <w:rPr>
          <w:szCs w:val="24"/>
        </w:rPr>
      </w:pPr>
      <w:r>
        <w:rPr>
          <w:rFonts w:hint="eastAsia"/>
          <w:szCs w:val="24"/>
        </w:rPr>
        <w:t>……</w:t>
      </w:r>
    </w:p>
    <w:p>
      <w:pPr>
        <w:wordWrap w:val="0"/>
        <w:spacing w:line="360" w:lineRule="auto"/>
        <w:ind w:firstLine="480" w:firstLineChars="200"/>
        <w:rPr>
          <w:szCs w:val="24"/>
        </w:rPr>
      </w:pPr>
      <w:r>
        <w:rPr>
          <w:rFonts w:hint="eastAsia"/>
          <w:szCs w:val="24"/>
        </w:rPr>
        <w:t>以上企业，不属于大企业的分支机构，不存在控股股东为大企业的情形，也不存在与大企业的负责人为同一人的情形。</w:t>
      </w:r>
    </w:p>
    <w:p>
      <w:pPr>
        <w:wordWrap w:val="0"/>
        <w:spacing w:line="360" w:lineRule="auto"/>
        <w:ind w:left="1087" w:leftChars="200" w:hanging="607" w:hangingChars="253"/>
        <w:jc w:val="left"/>
        <w:rPr>
          <w:szCs w:val="24"/>
        </w:rPr>
      </w:pPr>
      <w:r>
        <w:rPr>
          <w:rFonts w:hint="eastAsia"/>
          <w:szCs w:val="24"/>
        </w:rPr>
        <w:t>本企业对上述声明内容的真实性负责。如有虚假，将依法承担相应责任。</w:t>
      </w:r>
    </w:p>
    <w:p>
      <w:pPr>
        <w:wordWrap w:val="0"/>
        <w:spacing w:line="360" w:lineRule="auto"/>
        <w:ind w:left="1091" w:hanging="1087" w:hangingChars="453"/>
        <w:jc w:val="left"/>
        <w:rPr>
          <w:b/>
          <w:szCs w:val="21"/>
          <w:lang w:val="zh-CN"/>
        </w:rPr>
      </w:pPr>
    </w:p>
    <w:p>
      <w:pPr>
        <w:wordWrap w:val="0"/>
        <w:spacing w:line="360" w:lineRule="auto"/>
        <w:ind w:left="1091" w:hanging="1087" w:hangingChars="453"/>
        <w:jc w:val="left"/>
        <w:rPr>
          <w:bCs/>
          <w:szCs w:val="24"/>
        </w:rPr>
      </w:pPr>
      <w:r>
        <w:rPr>
          <w:rFonts w:hint="eastAsia"/>
          <w:b/>
          <w:szCs w:val="21"/>
          <w:lang w:val="zh-CN"/>
        </w:rPr>
        <w:t>说明：</w:t>
      </w:r>
      <w:r>
        <w:rPr>
          <w:rFonts w:hint="eastAsia"/>
          <w:bCs/>
          <w:szCs w:val="24"/>
        </w:rPr>
        <w:t>1、</w:t>
      </w:r>
      <w:r>
        <w:rPr>
          <w:rFonts w:hint="eastAsia"/>
          <w:bCs/>
          <w:szCs w:val="21"/>
          <w:lang w:val="zh-CN"/>
        </w:rPr>
        <w:t>应严格按上述格式及内容进行填写；</w:t>
      </w:r>
    </w:p>
    <w:p>
      <w:pPr>
        <w:wordWrap w:val="0"/>
        <w:spacing w:line="360" w:lineRule="auto"/>
        <w:ind w:left="1087" w:hanging="1087" w:hangingChars="453"/>
        <w:jc w:val="left"/>
        <w:rPr>
          <w:rFonts w:cs="Courier New"/>
          <w:szCs w:val="21"/>
        </w:rPr>
      </w:pPr>
      <w:r>
        <w:rPr>
          <w:rFonts w:hint="eastAsia"/>
          <w:bCs/>
          <w:szCs w:val="21"/>
          <w:lang w:val="zh-CN"/>
        </w:rPr>
        <w:t xml:space="preserve">      2、</w:t>
      </w:r>
      <w:r>
        <w:rPr>
          <w:rFonts w:hint="eastAsia" w:cs="Courier New"/>
          <w:szCs w:val="21"/>
        </w:rPr>
        <w:t>以联合体方式参与项目投标的</w:t>
      </w:r>
      <w:r>
        <w:rPr>
          <w:rFonts w:hint="eastAsia" w:cs="Courier New"/>
          <w:szCs w:val="21"/>
          <w:lang w:eastAsia="zh-CN"/>
        </w:rPr>
        <w:t>投标人</w:t>
      </w:r>
      <w:r>
        <w:rPr>
          <w:rFonts w:hint="eastAsia" w:cs="Courier New"/>
          <w:szCs w:val="21"/>
        </w:rPr>
        <w:t>，应由联合体各方盖章。</w:t>
      </w:r>
    </w:p>
    <w:p>
      <w:pPr>
        <w:wordWrap w:val="0"/>
        <w:spacing w:before="100" w:beforeAutospacing="1" w:after="100" w:afterAutospacing="1" w:line="360" w:lineRule="auto"/>
        <w:ind w:firstLine="3316" w:firstLineChars="1382"/>
        <w:rPr>
          <w:bCs/>
          <w:szCs w:val="21"/>
          <w:lang w:val="zh-CN"/>
        </w:rPr>
      </w:pPr>
      <w:r>
        <w:rPr>
          <w:rFonts w:hint="eastAsia"/>
          <w:bCs/>
          <w:szCs w:val="21"/>
          <w:lang w:val="zh-CN"/>
        </w:rPr>
        <w:t>投标人</w:t>
      </w:r>
      <w:r>
        <w:rPr>
          <w:rFonts w:hint="eastAsia"/>
          <w:bCs/>
        </w:rPr>
        <w:t>（公章）</w:t>
      </w:r>
      <w:r>
        <w:rPr>
          <w:rFonts w:hint="eastAsia"/>
          <w:bCs/>
          <w:szCs w:val="21"/>
          <w:lang w:val="zh-CN"/>
        </w:rPr>
        <w:t>：</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4"/>
          <w:u w:val="single"/>
        </w:rPr>
      </w:pPr>
      <w:r>
        <w:rPr>
          <w:rFonts w:hint="eastAsia"/>
          <w:szCs w:val="24"/>
        </w:rPr>
        <w:t>日 </w:t>
      </w:r>
      <w:r>
        <w:rPr>
          <w:szCs w:val="24"/>
        </w:rPr>
        <w:t xml:space="preserve"> </w:t>
      </w:r>
      <w:r>
        <w:rPr>
          <w:rFonts w:hint="eastAsia"/>
          <w:szCs w:val="24"/>
        </w:rPr>
        <w:t> 期：</w:t>
      </w:r>
      <w:r>
        <w:rPr>
          <w:bCs/>
          <w:szCs w:val="24"/>
          <w:u w:val="single"/>
        </w:rPr>
        <w:t xml:space="preserve">                    </w:t>
      </w:r>
      <w:r>
        <w:rPr>
          <w:rFonts w:hint="eastAsia"/>
          <w:bCs/>
          <w:szCs w:val="24"/>
          <w:u w:val="single"/>
        </w:rPr>
        <w:t xml:space="preserve"> </w:t>
      </w:r>
      <w:r>
        <w:rPr>
          <w:bCs/>
          <w:szCs w:val="24"/>
          <w:u w:val="single"/>
        </w:rPr>
        <w:t xml:space="preserve">         </w:t>
      </w:r>
    </w:p>
    <w:p>
      <w:pPr>
        <w:spacing w:line="360" w:lineRule="auto"/>
        <w:jc w:val="left"/>
        <w:rPr>
          <w:rFonts w:cs="@仿宋_GB2312"/>
          <w:b/>
          <w:szCs w:val="24"/>
        </w:rPr>
      </w:pPr>
      <w:r>
        <w:rPr>
          <w:rFonts w:hint="eastAsia" w:cs="@仿宋_GB2312"/>
          <w:b/>
          <w:szCs w:val="24"/>
        </w:rPr>
        <w:t>备注</w:t>
      </w:r>
      <w:r>
        <w:rPr>
          <w:rFonts w:cs="@仿宋_GB2312"/>
          <w:b/>
          <w:szCs w:val="24"/>
        </w:rPr>
        <w:t>：</w:t>
      </w:r>
    </w:p>
    <w:p>
      <w:pPr>
        <w:wordWrap w:val="0"/>
        <w:adjustRightInd w:val="0"/>
        <w:snapToGrid w:val="0"/>
        <w:spacing w:line="360" w:lineRule="auto"/>
        <w:ind w:firstLine="480" w:firstLineChars="200"/>
        <w:jc w:val="left"/>
        <w:rPr>
          <w:rFonts w:ascii="宋体" w:hAnsi="宋体" w:eastAsia="宋体"/>
          <w:szCs w:val="24"/>
        </w:rPr>
      </w:pPr>
      <w:r>
        <w:rPr>
          <w:rFonts w:hint="eastAsia" w:cs="@仿宋_GB2312"/>
          <w:b/>
          <w:szCs w:val="24"/>
        </w:rPr>
        <w:t>（1）中小企业划型标准：</w:t>
      </w:r>
      <w:r>
        <w:rPr>
          <w:rFonts w:hint="eastAsia" w:ascii="宋体" w:hAnsi="宋体" w:eastAsia="宋体"/>
          <w:szCs w:val="24"/>
        </w:rPr>
        <w:t>依据</w:t>
      </w:r>
      <w:r>
        <w:rPr>
          <w:rFonts w:ascii="宋体" w:hAnsi="宋体" w:eastAsia="宋体"/>
          <w:szCs w:val="24"/>
        </w:rPr>
        <w:t>工业和信息化部 国家统计局 国家发改委 财政部</w:t>
      </w:r>
      <w:r>
        <w:rPr>
          <w:rFonts w:hint="eastAsia" w:ascii="宋体" w:hAnsi="宋体" w:eastAsia="宋体"/>
          <w:szCs w:val="24"/>
        </w:rPr>
        <w:t>《</w:t>
      </w:r>
      <w:r>
        <w:rPr>
          <w:rFonts w:ascii="宋体" w:hAnsi="宋体" w:eastAsia="宋体"/>
          <w:szCs w:val="24"/>
        </w:rPr>
        <w:t>关于印发中小企业划型标准规定的通知</w:t>
      </w:r>
      <w:r>
        <w:rPr>
          <w:rFonts w:hint="eastAsia" w:ascii="宋体" w:hAnsi="宋体" w:eastAsia="宋体"/>
          <w:szCs w:val="24"/>
        </w:rPr>
        <w:t>》</w:t>
      </w:r>
      <w:r>
        <w:rPr>
          <w:rFonts w:ascii="宋体" w:hAnsi="宋体" w:eastAsia="宋体"/>
          <w:szCs w:val="24"/>
        </w:rPr>
        <w:t>（工信部联企业〔2011〕300号）</w:t>
      </w:r>
      <w:r>
        <w:rPr>
          <w:rFonts w:hint="eastAsia" w:ascii="宋体" w:hAnsi="宋体" w:eastAsia="宋体"/>
          <w:szCs w:val="24"/>
        </w:rPr>
        <w:t>（</w:t>
      </w:r>
      <w:r>
        <w:fldChar w:fldCharType="begin"/>
      </w:r>
      <w:r>
        <w:instrText xml:space="preserve"> HYPERLINK "https://www.miit.gov.cn/jgsj/qyj/wjfb/art/2020/art_235af1ade45c4865957adeed23f9d949.html" </w:instrText>
      </w:r>
      <w:r>
        <w:fldChar w:fldCharType="separate"/>
      </w:r>
      <w:r>
        <w:rPr>
          <w:rStyle w:val="34"/>
          <w:rFonts w:ascii="宋体" w:hAnsi="宋体" w:eastAsia="宋体"/>
          <w:color w:val="auto"/>
          <w:szCs w:val="24"/>
        </w:rPr>
        <w:t>https://www.miit.gov.cn/jgsj/qyj/wjfb/art/2020/art_235af1ade45c4865957adeed23f9d949.html</w:t>
      </w:r>
      <w:r>
        <w:rPr>
          <w:rStyle w:val="34"/>
          <w:rFonts w:ascii="宋体" w:hAnsi="宋体" w:eastAsia="宋体"/>
          <w:color w:val="auto"/>
          <w:szCs w:val="24"/>
        </w:rPr>
        <w:fldChar w:fldCharType="end"/>
      </w:r>
      <w:r>
        <w:rPr>
          <w:rFonts w:hint="eastAsia" w:ascii="宋体" w:hAnsi="宋体" w:eastAsia="宋体"/>
          <w:szCs w:val="24"/>
        </w:rPr>
        <w:t>）。投标人可通过工业和信息化部开发的中小企业规模类型自测小程序在线自测，国务院客户端和工业和信息化部网站（</w:t>
      </w:r>
      <w:r>
        <w:fldChar w:fldCharType="begin"/>
      </w:r>
      <w:r>
        <w:instrText xml:space="preserve"> HYPERLINK "https://www.miit.gov.cn/jgsj/qyj/gzdt/art/2020/art_2b95d74c127649649c10be4ef6044609.html" </w:instrText>
      </w:r>
      <w:r>
        <w:fldChar w:fldCharType="separate"/>
      </w:r>
      <w:r>
        <w:rPr>
          <w:rStyle w:val="34"/>
          <w:rFonts w:ascii="宋体" w:hAnsi="宋体" w:eastAsia="宋体"/>
          <w:color w:val="auto"/>
          <w:szCs w:val="24"/>
        </w:rPr>
        <w:t>https://www.miit.gov.cn/jgsj/qyj/gzdt/art/2020/art_2b95d74c127649649c10be4ef6044609.html</w:t>
      </w:r>
      <w:r>
        <w:rPr>
          <w:rStyle w:val="34"/>
          <w:rFonts w:ascii="宋体" w:hAnsi="宋体" w:eastAsia="宋体"/>
          <w:color w:val="auto"/>
          <w:szCs w:val="24"/>
        </w:rPr>
        <w:fldChar w:fldCharType="end"/>
      </w:r>
      <w:r>
        <w:rPr>
          <w:rFonts w:hint="eastAsia" w:ascii="宋体" w:hAnsi="宋体" w:eastAsia="宋体"/>
          <w:szCs w:val="24"/>
        </w:rPr>
        <w:t xml:space="preserve"> ）上均有小程序链接。</w:t>
      </w:r>
    </w:p>
    <w:p>
      <w:pPr>
        <w:wordWrap w:val="0"/>
        <w:adjustRightInd w:val="0"/>
        <w:snapToGrid w:val="0"/>
        <w:spacing w:line="360" w:lineRule="auto"/>
        <w:ind w:firstLine="480" w:firstLineChars="200"/>
        <w:jc w:val="left"/>
        <w:rPr>
          <w:rFonts w:ascii="宋体" w:hAnsi="宋体" w:eastAsia="宋体"/>
          <w:szCs w:val="24"/>
        </w:rPr>
      </w:pPr>
      <w:r>
        <w:rPr>
          <w:rFonts w:hint="eastAsia" w:ascii="宋体" w:hAnsi="宋体" w:eastAsia="宋体" w:cs="@仿宋_GB2312"/>
          <w:b/>
          <w:szCs w:val="24"/>
        </w:rPr>
        <w:t>（2</w:t>
      </w:r>
      <w:r>
        <w:rPr>
          <w:rFonts w:ascii="宋体" w:hAnsi="宋体" w:eastAsia="宋体" w:cs="@仿宋_GB2312"/>
          <w:b/>
          <w:szCs w:val="24"/>
        </w:rPr>
        <w:t>）</w:t>
      </w:r>
      <w:r>
        <w:rPr>
          <w:rFonts w:hint="eastAsia" w:ascii="宋体" w:hAnsi="宋体" w:eastAsia="宋体" w:cs="@仿宋_GB2312"/>
          <w:b/>
          <w:szCs w:val="24"/>
        </w:rPr>
        <w:t>创新产品应用示范推荐目录：</w:t>
      </w:r>
      <w:r>
        <w:rPr>
          <w:rFonts w:hint="eastAsia" w:ascii="宋体" w:hAnsi="宋体" w:eastAsia="宋体"/>
          <w:szCs w:val="24"/>
        </w:rPr>
        <w:t>依据行政部门颁发的（有效期内）的创新产品应用示范推荐目录。</w:t>
      </w:r>
    </w:p>
    <w:p>
      <w:pPr>
        <w:wordWrap w:val="0"/>
        <w:adjustRightInd w:val="0"/>
        <w:snapToGrid w:val="0"/>
        <w:spacing w:line="360" w:lineRule="auto"/>
        <w:ind w:firstLine="480" w:firstLineChars="200"/>
        <w:rPr>
          <w:rFonts w:ascii="宋体" w:hAnsi="宋体" w:eastAsia="宋体"/>
          <w:szCs w:val="24"/>
        </w:rPr>
      </w:pPr>
      <w:r>
        <w:rPr>
          <w:rFonts w:hint="eastAsia" w:ascii="宋体" w:hAnsi="宋体" w:eastAsia="宋体"/>
          <w:b/>
          <w:szCs w:val="24"/>
        </w:rPr>
        <w:t>（3</w:t>
      </w:r>
      <w:r>
        <w:rPr>
          <w:rFonts w:ascii="宋体" w:hAnsi="宋体" w:eastAsia="宋体"/>
          <w:b/>
          <w:szCs w:val="24"/>
        </w:rPr>
        <w:t>）</w:t>
      </w:r>
      <w:r>
        <w:rPr>
          <w:rFonts w:hint="eastAsia" w:ascii="宋体" w:hAnsi="宋体" w:eastAsia="宋体"/>
          <w:b/>
          <w:szCs w:val="24"/>
        </w:rPr>
        <w:t>节能</w:t>
      </w:r>
      <w:r>
        <w:rPr>
          <w:rFonts w:hint="eastAsia" w:ascii="宋体" w:hAnsi="宋体" w:eastAsia="宋体" w:cs="@仿宋_GB2312"/>
          <w:b/>
          <w:szCs w:val="24"/>
        </w:rPr>
        <w:t>环保</w:t>
      </w:r>
      <w:r>
        <w:rPr>
          <w:rFonts w:hint="eastAsia" w:ascii="宋体" w:hAnsi="宋体" w:eastAsia="宋体"/>
          <w:b/>
          <w:szCs w:val="24"/>
        </w:rPr>
        <w:t>产品：</w:t>
      </w:r>
      <w:r>
        <w:rPr>
          <w:rFonts w:hint="eastAsia" w:ascii="宋体" w:hAnsi="宋体" w:eastAsia="宋体"/>
          <w:szCs w:val="24"/>
        </w:rPr>
        <w:t>依据财政部《关于印发节能产品政府采购品目清单的通知》（财库〔</w:t>
      </w:r>
      <w:r>
        <w:rPr>
          <w:rFonts w:ascii="宋体" w:hAnsi="宋体" w:eastAsia="宋体"/>
          <w:szCs w:val="24"/>
        </w:rPr>
        <w:t>2019〕</w:t>
      </w:r>
      <w:r>
        <w:rPr>
          <w:rFonts w:hint="eastAsia" w:ascii="宋体" w:hAnsi="宋体" w:eastAsia="宋体"/>
          <w:szCs w:val="24"/>
        </w:rPr>
        <w:t>19号）（</w:t>
      </w:r>
      <w:r>
        <w:fldChar w:fldCharType="begin"/>
      </w:r>
      <w:r>
        <w:instrText xml:space="preserve"> HYPERLINK "http://www.ccgp.gov.cn/zcfg/mof/201904/t20190403_11849836.htm" </w:instrText>
      </w:r>
      <w:r>
        <w:fldChar w:fldCharType="separate"/>
      </w:r>
      <w:r>
        <w:rPr>
          <w:rStyle w:val="34"/>
          <w:rFonts w:ascii="宋体" w:hAnsi="宋体" w:eastAsia="宋体"/>
          <w:color w:val="auto"/>
          <w:szCs w:val="24"/>
        </w:rPr>
        <w:t>http://www.ccgp.gov.cn/zcfg/mof/201904/t20190403_11849836.htm</w:t>
      </w:r>
      <w:r>
        <w:rPr>
          <w:rStyle w:val="34"/>
          <w:rFonts w:ascii="宋体" w:hAnsi="宋体" w:eastAsia="宋体"/>
          <w:color w:val="auto"/>
          <w:szCs w:val="24"/>
        </w:rPr>
        <w:fldChar w:fldCharType="end"/>
      </w:r>
      <w:r>
        <w:rPr>
          <w:rFonts w:hint="eastAsia" w:ascii="宋体" w:hAnsi="宋体" w:eastAsia="宋体"/>
          <w:szCs w:val="24"/>
        </w:rPr>
        <w:t xml:space="preserve"> ）、《关于印发环境标志产品政府采购品目清单的通知》（财库〔</w:t>
      </w:r>
      <w:r>
        <w:rPr>
          <w:rFonts w:ascii="宋体" w:hAnsi="宋体" w:eastAsia="宋体"/>
          <w:szCs w:val="24"/>
        </w:rPr>
        <w:t>2019〕</w:t>
      </w:r>
      <w:r>
        <w:rPr>
          <w:rFonts w:hint="eastAsia" w:ascii="宋体" w:hAnsi="宋体" w:eastAsia="宋体"/>
          <w:szCs w:val="24"/>
        </w:rPr>
        <w:t>18号）（</w:t>
      </w:r>
      <w:r>
        <w:fldChar w:fldCharType="begin"/>
      </w:r>
      <w:r>
        <w:instrText xml:space="preserve"> HYPERLINK "http://www.ccgp.gov.cn/zcfg/mof/201903/t20190330_11833800.htm" </w:instrText>
      </w:r>
      <w:r>
        <w:fldChar w:fldCharType="separate"/>
      </w:r>
      <w:r>
        <w:rPr>
          <w:rStyle w:val="34"/>
          <w:rFonts w:ascii="宋体" w:hAnsi="宋体" w:eastAsia="宋体"/>
          <w:color w:val="auto"/>
          <w:szCs w:val="24"/>
        </w:rPr>
        <w:t>http://www.ccgp.gov.cn/zcfg/mof/201903/t20190330_11833800.htm</w:t>
      </w:r>
      <w:r>
        <w:rPr>
          <w:rStyle w:val="34"/>
          <w:rFonts w:ascii="宋体" w:hAnsi="宋体" w:eastAsia="宋体"/>
          <w:color w:val="auto"/>
          <w:szCs w:val="24"/>
        </w:rPr>
        <w:fldChar w:fldCharType="end"/>
      </w:r>
      <w:r>
        <w:rPr>
          <w:rFonts w:hint="eastAsia" w:ascii="宋体" w:hAnsi="宋体" w:eastAsia="宋体"/>
          <w:szCs w:val="24"/>
        </w:rPr>
        <w:t xml:space="preserve"> ）。</w:t>
      </w:r>
    </w:p>
    <w:p>
      <w:pPr>
        <w:wordWrap w:val="0"/>
        <w:adjustRightInd w:val="0"/>
        <w:snapToGrid w:val="0"/>
        <w:spacing w:line="360" w:lineRule="auto"/>
        <w:ind w:firstLine="480" w:firstLineChars="200"/>
        <w:rPr>
          <w:rStyle w:val="34"/>
          <w:rFonts w:ascii="宋体" w:hAnsi="宋体" w:eastAsia="宋体"/>
          <w:color w:val="auto"/>
          <w:szCs w:val="24"/>
        </w:rPr>
      </w:pPr>
      <w:r>
        <w:rPr>
          <w:rFonts w:hint="eastAsia" w:ascii="宋体" w:hAnsi="宋体" w:eastAsia="宋体"/>
          <w:b/>
          <w:bCs/>
          <w:szCs w:val="24"/>
        </w:rPr>
        <w:t>（</w:t>
      </w:r>
      <w:r>
        <w:rPr>
          <w:rFonts w:ascii="宋体" w:hAnsi="宋体" w:eastAsia="宋体"/>
          <w:b/>
          <w:bCs/>
          <w:szCs w:val="24"/>
        </w:rPr>
        <w:t>4）</w:t>
      </w:r>
      <w:r>
        <w:rPr>
          <w:rFonts w:hint="eastAsia" w:ascii="宋体" w:hAnsi="宋体" w:eastAsia="宋体"/>
          <w:b/>
          <w:bCs/>
          <w:szCs w:val="24"/>
        </w:rPr>
        <w:t>享受政府采购支持政策的残疾人福利性单位的标准：</w:t>
      </w:r>
      <w:r>
        <w:rPr>
          <w:rFonts w:hint="eastAsia" w:ascii="宋体" w:hAnsi="宋体" w:eastAsia="宋体"/>
          <w:szCs w:val="24"/>
        </w:rPr>
        <w:t>依据财政部民政部中国残疾人联合会关于促进残疾人就业政府采购政策的通知（财库〔</w:t>
      </w:r>
      <w:r>
        <w:rPr>
          <w:rFonts w:ascii="宋体" w:hAnsi="宋体" w:eastAsia="宋体"/>
          <w:szCs w:val="24"/>
        </w:rPr>
        <w:t>2017〕</w:t>
      </w:r>
      <w:r>
        <w:rPr>
          <w:rFonts w:hint="eastAsia" w:ascii="宋体" w:hAnsi="宋体" w:eastAsia="宋体"/>
          <w:szCs w:val="24"/>
        </w:rPr>
        <w:t>141号</w:t>
      </w:r>
      <w:r>
        <w:rPr>
          <w:rFonts w:hint="eastAsia" w:ascii="宋体" w:hAnsi="宋体" w:eastAsia="宋体"/>
          <w:szCs w:val="24"/>
          <w:lang w:eastAsia="zh-CN"/>
        </w:rPr>
        <w:t>）</w:t>
      </w:r>
      <w:r>
        <w:rPr>
          <w:rStyle w:val="34"/>
          <w:rFonts w:hint="eastAsia" w:ascii="宋体" w:hAnsi="宋体" w:eastAsia="宋体"/>
          <w:color w:val="auto"/>
          <w:szCs w:val="24"/>
        </w:rPr>
        <w:t>（</w:t>
      </w:r>
      <w:r>
        <w:fldChar w:fldCharType="begin"/>
      </w:r>
      <w:r>
        <w:instrText xml:space="preserve"> HYPERLINK "http://www.ccgp.gov.cn/zcfg/mof/201709/t20170904_8787205.htm" </w:instrText>
      </w:r>
      <w:r>
        <w:fldChar w:fldCharType="separate"/>
      </w:r>
      <w:r>
        <w:rPr>
          <w:rStyle w:val="34"/>
          <w:rFonts w:ascii="宋体" w:hAnsi="宋体" w:eastAsia="宋体"/>
          <w:color w:val="auto"/>
          <w:szCs w:val="24"/>
        </w:rPr>
        <w:t>http://www.ccgp.gov.cn/zcfg/mof/201709/t20170904_8787205.htm</w:t>
      </w:r>
      <w:r>
        <w:rPr>
          <w:rStyle w:val="34"/>
          <w:rFonts w:ascii="宋体" w:hAnsi="宋体" w:eastAsia="宋体"/>
          <w:color w:val="auto"/>
          <w:szCs w:val="24"/>
        </w:rPr>
        <w:fldChar w:fldCharType="end"/>
      </w:r>
      <w:r>
        <w:rPr>
          <w:rStyle w:val="34"/>
          <w:rFonts w:hint="eastAsia" w:ascii="宋体" w:hAnsi="宋体" w:eastAsia="宋体"/>
          <w:color w:val="auto"/>
          <w:szCs w:val="24"/>
        </w:rPr>
        <w:t>）</w:t>
      </w:r>
    </w:p>
    <w:p>
      <w:pPr>
        <w:pStyle w:val="11"/>
        <w:spacing w:line="360" w:lineRule="auto"/>
      </w:pPr>
    </w:p>
    <w:p>
      <w:pPr>
        <w:pStyle w:val="11"/>
        <w:spacing w:line="360" w:lineRule="auto"/>
      </w:pPr>
    </w:p>
    <w:p>
      <w:pPr>
        <w:pStyle w:val="3"/>
        <w:numPr>
          <w:ilvl w:val="0"/>
          <w:numId w:val="57"/>
        </w:numPr>
        <w:tabs>
          <w:tab w:val="left" w:pos="567"/>
        </w:tabs>
        <w:spacing w:before="0" w:after="0" w:line="360" w:lineRule="auto"/>
        <w:jc w:val="left"/>
        <w:rPr>
          <w:rFonts w:ascii="宋体" w:hAnsi="宋体" w:eastAsia="宋体" w:cs="Times New Roman"/>
          <w:sz w:val="24"/>
          <w:szCs w:val="24"/>
          <w:lang w:val="zh-CN"/>
        </w:rPr>
      </w:pPr>
      <w:bookmarkStart w:id="582" w:name="_Toc26340"/>
      <w:bookmarkStart w:id="583" w:name="_Toc117244497"/>
      <w:bookmarkStart w:id="584" w:name="_Toc117244382"/>
      <w:r>
        <w:rPr>
          <w:rFonts w:hint="eastAsia" w:ascii="宋体" w:hAnsi="宋体" w:eastAsia="宋体" w:cs="Times New Roman"/>
          <w:sz w:val="24"/>
          <w:szCs w:val="24"/>
        </w:rPr>
        <w:t>特定</w:t>
      </w:r>
      <w:r>
        <w:rPr>
          <w:rFonts w:hint="eastAsia" w:ascii="宋体" w:hAnsi="宋体" w:eastAsia="宋体" w:cs="Times New Roman"/>
          <w:sz w:val="24"/>
          <w:szCs w:val="24"/>
          <w:lang w:val="zh-CN"/>
        </w:rPr>
        <w:t>资格要求的证明材料</w:t>
      </w:r>
      <w:bookmarkEnd w:id="582"/>
    </w:p>
    <w:p>
      <w:pPr>
        <w:spacing w:line="360" w:lineRule="auto"/>
        <w:ind w:firstLine="480" w:firstLineChars="200"/>
        <w:rPr>
          <w:rFonts w:ascii="楷体" w:hAnsi="楷体" w:eastAsia="楷体"/>
          <w:szCs w:val="24"/>
          <w:lang w:val="zh-CN"/>
        </w:rPr>
      </w:pPr>
      <w:r>
        <w:rPr>
          <w:rFonts w:hint="eastAsia" w:ascii="楷体" w:hAnsi="楷体" w:eastAsia="楷体"/>
          <w:szCs w:val="24"/>
        </w:rPr>
        <w:t>（若有，根据项目要求自行编写）</w:t>
      </w:r>
      <w:bookmarkEnd w:id="583"/>
      <w:bookmarkEnd w:id="584"/>
    </w:p>
    <w:p>
      <w:pPr>
        <w:spacing w:line="360" w:lineRule="auto"/>
        <w:rPr>
          <w:lang w:val="zh-CN"/>
        </w:rPr>
      </w:pPr>
    </w:p>
    <w:p>
      <w:pPr>
        <w:pStyle w:val="11"/>
        <w:spacing w:line="360" w:lineRule="auto"/>
        <w:rPr>
          <w:lang w:val="zh-CN"/>
        </w:rPr>
      </w:pPr>
    </w:p>
    <w:p>
      <w:pPr>
        <w:pStyle w:val="11"/>
        <w:spacing w:line="360" w:lineRule="auto"/>
        <w:rPr>
          <w:lang w:val="zh-CN"/>
        </w:rPr>
      </w:pPr>
    </w:p>
    <w:p>
      <w:pPr>
        <w:pStyle w:val="3"/>
        <w:numPr>
          <w:ilvl w:val="0"/>
          <w:numId w:val="57"/>
        </w:numPr>
        <w:tabs>
          <w:tab w:val="left" w:pos="567"/>
        </w:tabs>
        <w:spacing w:before="0" w:after="0" w:line="360" w:lineRule="auto"/>
        <w:jc w:val="left"/>
        <w:rPr>
          <w:rFonts w:ascii="宋体" w:hAnsi="宋体" w:eastAsia="宋体" w:cs="Times New Roman"/>
          <w:sz w:val="24"/>
          <w:szCs w:val="24"/>
          <w:lang w:val="zh-CN"/>
        </w:rPr>
      </w:pPr>
      <w:bookmarkStart w:id="585" w:name="_Toc18016"/>
      <w:bookmarkStart w:id="586" w:name="_Toc117244383"/>
      <w:bookmarkStart w:id="587" w:name="_Toc117244498"/>
      <w:r>
        <w:rPr>
          <w:rFonts w:hint="eastAsia" w:ascii="宋体" w:hAnsi="宋体" w:eastAsia="宋体" w:cs="Courier New"/>
          <w:sz w:val="24"/>
          <w:szCs w:val="24"/>
        </w:rPr>
        <w:t>投标人认为需要的</w:t>
      </w:r>
      <w:r>
        <w:rPr>
          <w:rFonts w:hint="eastAsia" w:ascii="宋体" w:hAnsi="宋体" w:eastAsia="宋体" w:cs="Times New Roman"/>
          <w:sz w:val="24"/>
          <w:szCs w:val="24"/>
          <w:lang w:val="zh-CN"/>
        </w:rPr>
        <w:t>其它</w:t>
      </w:r>
      <w:r>
        <w:rPr>
          <w:rFonts w:hint="eastAsia" w:ascii="宋体" w:hAnsi="宋体" w:eastAsia="宋体" w:cs="Courier New"/>
          <w:sz w:val="24"/>
          <w:szCs w:val="24"/>
        </w:rPr>
        <w:t>资格证明材料</w:t>
      </w:r>
      <w:bookmarkEnd w:id="585"/>
    </w:p>
    <w:p>
      <w:pPr>
        <w:spacing w:line="360" w:lineRule="auto"/>
        <w:ind w:firstLine="480" w:firstLineChars="200"/>
        <w:rPr>
          <w:rFonts w:ascii="楷体" w:hAnsi="楷体" w:eastAsia="楷体"/>
          <w:szCs w:val="24"/>
          <w:lang w:val="zh-CN"/>
        </w:rPr>
      </w:pPr>
      <w:r>
        <w:rPr>
          <w:rFonts w:hint="eastAsia" w:ascii="楷体" w:hAnsi="楷体" w:eastAsia="楷体" w:cs="Courier New"/>
          <w:szCs w:val="24"/>
        </w:rPr>
        <w:t>（若有，根据项目实际自行编写）</w:t>
      </w:r>
      <w:bookmarkEnd w:id="586"/>
      <w:bookmarkEnd w:id="587"/>
    </w:p>
    <w:p>
      <w:pPr>
        <w:pStyle w:val="11"/>
        <w:wordWrap w:val="0"/>
        <w:spacing w:line="360" w:lineRule="auto"/>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AndChars" w:linePitch="312" w:charSpace="0"/>
        </w:sectPr>
      </w:pPr>
    </w:p>
    <w:p>
      <w:pPr>
        <w:pStyle w:val="3"/>
        <w:tabs>
          <w:tab w:val="left" w:pos="567"/>
        </w:tabs>
        <w:spacing w:line="360" w:lineRule="auto"/>
        <w:ind w:left="482"/>
        <w:jc w:val="center"/>
        <w:rPr>
          <w:rFonts w:hint="eastAsia" w:ascii="宋体" w:hAnsi="宋体" w:eastAsia="宋体"/>
        </w:rPr>
      </w:pPr>
      <w:bookmarkStart w:id="588" w:name="_Toc22078"/>
      <w:bookmarkStart w:id="589" w:name="_Toc107561306"/>
      <w:bookmarkStart w:id="590" w:name="_Toc117244500"/>
      <w:bookmarkStart w:id="591" w:name="_Toc117244385"/>
      <w:r>
        <w:rPr>
          <w:rFonts w:hint="eastAsia" w:ascii="宋体" w:hAnsi="宋体" w:eastAsia="宋体"/>
        </w:rPr>
        <w:t>第</w:t>
      </w:r>
      <w:r>
        <w:rPr>
          <w:rFonts w:ascii="宋体" w:hAnsi="宋体" w:eastAsia="宋体"/>
        </w:rPr>
        <w:t>二部分</w:t>
      </w:r>
      <w:r>
        <w:rPr>
          <w:rFonts w:hint="eastAsia" w:ascii="宋体" w:hAnsi="宋体" w:eastAsia="宋体"/>
        </w:rPr>
        <w:t xml:space="preserve"> 商务</w:t>
      </w:r>
      <w:r>
        <w:rPr>
          <w:rFonts w:ascii="宋体" w:hAnsi="宋体" w:eastAsia="宋体"/>
        </w:rPr>
        <w:t>技术文件</w:t>
      </w:r>
      <w:bookmarkEnd w:id="588"/>
    </w:p>
    <w:p>
      <w:pPr>
        <w:pStyle w:val="3"/>
        <w:numPr>
          <w:ilvl w:val="0"/>
          <w:numId w:val="63"/>
        </w:numPr>
        <w:tabs>
          <w:tab w:val="left" w:pos="567"/>
        </w:tabs>
        <w:spacing w:line="360" w:lineRule="auto"/>
        <w:ind w:left="482" w:hanging="480" w:hangingChars="200"/>
        <w:jc w:val="left"/>
        <w:rPr>
          <w:rFonts w:ascii="宋体" w:hAnsi="宋体" w:eastAsia="宋体"/>
          <w:sz w:val="24"/>
          <w:szCs w:val="24"/>
        </w:rPr>
      </w:pPr>
      <w:bookmarkStart w:id="592" w:name="_Toc6113"/>
      <w:r>
        <w:rPr>
          <w:rFonts w:hint="eastAsia" w:ascii="宋体" w:hAnsi="宋体" w:eastAsia="宋体"/>
          <w:sz w:val="24"/>
          <w:szCs w:val="24"/>
        </w:rPr>
        <w:t>符合性审查对照表</w:t>
      </w:r>
      <w:bookmarkEnd w:id="589"/>
      <w:bookmarkEnd w:id="590"/>
      <w:bookmarkEnd w:id="591"/>
      <w:bookmarkEnd w:id="592"/>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0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02"/>
        <w:gridCol w:w="4037"/>
        <w:gridCol w:w="3744"/>
        <w:gridCol w:w="117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2426" w:type="pct"/>
            <w:gridSpan w:val="2"/>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招标文件符合性审查条款</w:t>
            </w:r>
          </w:p>
        </w:tc>
        <w:tc>
          <w:tcPr>
            <w:tcW w:w="1958"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616"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15" w:type="pct"/>
            <w:tcBorders>
              <w:top w:val="single" w:color="auto" w:sz="4" w:space="0"/>
            </w:tcBorders>
            <w:shd w:val="pct10" w:color="C3BD96" w:fill="DDD9C4"/>
            <w:noWrap w:val="0"/>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2111" w:type="pct"/>
            <w:tcBorders>
              <w:top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审查内容</w:t>
            </w:r>
          </w:p>
        </w:tc>
        <w:tc>
          <w:tcPr>
            <w:tcW w:w="1958" w:type="pct"/>
            <w:vMerge w:val="continue"/>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6" w:type="pct"/>
            <w:vMerge w:val="continue"/>
            <w:shd w:val="pct10" w:color="C3BD96" w:fill="DDD9C4"/>
            <w:noWrap w:val="0"/>
            <w:vAlign w:val="top"/>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noWrap w:val="0"/>
            <w:vAlign w:val="center"/>
          </w:tcPr>
          <w:p>
            <w:pPr>
              <w:numPr>
                <w:ilvl w:val="0"/>
                <w:numId w:val="64"/>
              </w:numPr>
              <w:tabs>
                <w:tab w:val="left" w:pos="61"/>
              </w:tabs>
              <w:wordWrap w:val="0"/>
              <w:adjustRightInd w:val="0"/>
              <w:snapToGrid w:val="0"/>
              <w:spacing w:line="360" w:lineRule="auto"/>
              <w:ind w:left="-72" w:leftChars="-30" w:firstLine="0"/>
              <w:jc w:val="center"/>
            </w:pPr>
          </w:p>
        </w:tc>
        <w:tc>
          <w:tcPr>
            <w:tcW w:w="2111" w:type="pct"/>
            <w:noWrap w:val="0"/>
            <w:vAlign w:val="center"/>
          </w:tcPr>
          <w:p>
            <w:pPr>
              <w:wordWrap w:val="0"/>
              <w:spacing w:line="360" w:lineRule="auto"/>
              <w:jc w:val="center"/>
              <w:rPr>
                <w:rFonts w:cs="仿宋_GB2312"/>
                <w:szCs w:val="24"/>
              </w:rPr>
            </w:pPr>
          </w:p>
        </w:tc>
        <w:tc>
          <w:tcPr>
            <w:tcW w:w="1958" w:type="pct"/>
            <w:noWrap w:val="0"/>
            <w:vAlign w:val="center"/>
          </w:tcPr>
          <w:p>
            <w:pPr>
              <w:wordWrap w:val="0"/>
              <w:spacing w:line="360" w:lineRule="auto"/>
              <w:jc w:val="center"/>
              <w:rPr>
                <w:rFonts w:cs="仿宋_GB2312"/>
                <w:szCs w:val="24"/>
              </w:rPr>
            </w:pPr>
          </w:p>
        </w:tc>
        <w:tc>
          <w:tcPr>
            <w:tcW w:w="616"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noWrap w:val="0"/>
            <w:vAlign w:val="center"/>
          </w:tcPr>
          <w:p>
            <w:pPr>
              <w:numPr>
                <w:ilvl w:val="0"/>
                <w:numId w:val="64"/>
              </w:numPr>
              <w:tabs>
                <w:tab w:val="left" w:pos="61"/>
              </w:tabs>
              <w:wordWrap w:val="0"/>
              <w:adjustRightInd w:val="0"/>
              <w:snapToGrid w:val="0"/>
              <w:spacing w:line="360" w:lineRule="auto"/>
              <w:ind w:left="-72" w:leftChars="-30" w:firstLine="0"/>
              <w:jc w:val="center"/>
            </w:pPr>
          </w:p>
        </w:tc>
        <w:tc>
          <w:tcPr>
            <w:tcW w:w="2111" w:type="pct"/>
            <w:noWrap w:val="0"/>
            <w:vAlign w:val="center"/>
          </w:tcPr>
          <w:p>
            <w:pPr>
              <w:wordWrap w:val="0"/>
              <w:spacing w:line="360" w:lineRule="auto"/>
              <w:jc w:val="center"/>
              <w:rPr>
                <w:rFonts w:cs="仿宋_GB2312"/>
                <w:szCs w:val="24"/>
              </w:rPr>
            </w:pPr>
          </w:p>
        </w:tc>
        <w:tc>
          <w:tcPr>
            <w:tcW w:w="1958" w:type="pct"/>
            <w:noWrap w:val="0"/>
            <w:vAlign w:val="center"/>
          </w:tcPr>
          <w:p>
            <w:pPr>
              <w:wordWrap w:val="0"/>
              <w:spacing w:line="360" w:lineRule="auto"/>
              <w:jc w:val="center"/>
              <w:rPr>
                <w:rFonts w:cs="仿宋_GB2312"/>
                <w:szCs w:val="24"/>
              </w:rPr>
            </w:pPr>
          </w:p>
        </w:tc>
        <w:tc>
          <w:tcPr>
            <w:tcW w:w="616"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noWrap w:val="0"/>
            <w:vAlign w:val="center"/>
          </w:tcPr>
          <w:p>
            <w:pPr>
              <w:numPr>
                <w:ilvl w:val="0"/>
                <w:numId w:val="64"/>
              </w:numPr>
              <w:tabs>
                <w:tab w:val="left" w:pos="61"/>
              </w:tabs>
              <w:wordWrap w:val="0"/>
              <w:adjustRightInd w:val="0"/>
              <w:snapToGrid w:val="0"/>
              <w:spacing w:line="360" w:lineRule="auto"/>
              <w:ind w:left="-72" w:leftChars="-30" w:firstLine="0"/>
              <w:jc w:val="center"/>
            </w:pPr>
          </w:p>
        </w:tc>
        <w:tc>
          <w:tcPr>
            <w:tcW w:w="2111" w:type="pct"/>
            <w:noWrap w:val="0"/>
            <w:vAlign w:val="center"/>
          </w:tcPr>
          <w:p>
            <w:pPr>
              <w:wordWrap w:val="0"/>
              <w:spacing w:line="360" w:lineRule="auto"/>
              <w:jc w:val="center"/>
              <w:rPr>
                <w:rFonts w:cs="仿宋_GB2312"/>
                <w:szCs w:val="24"/>
              </w:rPr>
            </w:pPr>
          </w:p>
        </w:tc>
        <w:tc>
          <w:tcPr>
            <w:tcW w:w="1958" w:type="pct"/>
            <w:noWrap w:val="0"/>
            <w:vAlign w:val="center"/>
          </w:tcPr>
          <w:p>
            <w:pPr>
              <w:wordWrap w:val="0"/>
              <w:spacing w:line="360" w:lineRule="auto"/>
              <w:jc w:val="center"/>
              <w:rPr>
                <w:rFonts w:cs="仿宋_GB2312"/>
                <w:szCs w:val="24"/>
              </w:rPr>
            </w:pPr>
          </w:p>
        </w:tc>
        <w:tc>
          <w:tcPr>
            <w:tcW w:w="616"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noWrap w:val="0"/>
            <w:vAlign w:val="center"/>
          </w:tcPr>
          <w:p>
            <w:pPr>
              <w:numPr>
                <w:ilvl w:val="0"/>
                <w:numId w:val="64"/>
              </w:numPr>
              <w:tabs>
                <w:tab w:val="left" w:pos="61"/>
              </w:tabs>
              <w:wordWrap w:val="0"/>
              <w:adjustRightInd w:val="0"/>
              <w:snapToGrid w:val="0"/>
              <w:spacing w:line="360" w:lineRule="auto"/>
              <w:ind w:left="-72" w:leftChars="-30" w:firstLine="0"/>
              <w:jc w:val="center"/>
            </w:pPr>
          </w:p>
        </w:tc>
        <w:tc>
          <w:tcPr>
            <w:tcW w:w="2111" w:type="pct"/>
            <w:noWrap w:val="0"/>
            <w:vAlign w:val="center"/>
          </w:tcPr>
          <w:p>
            <w:pPr>
              <w:wordWrap w:val="0"/>
              <w:spacing w:line="360" w:lineRule="auto"/>
              <w:jc w:val="center"/>
              <w:rPr>
                <w:rFonts w:cs="仿宋_GB2312"/>
                <w:szCs w:val="24"/>
              </w:rPr>
            </w:pPr>
          </w:p>
        </w:tc>
        <w:tc>
          <w:tcPr>
            <w:tcW w:w="1958" w:type="pct"/>
            <w:noWrap w:val="0"/>
            <w:vAlign w:val="center"/>
          </w:tcPr>
          <w:p>
            <w:pPr>
              <w:wordWrap w:val="0"/>
              <w:spacing w:line="360" w:lineRule="auto"/>
              <w:jc w:val="center"/>
              <w:rPr>
                <w:rFonts w:cs="仿宋_GB2312"/>
                <w:szCs w:val="24"/>
              </w:rPr>
            </w:pPr>
          </w:p>
        </w:tc>
        <w:tc>
          <w:tcPr>
            <w:tcW w:w="616"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4" w:hRule="atLeast"/>
          <w:jc w:val="center"/>
        </w:trPr>
        <w:tc>
          <w:tcPr>
            <w:tcW w:w="315" w:type="pct"/>
            <w:noWrap w:val="0"/>
            <w:vAlign w:val="center"/>
          </w:tcPr>
          <w:p>
            <w:pPr>
              <w:numPr>
                <w:ilvl w:val="0"/>
                <w:numId w:val="64"/>
              </w:numPr>
              <w:tabs>
                <w:tab w:val="left" w:pos="61"/>
              </w:tabs>
              <w:wordWrap w:val="0"/>
              <w:adjustRightInd w:val="0"/>
              <w:snapToGrid w:val="0"/>
              <w:spacing w:line="360" w:lineRule="auto"/>
              <w:ind w:left="-72" w:leftChars="-30" w:firstLine="0"/>
              <w:jc w:val="center"/>
            </w:pPr>
          </w:p>
        </w:tc>
        <w:tc>
          <w:tcPr>
            <w:tcW w:w="2111" w:type="pct"/>
            <w:noWrap w:val="0"/>
            <w:vAlign w:val="center"/>
          </w:tcPr>
          <w:p>
            <w:pPr>
              <w:wordWrap w:val="0"/>
              <w:spacing w:line="360" w:lineRule="auto"/>
              <w:jc w:val="center"/>
              <w:rPr>
                <w:rFonts w:cs="仿宋_GB2312"/>
                <w:szCs w:val="24"/>
              </w:rPr>
            </w:pPr>
          </w:p>
        </w:tc>
        <w:tc>
          <w:tcPr>
            <w:tcW w:w="1958" w:type="pct"/>
            <w:noWrap w:val="0"/>
            <w:vAlign w:val="center"/>
          </w:tcPr>
          <w:p>
            <w:pPr>
              <w:wordWrap w:val="0"/>
              <w:spacing w:line="360" w:lineRule="auto"/>
              <w:jc w:val="center"/>
              <w:rPr>
                <w:rFonts w:cs="仿宋_GB2312"/>
                <w:szCs w:val="24"/>
              </w:rPr>
            </w:pPr>
          </w:p>
        </w:tc>
        <w:tc>
          <w:tcPr>
            <w:tcW w:w="616" w:type="pct"/>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2" w:hRule="atLeast"/>
          <w:jc w:val="center"/>
        </w:trPr>
        <w:tc>
          <w:tcPr>
            <w:tcW w:w="315" w:type="pct"/>
            <w:noWrap w:val="0"/>
            <w:vAlign w:val="center"/>
          </w:tcPr>
          <w:p>
            <w:pPr>
              <w:wordWrap w:val="0"/>
              <w:spacing w:line="360" w:lineRule="auto"/>
              <w:jc w:val="center"/>
              <w:rPr>
                <w:rFonts w:cs="仿宋_GB2312"/>
                <w:szCs w:val="24"/>
              </w:rPr>
            </w:pPr>
            <w:r>
              <w:rPr>
                <w:rFonts w:hint="eastAsia" w:cs="仿宋_GB2312"/>
                <w:szCs w:val="24"/>
              </w:rPr>
              <w:t>…</w:t>
            </w:r>
          </w:p>
        </w:tc>
        <w:tc>
          <w:tcPr>
            <w:tcW w:w="2111" w:type="pct"/>
            <w:noWrap w:val="0"/>
            <w:vAlign w:val="center"/>
          </w:tcPr>
          <w:p>
            <w:pPr>
              <w:wordWrap w:val="0"/>
              <w:spacing w:line="360" w:lineRule="auto"/>
              <w:jc w:val="center"/>
              <w:rPr>
                <w:rFonts w:cs="仿宋_GB2312"/>
                <w:szCs w:val="24"/>
              </w:rPr>
            </w:pPr>
            <w:r>
              <w:rPr>
                <w:rFonts w:hint="eastAsia" w:cs="宋体"/>
                <w:szCs w:val="24"/>
              </w:rPr>
              <w:t>……</w:t>
            </w:r>
          </w:p>
        </w:tc>
        <w:tc>
          <w:tcPr>
            <w:tcW w:w="1958" w:type="pct"/>
            <w:noWrap w:val="0"/>
            <w:vAlign w:val="center"/>
          </w:tcPr>
          <w:p>
            <w:pPr>
              <w:wordWrap w:val="0"/>
              <w:spacing w:line="360" w:lineRule="auto"/>
              <w:jc w:val="center"/>
              <w:rPr>
                <w:rFonts w:cs="仿宋_GB2312"/>
                <w:szCs w:val="24"/>
              </w:rPr>
            </w:pPr>
            <w:r>
              <w:rPr>
                <w:rFonts w:hint="eastAsia" w:cs="宋体"/>
                <w:szCs w:val="24"/>
              </w:rPr>
              <w:t>……</w:t>
            </w:r>
          </w:p>
        </w:tc>
        <w:tc>
          <w:tcPr>
            <w:tcW w:w="616" w:type="pct"/>
            <w:noWrap w:val="0"/>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28" w:hangingChars="470"/>
        <w:jc w:val="left"/>
        <w:rPr>
          <w:b/>
          <w:szCs w:val="24"/>
        </w:rPr>
      </w:pPr>
      <w:r>
        <w:rPr>
          <w:rFonts w:hint="eastAsia"/>
          <w:b/>
          <w:szCs w:val="24"/>
        </w:rPr>
        <w:t>说明</w:t>
      </w:r>
      <w:r>
        <w:rPr>
          <w:rFonts w:hint="eastAsia" w:cs="Corbel"/>
          <w:b/>
          <w:szCs w:val="24"/>
        </w:rPr>
        <w:t>：</w:t>
      </w:r>
      <w:r>
        <w:rPr>
          <w:rFonts w:hint="eastAsia" w:cs="Corbel"/>
          <w:szCs w:val="24"/>
        </w:rPr>
        <w:t>1</w:t>
      </w:r>
      <w:r>
        <w:rPr>
          <w:rFonts w:hint="eastAsia"/>
          <w:szCs w:val="24"/>
        </w:rPr>
        <w:t>、</w:t>
      </w:r>
      <w:r>
        <w:rPr>
          <w:rFonts w:hint="eastAsia" w:cs="Corbel"/>
          <w:szCs w:val="24"/>
        </w:rPr>
        <w:t>应按招标文件“第五章 评标办法”中“符合性审查”的条款逐项在“投标文件响应的内容”栏中进行响应说明。未按照要求填写此表或在“投标文件响应的内容”栏中未进行详细响应说明的，导致的后果由投标人自行承担</w:t>
      </w:r>
      <w:r>
        <w:rPr>
          <w:rFonts w:hint="eastAsia"/>
          <w:szCs w:val="24"/>
        </w:rPr>
        <w:t>。</w:t>
      </w:r>
    </w:p>
    <w:p>
      <w:pPr>
        <w:wordWrap w:val="0"/>
        <w:spacing w:line="360" w:lineRule="auto"/>
        <w:ind w:left="1130" w:leftChars="295" w:hanging="422" w:hangingChars="176"/>
        <w:jc w:val="left"/>
        <w:rPr>
          <w:b/>
          <w:szCs w:val="24"/>
        </w:rPr>
      </w:pPr>
      <w:r>
        <w:rPr>
          <w:rFonts w:hint="eastAsia" w:cs="Corbel"/>
          <w:szCs w:val="24"/>
        </w:rPr>
        <w:t>2、</w:t>
      </w:r>
      <w:r>
        <w:rPr>
          <w:rFonts w:hint="eastAsia"/>
          <w:szCs w:val="24"/>
        </w:rPr>
        <w:t>应将对应响应的证明文件页码（多页的起码和止码）填写到上表“投标文件对应页码”栏中。未提供准确页码或页码与对应内容不一致的，导致的后果由投标人自行承担。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65"/>
        </w:numPr>
        <w:wordWrap w:val="0"/>
        <w:spacing w:before="40" w:after="40" w:line="360" w:lineRule="auto"/>
        <w:ind w:left="1285" w:hanging="1280"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AndChars" w:linePitch="312" w:charSpace="0"/>
        </w:sectPr>
      </w:pP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593" w:name="_Toc117244501"/>
      <w:bookmarkStart w:id="594" w:name="_Toc10428"/>
      <w:bookmarkStart w:id="595" w:name="_Toc117244386"/>
      <w:bookmarkStart w:id="596" w:name="_Toc107561307"/>
      <w:r>
        <w:rPr>
          <w:rFonts w:hint="eastAsia" w:ascii="宋体" w:hAnsi="宋体" w:eastAsia="宋体"/>
          <w:sz w:val="24"/>
          <w:szCs w:val="24"/>
        </w:rPr>
        <w:t>商务</w:t>
      </w:r>
      <w:r>
        <w:rPr>
          <w:rFonts w:hint="eastAsia" w:ascii="宋体" w:hAnsi="宋体" w:eastAsia="宋体" w:cs="Times New Roman"/>
          <w:bCs w:val="0"/>
          <w:sz w:val="24"/>
          <w:szCs w:val="24"/>
        </w:rPr>
        <w:t>要求</w:t>
      </w:r>
      <w:r>
        <w:rPr>
          <w:rFonts w:hint="eastAsia" w:ascii="宋体" w:hAnsi="宋体" w:eastAsia="宋体"/>
          <w:sz w:val="24"/>
          <w:szCs w:val="24"/>
        </w:rPr>
        <w:t>响应偏离说明表</w:t>
      </w:r>
      <w:bookmarkEnd w:id="593"/>
      <w:bookmarkEnd w:id="594"/>
      <w:bookmarkEnd w:id="595"/>
      <w:bookmarkEnd w:id="596"/>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0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8"/>
        <w:gridCol w:w="1264"/>
        <w:gridCol w:w="2553"/>
        <w:gridCol w:w="2836"/>
        <w:gridCol w:w="1132"/>
        <w:gridCol w:w="117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84" w:hRule="atLeast"/>
          <w:jc w:val="center"/>
        </w:trPr>
        <w:tc>
          <w:tcPr>
            <w:tcW w:w="2309" w:type="pct"/>
            <w:gridSpan w:val="3"/>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招标文件商务要求</w:t>
            </w:r>
          </w:p>
        </w:tc>
        <w:tc>
          <w:tcPr>
            <w:tcW w:w="1483"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592"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616"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13" w:type="pct"/>
            <w:tcBorders>
              <w:top w:val="single" w:color="auto" w:sz="4" w:space="0"/>
            </w:tcBorders>
            <w:shd w:val="pct10" w:color="C3BD96" w:fill="DDD9C4"/>
            <w:noWrap w:val="0"/>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661" w:type="pct"/>
            <w:tcBorders>
              <w:top w:val="single" w:color="auto" w:sz="4" w:space="0"/>
              <w:right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商务条款</w:t>
            </w:r>
          </w:p>
        </w:tc>
        <w:tc>
          <w:tcPr>
            <w:tcW w:w="1335" w:type="pct"/>
            <w:tcBorders>
              <w:top w:val="single" w:color="auto" w:sz="4" w:space="0"/>
              <w:left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具体要求</w:t>
            </w:r>
          </w:p>
        </w:tc>
        <w:tc>
          <w:tcPr>
            <w:tcW w:w="1483" w:type="pct"/>
            <w:vMerge w:val="continue"/>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592" w:type="pct"/>
            <w:vMerge w:val="continue"/>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6" w:type="pct"/>
            <w:vMerge w:val="continue"/>
            <w:shd w:val="pct10" w:color="C3BD96" w:fill="DDD9C4"/>
            <w:noWrap w:val="0"/>
            <w:vAlign w:val="top"/>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26" w:hRule="atLeast"/>
          <w:jc w:val="center"/>
        </w:trPr>
        <w:tc>
          <w:tcPr>
            <w:tcW w:w="313" w:type="pct"/>
            <w:vMerge w:val="restart"/>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restart"/>
            <w:tcBorders>
              <w:right w:val="single" w:color="auto" w:sz="4" w:space="0"/>
            </w:tcBorders>
            <w:noWrap w:val="0"/>
            <w:vAlign w:val="center"/>
          </w:tcPr>
          <w:p>
            <w:pPr>
              <w:wordWrap w:val="0"/>
              <w:spacing w:line="360" w:lineRule="auto"/>
              <w:jc w:val="center"/>
              <w:rPr>
                <w:rFonts w:cs="仿宋_GB2312"/>
                <w:szCs w:val="24"/>
              </w:rPr>
            </w:pPr>
          </w:p>
        </w:tc>
        <w:tc>
          <w:tcPr>
            <w:tcW w:w="1335" w:type="pct"/>
            <w:tcBorders>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1.1</w:t>
            </w:r>
          </w:p>
        </w:tc>
        <w:tc>
          <w:tcPr>
            <w:tcW w:w="1483" w:type="pct"/>
            <w:tcBorders>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1.1</w:t>
            </w:r>
          </w:p>
        </w:tc>
        <w:tc>
          <w:tcPr>
            <w:tcW w:w="592" w:type="pct"/>
            <w:tcBorders>
              <w:bottom w:val="single" w:color="auto" w:sz="4" w:space="0"/>
            </w:tcBorders>
            <w:noWrap w:val="0"/>
            <w:vAlign w:val="center"/>
          </w:tcPr>
          <w:p>
            <w:pPr>
              <w:wordWrap w:val="0"/>
              <w:spacing w:line="360" w:lineRule="auto"/>
              <w:jc w:val="center"/>
              <w:rPr>
                <w:rFonts w:cs="仿宋_GB2312"/>
                <w:szCs w:val="24"/>
              </w:rPr>
            </w:pPr>
          </w:p>
        </w:tc>
        <w:tc>
          <w:tcPr>
            <w:tcW w:w="616" w:type="pct"/>
            <w:tcBorders>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08"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1.2</w:t>
            </w:r>
          </w:p>
        </w:tc>
        <w:tc>
          <w:tcPr>
            <w:tcW w:w="148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1.2</w:t>
            </w:r>
          </w:p>
        </w:tc>
        <w:tc>
          <w:tcPr>
            <w:tcW w:w="592"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66"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1.3</w:t>
            </w:r>
          </w:p>
        </w:tc>
        <w:tc>
          <w:tcPr>
            <w:tcW w:w="148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1.3</w:t>
            </w:r>
          </w:p>
        </w:tc>
        <w:tc>
          <w:tcPr>
            <w:tcW w:w="592"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32"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483"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92"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616"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26" w:hRule="atLeast"/>
          <w:jc w:val="center"/>
        </w:trPr>
        <w:tc>
          <w:tcPr>
            <w:tcW w:w="313" w:type="pct"/>
            <w:vMerge w:val="restart"/>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restart"/>
            <w:tcBorders>
              <w:right w:val="single" w:color="auto" w:sz="4" w:space="0"/>
            </w:tcBorders>
            <w:noWrap w:val="0"/>
            <w:vAlign w:val="center"/>
          </w:tcPr>
          <w:p>
            <w:pPr>
              <w:wordWrap w:val="0"/>
              <w:spacing w:line="360" w:lineRule="auto"/>
              <w:jc w:val="center"/>
              <w:rPr>
                <w:rFonts w:cs="仿宋_GB2312"/>
                <w:szCs w:val="24"/>
              </w:rPr>
            </w:pPr>
          </w:p>
        </w:tc>
        <w:tc>
          <w:tcPr>
            <w:tcW w:w="1335" w:type="pct"/>
            <w:tcBorders>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2.1</w:t>
            </w:r>
          </w:p>
        </w:tc>
        <w:tc>
          <w:tcPr>
            <w:tcW w:w="1483" w:type="pct"/>
            <w:tcBorders>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2.1</w:t>
            </w:r>
          </w:p>
        </w:tc>
        <w:tc>
          <w:tcPr>
            <w:tcW w:w="592" w:type="pct"/>
            <w:tcBorders>
              <w:bottom w:val="single" w:color="auto" w:sz="4" w:space="0"/>
            </w:tcBorders>
            <w:noWrap w:val="0"/>
            <w:vAlign w:val="center"/>
          </w:tcPr>
          <w:p>
            <w:pPr>
              <w:wordWrap w:val="0"/>
              <w:spacing w:line="360" w:lineRule="auto"/>
              <w:jc w:val="center"/>
              <w:rPr>
                <w:rFonts w:cs="仿宋_GB2312"/>
                <w:szCs w:val="24"/>
              </w:rPr>
            </w:pPr>
          </w:p>
        </w:tc>
        <w:tc>
          <w:tcPr>
            <w:tcW w:w="616" w:type="pct"/>
            <w:tcBorders>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38"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2.2</w:t>
            </w:r>
          </w:p>
        </w:tc>
        <w:tc>
          <w:tcPr>
            <w:tcW w:w="148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2.2</w:t>
            </w:r>
          </w:p>
        </w:tc>
        <w:tc>
          <w:tcPr>
            <w:tcW w:w="592"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66"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2.3</w:t>
            </w:r>
          </w:p>
        </w:tc>
        <w:tc>
          <w:tcPr>
            <w:tcW w:w="148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2.3</w:t>
            </w:r>
          </w:p>
        </w:tc>
        <w:tc>
          <w:tcPr>
            <w:tcW w:w="592"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80"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483"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92"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616"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53" w:hRule="atLeast"/>
          <w:jc w:val="center"/>
        </w:trPr>
        <w:tc>
          <w:tcPr>
            <w:tcW w:w="313" w:type="pct"/>
            <w:vMerge w:val="restart"/>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restart"/>
            <w:tcBorders>
              <w:right w:val="single" w:color="auto" w:sz="4" w:space="0"/>
            </w:tcBorders>
            <w:noWrap w:val="0"/>
            <w:vAlign w:val="center"/>
          </w:tcPr>
          <w:p>
            <w:pPr>
              <w:wordWrap w:val="0"/>
              <w:spacing w:line="360" w:lineRule="auto"/>
              <w:jc w:val="center"/>
              <w:rPr>
                <w:rFonts w:cs="仿宋_GB2312"/>
                <w:szCs w:val="24"/>
              </w:rPr>
            </w:pPr>
          </w:p>
        </w:tc>
        <w:tc>
          <w:tcPr>
            <w:tcW w:w="1335" w:type="pct"/>
            <w:tcBorders>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3.1</w:t>
            </w:r>
          </w:p>
        </w:tc>
        <w:tc>
          <w:tcPr>
            <w:tcW w:w="1483" w:type="pct"/>
            <w:tcBorders>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3.1</w:t>
            </w:r>
          </w:p>
        </w:tc>
        <w:tc>
          <w:tcPr>
            <w:tcW w:w="592" w:type="pct"/>
            <w:tcBorders>
              <w:bottom w:val="single" w:color="auto" w:sz="4" w:space="0"/>
            </w:tcBorders>
            <w:noWrap w:val="0"/>
            <w:vAlign w:val="center"/>
          </w:tcPr>
          <w:p>
            <w:pPr>
              <w:wordWrap w:val="0"/>
              <w:spacing w:line="360" w:lineRule="auto"/>
              <w:jc w:val="center"/>
              <w:rPr>
                <w:rFonts w:cs="仿宋_GB2312"/>
                <w:szCs w:val="24"/>
              </w:rPr>
            </w:pPr>
          </w:p>
        </w:tc>
        <w:tc>
          <w:tcPr>
            <w:tcW w:w="616" w:type="pct"/>
            <w:tcBorders>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291"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3.2</w:t>
            </w:r>
          </w:p>
        </w:tc>
        <w:tc>
          <w:tcPr>
            <w:tcW w:w="148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3.2</w:t>
            </w:r>
          </w:p>
        </w:tc>
        <w:tc>
          <w:tcPr>
            <w:tcW w:w="592"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52"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3.3</w:t>
            </w:r>
          </w:p>
        </w:tc>
        <w:tc>
          <w:tcPr>
            <w:tcW w:w="148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3.3</w:t>
            </w:r>
          </w:p>
        </w:tc>
        <w:tc>
          <w:tcPr>
            <w:tcW w:w="592"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16"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46" w:hRule="atLeast"/>
          <w:jc w:val="center"/>
        </w:trPr>
        <w:tc>
          <w:tcPr>
            <w:tcW w:w="313" w:type="pct"/>
            <w:vMerge w:val="continue"/>
            <w:noWrap w:val="0"/>
            <w:vAlign w:val="center"/>
          </w:tcPr>
          <w:p>
            <w:pPr>
              <w:numPr>
                <w:ilvl w:val="0"/>
                <w:numId w:val="66"/>
              </w:numPr>
              <w:tabs>
                <w:tab w:val="left" w:pos="61"/>
              </w:tabs>
              <w:wordWrap w:val="0"/>
              <w:adjustRightInd w:val="0"/>
              <w:snapToGrid w:val="0"/>
              <w:spacing w:line="360" w:lineRule="auto"/>
              <w:ind w:left="-72" w:leftChars="-30" w:firstLine="0"/>
              <w:jc w:val="center"/>
            </w:pPr>
          </w:p>
        </w:tc>
        <w:tc>
          <w:tcPr>
            <w:tcW w:w="661"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335" w:type="pct"/>
            <w:tcBorders>
              <w:top w:val="single" w:color="auto" w:sz="4" w:space="0"/>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483"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92"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616"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752" w:hRule="atLeast"/>
          <w:jc w:val="center"/>
        </w:trPr>
        <w:tc>
          <w:tcPr>
            <w:tcW w:w="313" w:type="pct"/>
            <w:noWrap w:val="0"/>
            <w:vAlign w:val="center"/>
          </w:tcPr>
          <w:p>
            <w:pPr>
              <w:wordWrap w:val="0"/>
              <w:spacing w:line="360" w:lineRule="auto"/>
              <w:jc w:val="center"/>
              <w:rPr>
                <w:rFonts w:cs="仿宋_GB2312"/>
                <w:szCs w:val="24"/>
              </w:rPr>
            </w:pPr>
            <w:r>
              <w:rPr>
                <w:rFonts w:hint="eastAsia" w:cs="仿宋_GB2312"/>
                <w:szCs w:val="24"/>
              </w:rPr>
              <w:t>…</w:t>
            </w:r>
          </w:p>
        </w:tc>
        <w:tc>
          <w:tcPr>
            <w:tcW w:w="661" w:type="pct"/>
            <w:tcBorders>
              <w:righ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335" w:type="pct"/>
            <w:tcBorders>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483" w:type="pct"/>
            <w:noWrap w:val="0"/>
            <w:vAlign w:val="center"/>
          </w:tcPr>
          <w:p>
            <w:pPr>
              <w:wordWrap w:val="0"/>
              <w:spacing w:line="360" w:lineRule="auto"/>
              <w:jc w:val="left"/>
              <w:rPr>
                <w:rFonts w:cs="仿宋_GB2312"/>
                <w:szCs w:val="24"/>
              </w:rPr>
            </w:pPr>
            <w:r>
              <w:rPr>
                <w:rFonts w:hint="eastAsia" w:cs="宋体"/>
                <w:szCs w:val="24"/>
              </w:rPr>
              <w:t>……</w:t>
            </w:r>
          </w:p>
        </w:tc>
        <w:tc>
          <w:tcPr>
            <w:tcW w:w="592" w:type="pct"/>
            <w:noWrap w:val="0"/>
            <w:vAlign w:val="center"/>
          </w:tcPr>
          <w:p>
            <w:pPr>
              <w:wordWrap w:val="0"/>
              <w:spacing w:line="360" w:lineRule="auto"/>
              <w:jc w:val="left"/>
              <w:rPr>
                <w:rFonts w:cs="仿宋_GB2312"/>
                <w:szCs w:val="24"/>
              </w:rPr>
            </w:pPr>
            <w:r>
              <w:rPr>
                <w:rFonts w:hint="eastAsia" w:cs="宋体"/>
                <w:szCs w:val="24"/>
              </w:rPr>
              <w:t>……</w:t>
            </w:r>
          </w:p>
        </w:tc>
        <w:tc>
          <w:tcPr>
            <w:tcW w:w="616" w:type="pct"/>
            <w:noWrap w:val="0"/>
            <w:vAlign w:val="center"/>
          </w:tcPr>
          <w:p>
            <w:pPr>
              <w:wordWrap w:val="0"/>
              <w:spacing w:line="360" w:lineRule="auto"/>
              <w:jc w:val="left"/>
              <w:rPr>
                <w:rFonts w:cs="仿宋_GB2312"/>
                <w:szCs w:val="24"/>
              </w:rPr>
            </w:pPr>
            <w:r>
              <w:rPr>
                <w:rFonts w:hint="eastAsia" w:cs="宋体"/>
                <w:szCs w:val="24"/>
              </w:rPr>
              <w:t>……</w:t>
            </w:r>
          </w:p>
        </w:tc>
      </w:tr>
    </w:tbl>
    <w:p>
      <w:pPr>
        <w:wordWrap w:val="0"/>
        <w:spacing w:line="360" w:lineRule="auto"/>
        <w:ind w:left="1132" w:hanging="1132" w:hangingChars="470"/>
        <w:jc w:val="left"/>
        <w:rPr>
          <w:szCs w:val="24"/>
        </w:rPr>
      </w:pPr>
      <w:r>
        <w:rPr>
          <w:rFonts w:hint="eastAsia"/>
          <w:b/>
          <w:szCs w:val="24"/>
        </w:rPr>
        <w:t>说明</w:t>
      </w:r>
      <w:r>
        <w:rPr>
          <w:rFonts w:hint="eastAsia" w:cs="Corbel"/>
          <w:b/>
          <w:szCs w:val="24"/>
        </w:rPr>
        <w:t>：</w:t>
      </w:r>
      <w:r>
        <w:rPr>
          <w:rFonts w:hint="eastAsia" w:cs="Corbel"/>
          <w:szCs w:val="24"/>
        </w:rPr>
        <w:t>1、应按招标文件“第三章 采购需求”中“商务要求”条款逐项在“投标文件响应的内容”栏中进行响应说明，并在“偏离说明”栏中注明是否偏离，如有偏离,投标人应详细说明。未按照要求填写此表或在“投标文件响应的内容”栏中仅注明“符合”、“满足”的，导致的后果由投标人自行承担</w:t>
      </w:r>
      <w:r>
        <w:rPr>
          <w:rFonts w:hint="eastAsia"/>
          <w:szCs w:val="24"/>
        </w:rPr>
        <w:t>。</w:t>
      </w:r>
    </w:p>
    <w:p>
      <w:pPr>
        <w:wordWrap w:val="0"/>
        <w:spacing w:line="360" w:lineRule="auto"/>
        <w:ind w:left="1130" w:leftChars="296" w:hanging="420" w:hangingChars="175"/>
        <w:jc w:val="left"/>
        <w:rPr>
          <w:szCs w:val="24"/>
        </w:rPr>
      </w:pPr>
      <w:r>
        <w:rPr>
          <w:rFonts w:hint="eastAsia" w:cs="Corbel"/>
          <w:szCs w:val="24"/>
        </w:rPr>
        <w:t>2、应将对应响应内容的页码（多页的，起码和止码）填写到上表“投标文件对应页码”栏中。未提供准确页码或页码与对应内容不一致的，导致的后果由投标人自行承担。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65"/>
        </w:numPr>
        <w:wordWrap w:val="0"/>
        <w:spacing w:before="40" w:after="40" w:line="360" w:lineRule="auto"/>
        <w:ind w:left="1285" w:hanging="1285"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597" w:name="_Toc117244502"/>
      <w:bookmarkStart w:id="598" w:name="_Toc117244387"/>
      <w:bookmarkStart w:id="599" w:name="_Toc22216"/>
      <w:bookmarkStart w:id="600" w:name="_Toc107561308"/>
      <w:r>
        <w:rPr>
          <w:rFonts w:hint="eastAsia" w:ascii="宋体" w:hAnsi="宋体" w:eastAsia="宋体"/>
          <w:sz w:val="24"/>
          <w:szCs w:val="24"/>
        </w:rPr>
        <w:t>技术要求</w:t>
      </w:r>
      <w:r>
        <w:rPr>
          <w:rFonts w:hint="eastAsia" w:ascii="宋体" w:hAnsi="宋体" w:eastAsia="宋体" w:cs="Times New Roman"/>
          <w:bCs w:val="0"/>
          <w:sz w:val="24"/>
          <w:szCs w:val="24"/>
        </w:rPr>
        <w:t>响应</w:t>
      </w:r>
      <w:r>
        <w:rPr>
          <w:rFonts w:hint="eastAsia" w:ascii="宋体" w:hAnsi="宋体" w:eastAsia="宋体"/>
          <w:sz w:val="24"/>
          <w:szCs w:val="24"/>
        </w:rPr>
        <w:t>偏离说明表</w:t>
      </w:r>
      <w:bookmarkEnd w:id="597"/>
      <w:bookmarkEnd w:id="598"/>
      <w:bookmarkEnd w:id="599"/>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26"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6"/>
        <w:gridCol w:w="1033"/>
        <w:gridCol w:w="2698"/>
        <w:gridCol w:w="2923"/>
        <w:gridCol w:w="1150"/>
        <w:gridCol w:w="119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2255" w:type="pct"/>
            <w:gridSpan w:val="3"/>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招标文件技术要求</w:t>
            </w:r>
          </w:p>
        </w:tc>
        <w:tc>
          <w:tcPr>
            <w:tcW w:w="1523"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599"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623"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311" w:type="pct"/>
            <w:tcBorders>
              <w:top w:val="single" w:color="auto" w:sz="4" w:space="0"/>
            </w:tcBorders>
            <w:shd w:val="pct10" w:color="C3BD96" w:fill="DDD9C4"/>
            <w:noWrap w:val="0"/>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538" w:type="pct"/>
            <w:tcBorders>
              <w:top w:val="single" w:color="auto" w:sz="4" w:space="0"/>
              <w:right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名称</w:t>
            </w:r>
          </w:p>
        </w:tc>
        <w:tc>
          <w:tcPr>
            <w:tcW w:w="1406" w:type="pct"/>
            <w:tcBorders>
              <w:top w:val="single" w:color="auto" w:sz="4" w:space="0"/>
              <w:left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bCs/>
                <w:szCs w:val="24"/>
              </w:rPr>
              <w:t>功能及技术参数</w:t>
            </w:r>
          </w:p>
        </w:tc>
        <w:tc>
          <w:tcPr>
            <w:tcW w:w="1523" w:type="pct"/>
            <w:vMerge w:val="continue"/>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599" w:type="pct"/>
            <w:vMerge w:val="continue"/>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23" w:type="pct"/>
            <w:vMerge w:val="continue"/>
            <w:shd w:val="pct10" w:color="C3BD96" w:fill="DDD9C4"/>
            <w:noWrap w:val="0"/>
            <w:vAlign w:val="top"/>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5" w:hRule="atLeast"/>
          <w:jc w:val="center"/>
        </w:trPr>
        <w:tc>
          <w:tcPr>
            <w:tcW w:w="311" w:type="pct"/>
            <w:vMerge w:val="restart"/>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restart"/>
            <w:tcBorders>
              <w:right w:val="single" w:color="auto" w:sz="4" w:space="0"/>
            </w:tcBorders>
            <w:noWrap w:val="0"/>
            <w:vAlign w:val="center"/>
          </w:tcPr>
          <w:p>
            <w:pPr>
              <w:wordWrap w:val="0"/>
              <w:spacing w:line="360" w:lineRule="auto"/>
              <w:jc w:val="center"/>
              <w:rPr>
                <w:rFonts w:cs="仿宋_GB2312"/>
                <w:szCs w:val="24"/>
              </w:rPr>
            </w:pPr>
          </w:p>
        </w:tc>
        <w:tc>
          <w:tcPr>
            <w:tcW w:w="1406" w:type="pct"/>
            <w:tcBorders>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1.1</w:t>
            </w:r>
          </w:p>
        </w:tc>
        <w:tc>
          <w:tcPr>
            <w:tcW w:w="1523" w:type="pct"/>
            <w:tcBorders>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1.1</w:t>
            </w:r>
          </w:p>
        </w:tc>
        <w:tc>
          <w:tcPr>
            <w:tcW w:w="599" w:type="pct"/>
            <w:tcBorders>
              <w:bottom w:val="single" w:color="auto" w:sz="4" w:space="0"/>
            </w:tcBorders>
            <w:noWrap w:val="0"/>
            <w:vAlign w:val="center"/>
          </w:tcPr>
          <w:p>
            <w:pPr>
              <w:wordWrap w:val="0"/>
              <w:spacing w:line="360" w:lineRule="auto"/>
              <w:jc w:val="center"/>
              <w:rPr>
                <w:rFonts w:cs="仿宋_GB2312"/>
                <w:szCs w:val="24"/>
              </w:rPr>
            </w:pPr>
          </w:p>
        </w:tc>
        <w:tc>
          <w:tcPr>
            <w:tcW w:w="623" w:type="pct"/>
            <w:tcBorders>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1.2</w:t>
            </w:r>
          </w:p>
        </w:tc>
        <w:tc>
          <w:tcPr>
            <w:tcW w:w="152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1.2</w:t>
            </w:r>
          </w:p>
        </w:tc>
        <w:tc>
          <w:tcPr>
            <w:tcW w:w="599"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523"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99" w:type="pct"/>
            <w:tcBorders>
              <w:top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c>
          <w:tcPr>
            <w:tcW w:w="623" w:type="pct"/>
            <w:tcBorders>
              <w:top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5" w:hRule="atLeast"/>
          <w:jc w:val="center"/>
        </w:trPr>
        <w:tc>
          <w:tcPr>
            <w:tcW w:w="311" w:type="pct"/>
            <w:vMerge w:val="restart"/>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restart"/>
            <w:tcBorders>
              <w:right w:val="single" w:color="auto" w:sz="4" w:space="0"/>
            </w:tcBorders>
            <w:noWrap w:val="0"/>
            <w:vAlign w:val="center"/>
          </w:tcPr>
          <w:p>
            <w:pPr>
              <w:wordWrap w:val="0"/>
              <w:spacing w:line="360" w:lineRule="auto"/>
              <w:jc w:val="center"/>
              <w:rPr>
                <w:rFonts w:cs="仿宋_GB2312"/>
                <w:szCs w:val="24"/>
              </w:rPr>
            </w:pPr>
          </w:p>
        </w:tc>
        <w:tc>
          <w:tcPr>
            <w:tcW w:w="1406" w:type="pct"/>
            <w:tcBorders>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2.1</w:t>
            </w:r>
          </w:p>
        </w:tc>
        <w:tc>
          <w:tcPr>
            <w:tcW w:w="1523" w:type="pct"/>
            <w:tcBorders>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2.1</w:t>
            </w:r>
          </w:p>
        </w:tc>
        <w:tc>
          <w:tcPr>
            <w:tcW w:w="599" w:type="pct"/>
            <w:tcBorders>
              <w:bottom w:val="single" w:color="auto" w:sz="4" w:space="0"/>
            </w:tcBorders>
            <w:noWrap w:val="0"/>
            <w:vAlign w:val="center"/>
          </w:tcPr>
          <w:p>
            <w:pPr>
              <w:wordWrap w:val="0"/>
              <w:spacing w:line="360" w:lineRule="auto"/>
              <w:jc w:val="center"/>
              <w:rPr>
                <w:rFonts w:cs="仿宋_GB2312"/>
                <w:szCs w:val="24"/>
              </w:rPr>
            </w:pPr>
          </w:p>
        </w:tc>
        <w:tc>
          <w:tcPr>
            <w:tcW w:w="623" w:type="pct"/>
            <w:tcBorders>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2.2</w:t>
            </w:r>
          </w:p>
        </w:tc>
        <w:tc>
          <w:tcPr>
            <w:tcW w:w="152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2.2</w:t>
            </w:r>
          </w:p>
        </w:tc>
        <w:tc>
          <w:tcPr>
            <w:tcW w:w="599"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2.3</w:t>
            </w:r>
          </w:p>
        </w:tc>
        <w:tc>
          <w:tcPr>
            <w:tcW w:w="152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2.3</w:t>
            </w:r>
          </w:p>
        </w:tc>
        <w:tc>
          <w:tcPr>
            <w:tcW w:w="599"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523"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99" w:type="pct"/>
            <w:tcBorders>
              <w:top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c>
          <w:tcPr>
            <w:tcW w:w="623" w:type="pct"/>
            <w:tcBorders>
              <w:top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35" w:hRule="atLeast"/>
          <w:jc w:val="center"/>
        </w:trPr>
        <w:tc>
          <w:tcPr>
            <w:tcW w:w="311" w:type="pct"/>
            <w:vMerge w:val="restart"/>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restart"/>
            <w:tcBorders>
              <w:right w:val="single" w:color="auto" w:sz="4" w:space="0"/>
            </w:tcBorders>
            <w:noWrap w:val="0"/>
            <w:vAlign w:val="center"/>
          </w:tcPr>
          <w:p>
            <w:pPr>
              <w:wordWrap w:val="0"/>
              <w:spacing w:line="360" w:lineRule="auto"/>
              <w:jc w:val="center"/>
              <w:rPr>
                <w:rFonts w:cs="仿宋_GB2312"/>
                <w:szCs w:val="24"/>
              </w:rPr>
            </w:pPr>
          </w:p>
        </w:tc>
        <w:tc>
          <w:tcPr>
            <w:tcW w:w="1406" w:type="pct"/>
            <w:tcBorders>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3.1</w:t>
            </w:r>
          </w:p>
        </w:tc>
        <w:tc>
          <w:tcPr>
            <w:tcW w:w="1523" w:type="pct"/>
            <w:tcBorders>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3.1</w:t>
            </w:r>
          </w:p>
        </w:tc>
        <w:tc>
          <w:tcPr>
            <w:tcW w:w="599" w:type="pct"/>
            <w:tcBorders>
              <w:bottom w:val="single" w:color="auto" w:sz="4" w:space="0"/>
            </w:tcBorders>
            <w:noWrap w:val="0"/>
            <w:vAlign w:val="center"/>
          </w:tcPr>
          <w:p>
            <w:pPr>
              <w:wordWrap w:val="0"/>
              <w:spacing w:line="360" w:lineRule="auto"/>
              <w:jc w:val="center"/>
              <w:rPr>
                <w:rFonts w:cs="仿宋_GB2312"/>
                <w:szCs w:val="24"/>
              </w:rPr>
            </w:pPr>
          </w:p>
        </w:tc>
        <w:tc>
          <w:tcPr>
            <w:tcW w:w="623" w:type="pct"/>
            <w:tcBorders>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3.2</w:t>
            </w:r>
          </w:p>
        </w:tc>
        <w:tc>
          <w:tcPr>
            <w:tcW w:w="152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3.2</w:t>
            </w:r>
          </w:p>
        </w:tc>
        <w:tc>
          <w:tcPr>
            <w:tcW w:w="599"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3.3</w:t>
            </w:r>
          </w:p>
        </w:tc>
        <w:tc>
          <w:tcPr>
            <w:tcW w:w="1523" w:type="pct"/>
            <w:tcBorders>
              <w:top w:val="single" w:color="auto" w:sz="4" w:space="0"/>
              <w:bottom w:val="single" w:color="auto" w:sz="4" w:space="0"/>
            </w:tcBorders>
            <w:noWrap w:val="0"/>
            <w:vAlign w:val="center"/>
          </w:tcPr>
          <w:p>
            <w:pPr>
              <w:wordWrap w:val="0"/>
              <w:spacing w:line="360" w:lineRule="auto"/>
              <w:jc w:val="left"/>
              <w:rPr>
                <w:rFonts w:cs="仿宋_GB2312"/>
                <w:szCs w:val="24"/>
              </w:rPr>
            </w:pPr>
            <w:r>
              <w:rPr>
                <w:rFonts w:hint="eastAsia" w:cs="仿宋_GB2312"/>
                <w:szCs w:val="24"/>
              </w:rPr>
              <w:t>3.3</w:t>
            </w:r>
          </w:p>
        </w:tc>
        <w:tc>
          <w:tcPr>
            <w:tcW w:w="599"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c>
          <w:tcPr>
            <w:tcW w:w="623" w:type="pct"/>
            <w:tcBorders>
              <w:top w:val="single" w:color="auto" w:sz="4" w:space="0"/>
              <w:bottom w:val="single" w:color="auto" w:sz="4" w:space="0"/>
            </w:tcBorders>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442" w:hRule="atLeast"/>
          <w:jc w:val="center"/>
        </w:trPr>
        <w:tc>
          <w:tcPr>
            <w:tcW w:w="311" w:type="pct"/>
            <w:vMerge w:val="continue"/>
            <w:noWrap w:val="0"/>
            <w:vAlign w:val="center"/>
          </w:tcPr>
          <w:p>
            <w:pPr>
              <w:numPr>
                <w:ilvl w:val="0"/>
                <w:numId w:val="67"/>
              </w:numPr>
              <w:tabs>
                <w:tab w:val="left" w:pos="60"/>
              </w:tabs>
              <w:wordWrap w:val="0"/>
              <w:adjustRightInd w:val="0"/>
              <w:snapToGrid w:val="0"/>
              <w:spacing w:line="360" w:lineRule="auto"/>
              <w:ind w:left="-72" w:leftChars="-30" w:firstLine="0"/>
              <w:jc w:val="center"/>
            </w:pPr>
          </w:p>
        </w:tc>
        <w:tc>
          <w:tcPr>
            <w:tcW w:w="538" w:type="pct"/>
            <w:vMerge w:val="continue"/>
            <w:tcBorders>
              <w:right w:val="single" w:color="auto" w:sz="4" w:space="0"/>
            </w:tcBorders>
            <w:noWrap w:val="0"/>
            <w:vAlign w:val="center"/>
          </w:tcPr>
          <w:p>
            <w:pPr>
              <w:wordWrap w:val="0"/>
              <w:spacing w:line="360" w:lineRule="auto"/>
              <w:jc w:val="center"/>
              <w:rPr>
                <w:rFonts w:cs="仿宋_GB2312"/>
                <w:szCs w:val="24"/>
              </w:rPr>
            </w:pPr>
          </w:p>
        </w:tc>
        <w:tc>
          <w:tcPr>
            <w:tcW w:w="1406" w:type="pct"/>
            <w:tcBorders>
              <w:top w:val="single" w:color="auto" w:sz="4" w:space="0"/>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1523" w:type="pct"/>
            <w:tcBorders>
              <w:top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99" w:type="pct"/>
            <w:tcBorders>
              <w:top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c>
          <w:tcPr>
            <w:tcW w:w="623" w:type="pct"/>
            <w:tcBorders>
              <w:top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835" w:hRule="atLeast"/>
          <w:jc w:val="center"/>
        </w:trPr>
        <w:tc>
          <w:tcPr>
            <w:tcW w:w="311" w:type="pct"/>
            <w:noWrap w:val="0"/>
            <w:vAlign w:val="center"/>
          </w:tcPr>
          <w:p>
            <w:pPr>
              <w:wordWrap w:val="0"/>
              <w:spacing w:line="360" w:lineRule="auto"/>
              <w:jc w:val="center"/>
              <w:rPr>
                <w:rFonts w:cs="仿宋_GB2312"/>
                <w:szCs w:val="24"/>
              </w:rPr>
            </w:pPr>
            <w:r>
              <w:rPr>
                <w:rFonts w:hint="eastAsia" w:cs="仿宋_GB2312"/>
                <w:szCs w:val="24"/>
              </w:rPr>
              <w:t>…</w:t>
            </w:r>
          </w:p>
        </w:tc>
        <w:tc>
          <w:tcPr>
            <w:tcW w:w="538" w:type="pct"/>
            <w:tcBorders>
              <w:right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c>
          <w:tcPr>
            <w:tcW w:w="1406" w:type="pct"/>
            <w:tcBorders>
              <w:left w:val="single" w:color="auto" w:sz="4" w:space="0"/>
            </w:tcBorders>
            <w:noWrap w:val="0"/>
            <w:vAlign w:val="center"/>
          </w:tcPr>
          <w:p>
            <w:pPr>
              <w:wordWrap w:val="0"/>
              <w:spacing w:line="360" w:lineRule="auto"/>
              <w:jc w:val="center"/>
              <w:rPr>
                <w:rFonts w:cs="仿宋_GB2312"/>
                <w:szCs w:val="24"/>
              </w:rPr>
            </w:pPr>
            <w:r>
              <w:rPr>
                <w:rFonts w:hint="eastAsia" w:cs="宋体"/>
                <w:szCs w:val="24"/>
              </w:rPr>
              <w:t>……</w:t>
            </w:r>
          </w:p>
        </w:tc>
        <w:tc>
          <w:tcPr>
            <w:tcW w:w="1523" w:type="pct"/>
            <w:noWrap w:val="0"/>
            <w:vAlign w:val="center"/>
          </w:tcPr>
          <w:p>
            <w:pPr>
              <w:wordWrap w:val="0"/>
              <w:spacing w:line="360" w:lineRule="auto"/>
              <w:jc w:val="center"/>
              <w:rPr>
                <w:rFonts w:cs="仿宋_GB2312"/>
                <w:szCs w:val="24"/>
              </w:rPr>
            </w:pPr>
            <w:r>
              <w:rPr>
                <w:rFonts w:hint="eastAsia" w:cs="宋体"/>
                <w:szCs w:val="24"/>
              </w:rPr>
              <w:t>……</w:t>
            </w:r>
          </w:p>
        </w:tc>
        <w:tc>
          <w:tcPr>
            <w:tcW w:w="599" w:type="pct"/>
            <w:noWrap w:val="0"/>
            <w:vAlign w:val="center"/>
          </w:tcPr>
          <w:p>
            <w:pPr>
              <w:wordWrap w:val="0"/>
              <w:spacing w:line="360" w:lineRule="auto"/>
              <w:jc w:val="center"/>
              <w:rPr>
                <w:rFonts w:cs="仿宋_GB2312"/>
                <w:szCs w:val="24"/>
              </w:rPr>
            </w:pPr>
            <w:r>
              <w:rPr>
                <w:rFonts w:hint="eastAsia" w:cs="宋体"/>
                <w:szCs w:val="24"/>
              </w:rPr>
              <w:t>……</w:t>
            </w:r>
          </w:p>
        </w:tc>
        <w:tc>
          <w:tcPr>
            <w:tcW w:w="623" w:type="pct"/>
            <w:noWrap w:val="0"/>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szCs w:val="24"/>
        </w:rPr>
      </w:pPr>
      <w:r>
        <w:rPr>
          <w:rFonts w:hint="eastAsia" w:cs="Corbel"/>
          <w:b/>
          <w:szCs w:val="24"/>
        </w:rPr>
        <w:t>说明：</w:t>
      </w:r>
      <w:r>
        <w:rPr>
          <w:rFonts w:hint="eastAsia" w:cs="Corbel"/>
          <w:szCs w:val="24"/>
        </w:rPr>
        <w:t>1、应按招标文件“第三章 采购需求”中“技术要求”条款逐项在“投标文件响应的内容”栏中进行响应说明，并在“偏离说明”栏注明是否偏离，如有偏离,投标人应详细说明。未按照要求填写此表或在“投标文件响应的内容”栏中仅注明“符合”、“满足”的，导致的后果由投标人自行承担</w:t>
      </w:r>
      <w:r>
        <w:rPr>
          <w:rFonts w:hint="eastAsia"/>
          <w:szCs w:val="24"/>
        </w:rPr>
        <w:t>。</w:t>
      </w:r>
    </w:p>
    <w:p>
      <w:pPr>
        <w:wordWrap w:val="0"/>
        <w:spacing w:line="360" w:lineRule="auto"/>
        <w:ind w:left="1130" w:leftChars="295" w:hanging="422" w:hangingChars="176"/>
        <w:jc w:val="left"/>
        <w:rPr>
          <w:rFonts w:cs="Corbel"/>
          <w:szCs w:val="24"/>
        </w:rPr>
      </w:pPr>
      <w:r>
        <w:rPr>
          <w:rFonts w:hint="eastAsia" w:cs="Corbel"/>
          <w:szCs w:val="24"/>
        </w:rPr>
        <w:t>2、应将对应响应内容的页码（多页的，起码和止码）填写到上表“投标文件对应页码”栏中。未提供准确页码或页码与对应内容不一致的，导致的后果由投标人自行承担。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widowControl/>
        <w:spacing w:line="360" w:lineRule="auto"/>
        <w:jc w:val="left"/>
        <w:rPr>
          <w:rFonts w:cs="Times New Roman"/>
          <w:b/>
          <w:bCs/>
          <w:szCs w:val="24"/>
        </w:rPr>
      </w:pPr>
      <w:r>
        <w:rPr>
          <w:szCs w:val="24"/>
        </w:rPr>
        <w:br w:type="page"/>
      </w: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601" w:name="_Toc117244503"/>
      <w:bookmarkStart w:id="602" w:name="_Toc9434"/>
      <w:bookmarkStart w:id="603" w:name="_Toc117244388"/>
      <w:r>
        <w:rPr>
          <w:rFonts w:hint="eastAsia" w:ascii="宋体" w:hAnsi="宋体" w:eastAsia="宋体"/>
          <w:sz w:val="24"/>
          <w:szCs w:val="24"/>
        </w:rPr>
        <w:t>商务评分对照表</w:t>
      </w:r>
      <w:bookmarkEnd w:id="600"/>
      <w:bookmarkEnd w:id="601"/>
      <w:bookmarkEnd w:id="602"/>
      <w:bookmarkEnd w:id="603"/>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08"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21"/>
        <w:gridCol w:w="1154"/>
        <w:gridCol w:w="696"/>
        <w:gridCol w:w="2124"/>
        <w:gridCol w:w="2610"/>
        <w:gridCol w:w="1161"/>
        <w:gridCol w:w="129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2318" w:type="pct"/>
            <w:gridSpan w:val="4"/>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招标文件商务评分内容</w:t>
            </w:r>
          </w:p>
        </w:tc>
        <w:tc>
          <w:tcPr>
            <w:tcW w:w="1376"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618"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688" w:type="pct"/>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284" w:type="pct"/>
            <w:tcBorders>
              <w:top w:val="single" w:color="auto" w:sz="4" w:space="0"/>
              <w:bottom w:val="single" w:color="auto" w:sz="4" w:space="0"/>
            </w:tcBorders>
            <w:shd w:val="pct10" w:color="C3BD96" w:fill="DDD9C4"/>
            <w:noWrap w:val="0"/>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615" w:type="pct"/>
            <w:tcBorders>
              <w:top w:val="single" w:color="auto" w:sz="4" w:space="0"/>
              <w:bottom w:val="single" w:color="auto" w:sz="4" w:space="0"/>
              <w:right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评审因素</w:t>
            </w:r>
          </w:p>
        </w:tc>
        <w:tc>
          <w:tcPr>
            <w:tcW w:w="297" w:type="pct"/>
            <w:tcBorders>
              <w:top w:val="single" w:color="auto" w:sz="4" w:space="0"/>
              <w:left w:val="single" w:color="auto" w:sz="4" w:space="0"/>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分值</w:t>
            </w:r>
          </w:p>
        </w:tc>
        <w:tc>
          <w:tcPr>
            <w:tcW w:w="1122" w:type="pct"/>
            <w:tcBorders>
              <w:top w:val="single" w:color="auto" w:sz="4" w:space="0"/>
              <w:left w:val="single" w:color="auto" w:sz="4" w:space="0"/>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评分标准</w:t>
            </w:r>
          </w:p>
        </w:tc>
        <w:tc>
          <w:tcPr>
            <w:tcW w:w="1376" w:type="pct"/>
            <w:vMerge w:val="continue"/>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18" w:type="pct"/>
            <w:vMerge w:val="continue"/>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688" w:type="pct"/>
            <w:vMerge w:val="continue"/>
            <w:tcBorders>
              <w:bottom w:val="single" w:color="auto" w:sz="4" w:space="0"/>
            </w:tcBorders>
            <w:shd w:val="pct10" w:color="C3BD96" w:fill="DDD9C4"/>
            <w:noWrap w:val="0"/>
            <w:vAlign w:val="top"/>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tcBorders>
              <w:top w:val="single" w:color="auto" w:sz="4" w:space="0"/>
            </w:tcBorders>
            <w:noWrap w:val="0"/>
            <w:vAlign w:val="center"/>
          </w:tcPr>
          <w:p>
            <w:pPr>
              <w:numPr>
                <w:ilvl w:val="0"/>
                <w:numId w:val="68"/>
              </w:numPr>
              <w:wordWrap w:val="0"/>
              <w:spacing w:line="360" w:lineRule="auto"/>
              <w:jc w:val="center"/>
              <w:rPr>
                <w:rFonts w:cs="仿宋_GB2312"/>
                <w:szCs w:val="24"/>
              </w:rPr>
            </w:pPr>
          </w:p>
        </w:tc>
        <w:tc>
          <w:tcPr>
            <w:tcW w:w="615" w:type="pct"/>
            <w:tcBorders>
              <w:top w:val="single" w:color="auto" w:sz="4" w:space="0"/>
            </w:tcBorders>
            <w:noWrap w:val="0"/>
            <w:vAlign w:val="center"/>
          </w:tcPr>
          <w:p>
            <w:pPr>
              <w:wordWrap w:val="0"/>
              <w:spacing w:line="360" w:lineRule="auto"/>
              <w:jc w:val="center"/>
              <w:rPr>
                <w:rFonts w:cs="仿宋_GB2312"/>
                <w:szCs w:val="24"/>
              </w:rPr>
            </w:pPr>
          </w:p>
        </w:tc>
        <w:tc>
          <w:tcPr>
            <w:tcW w:w="297" w:type="pct"/>
            <w:tcBorders>
              <w:top w:val="single" w:color="auto" w:sz="4" w:space="0"/>
            </w:tcBorders>
            <w:noWrap w:val="0"/>
            <w:vAlign w:val="center"/>
          </w:tcPr>
          <w:p>
            <w:pPr>
              <w:wordWrap w:val="0"/>
              <w:spacing w:line="360" w:lineRule="auto"/>
              <w:jc w:val="center"/>
              <w:rPr>
                <w:rFonts w:cs="仿宋_GB2312"/>
                <w:szCs w:val="24"/>
              </w:rPr>
            </w:pPr>
          </w:p>
        </w:tc>
        <w:tc>
          <w:tcPr>
            <w:tcW w:w="1122" w:type="pct"/>
            <w:tcBorders>
              <w:top w:val="single" w:color="auto" w:sz="4" w:space="0"/>
            </w:tcBorders>
            <w:noWrap w:val="0"/>
            <w:vAlign w:val="center"/>
          </w:tcPr>
          <w:p>
            <w:pPr>
              <w:wordWrap w:val="0"/>
              <w:spacing w:line="360" w:lineRule="auto"/>
              <w:jc w:val="center"/>
              <w:rPr>
                <w:rFonts w:cs="仿宋_GB2312"/>
                <w:szCs w:val="24"/>
              </w:rPr>
            </w:pPr>
          </w:p>
        </w:tc>
        <w:tc>
          <w:tcPr>
            <w:tcW w:w="1376" w:type="pct"/>
            <w:tcBorders>
              <w:top w:val="single" w:color="auto" w:sz="4" w:space="0"/>
            </w:tcBorders>
            <w:noWrap w:val="0"/>
            <w:vAlign w:val="center"/>
          </w:tcPr>
          <w:p>
            <w:pPr>
              <w:wordWrap w:val="0"/>
              <w:spacing w:line="360" w:lineRule="auto"/>
              <w:jc w:val="center"/>
              <w:rPr>
                <w:rFonts w:cs="仿宋_GB2312"/>
                <w:szCs w:val="24"/>
              </w:rPr>
            </w:pPr>
          </w:p>
        </w:tc>
        <w:tc>
          <w:tcPr>
            <w:tcW w:w="618" w:type="pct"/>
            <w:tcBorders>
              <w:top w:val="single" w:color="auto" w:sz="4" w:space="0"/>
            </w:tcBorders>
            <w:noWrap w:val="0"/>
            <w:vAlign w:val="center"/>
          </w:tcPr>
          <w:p>
            <w:pPr>
              <w:wordWrap w:val="0"/>
              <w:spacing w:line="360" w:lineRule="auto"/>
              <w:jc w:val="center"/>
              <w:rPr>
                <w:rFonts w:cs="仿宋_GB2312"/>
                <w:szCs w:val="24"/>
              </w:rPr>
            </w:pPr>
          </w:p>
        </w:tc>
        <w:tc>
          <w:tcPr>
            <w:tcW w:w="688" w:type="pct"/>
            <w:tcBorders>
              <w:top w:val="single" w:color="auto" w:sz="4" w:space="0"/>
            </w:tcBorders>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noWrap w:val="0"/>
            <w:vAlign w:val="center"/>
          </w:tcPr>
          <w:p>
            <w:pPr>
              <w:numPr>
                <w:ilvl w:val="0"/>
                <w:numId w:val="68"/>
              </w:num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c>
          <w:tcPr>
            <w:tcW w:w="297" w:type="pct"/>
            <w:noWrap w:val="0"/>
            <w:vAlign w:val="center"/>
          </w:tcPr>
          <w:p>
            <w:pPr>
              <w:wordWrap w:val="0"/>
              <w:spacing w:line="360" w:lineRule="auto"/>
              <w:jc w:val="center"/>
              <w:rPr>
                <w:rFonts w:cs="仿宋_GB2312"/>
                <w:szCs w:val="24"/>
              </w:rPr>
            </w:pPr>
          </w:p>
        </w:tc>
        <w:tc>
          <w:tcPr>
            <w:tcW w:w="1122" w:type="pct"/>
            <w:noWrap w:val="0"/>
            <w:vAlign w:val="center"/>
          </w:tcPr>
          <w:p>
            <w:pPr>
              <w:wordWrap w:val="0"/>
              <w:spacing w:line="360" w:lineRule="auto"/>
              <w:jc w:val="center"/>
              <w:rPr>
                <w:rFonts w:cs="仿宋_GB2312"/>
                <w:szCs w:val="24"/>
              </w:rPr>
            </w:pPr>
          </w:p>
        </w:tc>
        <w:tc>
          <w:tcPr>
            <w:tcW w:w="1376" w:type="pct"/>
            <w:noWrap w:val="0"/>
            <w:vAlign w:val="center"/>
          </w:tcPr>
          <w:p>
            <w:pPr>
              <w:wordWrap w:val="0"/>
              <w:spacing w:line="360" w:lineRule="auto"/>
              <w:jc w:val="center"/>
              <w:rPr>
                <w:rFonts w:cs="仿宋_GB2312"/>
                <w:szCs w:val="24"/>
              </w:rPr>
            </w:pPr>
          </w:p>
        </w:tc>
        <w:tc>
          <w:tcPr>
            <w:tcW w:w="618" w:type="pct"/>
            <w:noWrap w:val="0"/>
            <w:vAlign w:val="center"/>
          </w:tcPr>
          <w:p>
            <w:pPr>
              <w:wordWrap w:val="0"/>
              <w:spacing w:line="360" w:lineRule="auto"/>
              <w:jc w:val="center"/>
              <w:rPr>
                <w:rFonts w:cs="仿宋_GB2312"/>
                <w:szCs w:val="24"/>
              </w:rPr>
            </w:pPr>
          </w:p>
        </w:tc>
        <w:tc>
          <w:tcPr>
            <w:tcW w:w="688" w:type="pct"/>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noWrap w:val="0"/>
            <w:vAlign w:val="center"/>
          </w:tcPr>
          <w:p>
            <w:pPr>
              <w:numPr>
                <w:ilvl w:val="0"/>
                <w:numId w:val="68"/>
              </w:num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c>
          <w:tcPr>
            <w:tcW w:w="297" w:type="pct"/>
            <w:noWrap w:val="0"/>
            <w:vAlign w:val="center"/>
          </w:tcPr>
          <w:p>
            <w:pPr>
              <w:wordWrap w:val="0"/>
              <w:spacing w:line="360" w:lineRule="auto"/>
              <w:jc w:val="center"/>
              <w:rPr>
                <w:rFonts w:cs="仿宋_GB2312"/>
                <w:szCs w:val="24"/>
              </w:rPr>
            </w:pPr>
          </w:p>
        </w:tc>
        <w:tc>
          <w:tcPr>
            <w:tcW w:w="1122" w:type="pct"/>
            <w:noWrap w:val="0"/>
            <w:vAlign w:val="center"/>
          </w:tcPr>
          <w:p>
            <w:pPr>
              <w:wordWrap w:val="0"/>
              <w:spacing w:line="360" w:lineRule="auto"/>
              <w:jc w:val="center"/>
              <w:rPr>
                <w:rFonts w:cs="仿宋_GB2312"/>
                <w:szCs w:val="24"/>
              </w:rPr>
            </w:pPr>
          </w:p>
        </w:tc>
        <w:tc>
          <w:tcPr>
            <w:tcW w:w="1376" w:type="pct"/>
            <w:noWrap w:val="0"/>
            <w:vAlign w:val="center"/>
          </w:tcPr>
          <w:p>
            <w:pPr>
              <w:wordWrap w:val="0"/>
              <w:spacing w:line="360" w:lineRule="auto"/>
              <w:jc w:val="center"/>
              <w:rPr>
                <w:rFonts w:cs="仿宋_GB2312"/>
                <w:szCs w:val="24"/>
              </w:rPr>
            </w:pPr>
          </w:p>
        </w:tc>
        <w:tc>
          <w:tcPr>
            <w:tcW w:w="618" w:type="pct"/>
            <w:noWrap w:val="0"/>
            <w:vAlign w:val="center"/>
          </w:tcPr>
          <w:p>
            <w:pPr>
              <w:wordWrap w:val="0"/>
              <w:spacing w:line="360" w:lineRule="auto"/>
              <w:jc w:val="center"/>
              <w:rPr>
                <w:rFonts w:cs="仿宋_GB2312"/>
                <w:szCs w:val="24"/>
              </w:rPr>
            </w:pPr>
          </w:p>
        </w:tc>
        <w:tc>
          <w:tcPr>
            <w:tcW w:w="688" w:type="pct"/>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noWrap w:val="0"/>
            <w:vAlign w:val="center"/>
          </w:tcPr>
          <w:p>
            <w:pPr>
              <w:numPr>
                <w:ilvl w:val="0"/>
                <w:numId w:val="68"/>
              </w:num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c>
          <w:tcPr>
            <w:tcW w:w="297" w:type="pct"/>
            <w:noWrap w:val="0"/>
            <w:vAlign w:val="center"/>
          </w:tcPr>
          <w:p>
            <w:pPr>
              <w:wordWrap w:val="0"/>
              <w:spacing w:line="360" w:lineRule="auto"/>
              <w:jc w:val="center"/>
              <w:rPr>
                <w:rFonts w:cs="仿宋_GB2312"/>
                <w:szCs w:val="24"/>
              </w:rPr>
            </w:pPr>
          </w:p>
        </w:tc>
        <w:tc>
          <w:tcPr>
            <w:tcW w:w="1122" w:type="pct"/>
            <w:noWrap w:val="0"/>
            <w:vAlign w:val="center"/>
          </w:tcPr>
          <w:p>
            <w:pPr>
              <w:wordWrap w:val="0"/>
              <w:spacing w:line="360" w:lineRule="auto"/>
              <w:jc w:val="center"/>
              <w:rPr>
                <w:rFonts w:cs="仿宋_GB2312"/>
                <w:szCs w:val="24"/>
              </w:rPr>
            </w:pPr>
          </w:p>
        </w:tc>
        <w:tc>
          <w:tcPr>
            <w:tcW w:w="1376" w:type="pct"/>
            <w:noWrap w:val="0"/>
            <w:vAlign w:val="center"/>
          </w:tcPr>
          <w:p>
            <w:pPr>
              <w:wordWrap w:val="0"/>
              <w:spacing w:line="360" w:lineRule="auto"/>
              <w:jc w:val="center"/>
              <w:rPr>
                <w:rFonts w:cs="仿宋_GB2312"/>
                <w:szCs w:val="24"/>
              </w:rPr>
            </w:pPr>
          </w:p>
        </w:tc>
        <w:tc>
          <w:tcPr>
            <w:tcW w:w="618" w:type="pct"/>
            <w:noWrap w:val="0"/>
            <w:vAlign w:val="center"/>
          </w:tcPr>
          <w:p>
            <w:pPr>
              <w:wordWrap w:val="0"/>
              <w:spacing w:line="360" w:lineRule="auto"/>
              <w:jc w:val="center"/>
              <w:rPr>
                <w:rFonts w:cs="仿宋_GB2312"/>
                <w:szCs w:val="24"/>
              </w:rPr>
            </w:pPr>
          </w:p>
        </w:tc>
        <w:tc>
          <w:tcPr>
            <w:tcW w:w="688" w:type="pct"/>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noWrap w:val="0"/>
            <w:vAlign w:val="center"/>
          </w:tcPr>
          <w:p>
            <w:pPr>
              <w:numPr>
                <w:ilvl w:val="0"/>
                <w:numId w:val="68"/>
              </w:num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c>
          <w:tcPr>
            <w:tcW w:w="297" w:type="pct"/>
            <w:noWrap w:val="0"/>
            <w:vAlign w:val="center"/>
          </w:tcPr>
          <w:p>
            <w:pPr>
              <w:wordWrap w:val="0"/>
              <w:spacing w:line="360" w:lineRule="auto"/>
              <w:jc w:val="center"/>
              <w:rPr>
                <w:rFonts w:cs="仿宋_GB2312"/>
                <w:szCs w:val="24"/>
              </w:rPr>
            </w:pPr>
          </w:p>
        </w:tc>
        <w:tc>
          <w:tcPr>
            <w:tcW w:w="1122" w:type="pct"/>
            <w:noWrap w:val="0"/>
            <w:vAlign w:val="center"/>
          </w:tcPr>
          <w:p>
            <w:pPr>
              <w:wordWrap w:val="0"/>
              <w:spacing w:line="360" w:lineRule="auto"/>
              <w:jc w:val="center"/>
              <w:rPr>
                <w:rFonts w:cs="仿宋_GB2312"/>
                <w:szCs w:val="24"/>
              </w:rPr>
            </w:pPr>
          </w:p>
        </w:tc>
        <w:tc>
          <w:tcPr>
            <w:tcW w:w="1376" w:type="pct"/>
            <w:noWrap w:val="0"/>
            <w:vAlign w:val="center"/>
          </w:tcPr>
          <w:p>
            <w:pPr>
              <w:wordWrap w:val="0"/>
              <w:spacing w:line="360" w:lineRule="auto"/>
              <w:jc w:val="center"/>
              <w:rPr>
                <w:rFonts w:cs="仿宋_GB2312"/>
                <w:szCs w:val="24"/>
              </w:rPr>
            </w:pPr>
          </w:p>
        </w:tc>
        <w:tc>
          <w:tcPr>
            <w:tcW w:w="618" w:type="pct"/>
            <w:noWrap w:val="0"/>
            <w:vAlign w:val="center"/>
          </w:tcPr>
          <w:p>
            <w:pPr>
              <w:wordWrap w:val="0"/>
              <w:spacing w:line="360" w:lineRule="auto"/>
              <w:jc w:val="center"/>
              <w:rPr>
                <w:rFonts w:cs="仿宋_GB2312"/>
                <w:szCs w:val="24"/>
              </w:rPr>
            </w:pPr>
          </w:p>
        </w:tc>
        <w:tc>
          <w:tcPr>
            <w:tcW w:w="688" w:type="pct"/>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noWrap w:val="0"/>
            <w:vAlign w:val="center"/>
          </w:tcPr>
          <w:p>
            <w:pPr>
              <w:numPr>
                <w:ilvl w:val="0"/>
                <w:numId w:val="68"/>
              </w:numPr>
              <w:wordWrap w:val="0"/>
              <w:spacing w:line="360" w:lineRule="auto"/>
              <w:jc w:val="center"/>
              <w:rPr>
                <w:rFonts w:cs="仿宋_GB2312"/>
                <w:szCs w:val="24"/>
              </w:rPr>
            </w:pPr>
          </w:p>
        </w:tc>
        <w:tc>
          <w:tcPr>
            <w:tcW w:w="615" w:type="pct"/>
            <w:noWrap w:val="0"/>
            <w:vAlign w:val="center"/>
          </w:tcPr>
          <w:p>
            <w:pPr>
              <w:wordWrap w:val="0"/>
              <w:spacing w:line="360" w:lineRule="auto"/>
              <w:jc w:val="center"/>
              <w:rPr>
                <w:rFonts w:cs="仿宋_GB2312"/>
                <w:szCs w:val="24"/>
              </w:rPr>
            </w:pPr>
          </w:p>
        </w:tc>
        <w:tc>
          <w:tcPr>
            <w:tcW w:w="297" w:type="pct"/>
            <w:noWrap w:val="0"/>
            <w:vAlign w:val="center"/>
          </w:tcPr>
          <w:p>
            <w:pPr>
              <w:wordWrap w:val="0"/>
              <w:spacing w:line="360" w:lineRule="auto"/>
              <w:jc w:val="center"/>
              <w:rPr>
                <w:rFonts w:cs="仿宋_GB2312"/>
                <w:szCs w:val="24"/>
              </w:rPr>
            </w:pPr>
          </w:p>
        </w:tc>
        <w:tc>
          <w:tcPr>
            <w:tcW w:w="1122" w:type="pct"/>
            <w:noWrap w:val="0"/>
            <w:vAlign w:val="center"/>
          </w:tcPr>
          <w:p>
            <w:pPr>
              <w:wordWrap w:val="0"/>
              <w:spacing w:line="360" w:lineRule="auto"/>
              <w:jc w:val="center"/>
              <w:rPr>
                <w:rFonts w:cs="仿宋_GB2312"/>
                <w:szCs w:val="24"/>
              </w:rPr>
            </w:pPr>
          </w:p>
        </w:tc>
        <w:tc>
          <w:tcPr>
            <w:tcW w:w="1376" w:type="pct"/>
            <w:noWrap w:val="0"/>
            <w:vAlign w:val="center"/>
          </w:tcPr>
          <w:p>
            <w:pPr>
              <w:wordWrap w:val="0"/>
              <w:spacing w:line="360" w:lineRule="auto"/>
              <w:jc w:val="center"/>
              <w:rPr>
                <w:rFonts w:cs="仿宋_GB2312"/>
                <w:szCs w:val="24"/>
              </w:rPr>
            </w:pPr>
          </w:p>
        </w:tc>
        <w:tc>
          <w:tcPr>
            <w:tcW w:w="618" w:type="pct"/>
            <w:noWrap w:val="0"/>
            <w:vAlign w:val="center"/>
          </w:tcPr>
          <w:p>
            <w:pPr>
              <w:wordWrap w:val="0"/>
              <w:spacing w:line="360" w:lineRule="auto"/>
              <w:jc w:val="center"/>
              <w:rPr>
                <w:rFonts w:cs="仿宋_GB2312"/>
                <w:szCs w:val="24"/>
              </w:rPr>
            </w:pPr>
          </w:p>
        </w:tc>
        <w:tc>
          <w:tcPr>
            <w:tcW w:w="688" w:type="pct"/>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2" w:hRule="atLeast"/>
          <w:jc w:val="center"/>
        </w:trPr>
        <w:tc>
          <w:tcPr>
            <w:tcW w:w="284" w:type="pct"/>
            <w:noWrap w:val="0"/>
            <w:vAlign w:val="center"/>
          </w:tcPr>
          <w:p>
            <w:pPr>
              <w:wordWrap w:val="0"/>
              <w:spacing w:line="360" w:lineRule="auto"/>
              <w:jc w:val="center"/>
              <w:rPr>
                <w:rFonts w:cs="仿宋_GB2312"/>
                <w:szCs w:val="24"/>
              </w:rPr>
            </w:pPr>
            <w:r>
              <w:rPr>
                <w:rFonts w:hint="eastAsia" w:cs="仿宋_GB2312"/>
                <w:szCs w:val="24"/>
              </w:rPr>
              <w:t>…</w:t>
            </w:r>
          </w:p>
        </w:tc>
        <w:tc>
          <w:tcPr>
            <w:tcW w:w="615" w:type="pct"/>
            <w:noWrap w:val="0"/>
            <w:vAlign w:val="center"/>
          </w:tcPr>
          <w:p>
            <w:pPr>
              <w:wordWrap w:val="0"/>
              <w:spacing w:line="360" w:lineRule="auto"/>
              <w:jc w:val="center"/>
              <w:rPr>
                <w:rFonts w:cs="仿宋_GB2312"/>
                <w:szCs w:val="24"/>
              </w:rPr>
            </w:pPr>
            <w:r>
              <w:rPr>
                <w:rFonts w:hint="eastAsia" w:cs="宋体"/>
                <w:szCs w:val="24"/>
              </w:rPr>
              <w:t>……</w:t>
            </w:r>
          </w:p>
        </w:tc>
        <w:tc>
          <w:tcPr>
            <w:tcW w:w="297" w:type="pct"/>
            <w:noWrap w:val="0"/>
            <w:vAlign w:val="center"/>
          </w:tcPr>
          <w:p>
            <w:pPr>
              <w:wordWrap w:val="0"/>
              <w:spacing w:line="360" w:lineRule="auto"/>
              <w:jc w:val="center"/>
              <w:rPr>
                <w:rFonts w:cs="仿宋_GB2312"/>
                <w:szCs w:val="24"/>
              </w:rPr>
            </w:pPr>
            <w:r>
              <w:rPr>
                <w:rFonts w:hint="eastAsia" w:cs="宋体"/>
                <w:szCs w:val="24"/>
              </w:rPr>
              <w:t>……</w:t>
            </w:r>
          </w:p>
        </w:tc>
        <w:tc>
          <w:tcPr>
            <w:tcW w:w="1122" w:type="pct"/>
            <w:noWrap w:val="0"/>
            <w:vAlign w:val="center"/>
          </w:tcPr>
          <w:p>
            <w:pPr>
              <w:wordWrap w:val="0"/>
              <w:spacing w:line="360" w:lineRule="auto"/>
              <w:jc w:val="center"/>
              <w:rPr>
                <w:rFonts w:cs="仿宋_GB2312"/>
                <w:szCs w:val="24"/>
              </w:rPr>
            </w:pPr>
            <w:r>
              <w:rPr>
                <w:rFonts w:hint="eastAsia" w:cs="宋体"/>
                <w:szCs w:val="24"/>
              </w:rPr>
              <w:t>……</w:t>
            </w:r>
          </w:p>
        </w:tc>
        <w:tc>
          <w:tcPr>
            <w:tcW w:w="1376" w:type="pct"/>
            <w:noWrap w:val="0"/>
            <w:vAlign w:val="center"/>
          </w:tcPr>
          <w:p>
            <w:pPr>
              <w:wordWrap w:val="0"/>
              <w:spacing w:line="360" w:lineRule="auto"/>
              <w:jc w:val="center"/>
              <w:rPr>
                <w:rFonts w:cs="仿宋_GB2312"/>
                <w:szCs w:val="24"/>
              </w:rPr>
            </w:pPr>
            <w:r>
              <w:rPr>
                <w:rFonts w:hint="eastAsia" w:cs="宋体"/>
                <w:szCs w:val="24"/>
              </w:rPr>
              <w:t>……</w:t>
            </w:r>
          </w:p>
        </w:tc>
        <w:tc>
          <w:tcPr>
            <w:tcW w:w="618" w:type="pct"/>
            <w:noWrap w:val="0"/>
            <w:vAlign w:val="center"/>
          </w:tcPr>
          <w:p>
            <w:pPr>
              <w:wordWrap w:val="0"/>
              <w:spacing w:line="360" w:lineRule="auto"/>
              <w:jc w:val="center"/>
              <w:rPr>
                <w:rFonts w:cs="仿宋_GB2312"/>
                <w:szCs w:val="24"/>
              </w:rPr>
            </w:pPr>
            <w:r>
              <w:rPr>
                <w:rFonts w:hint="eastAsia" w:cs="宋体"/>
                <w:szCs w:val="24"/>
              </w:rPr>
              <w:t>……</w:t>
            </w:r>
          </w:p>
        </w:tc>
        <w:tc>
          <w:tcPr>
            <w:tcW w:w="688" w:type="pct"/>
            <w:noWrap w:val="0"/>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rFonts w:cs="Corbel"/>
          <w:szCs w:val="24"/>
        </w:rPr>
      </w:pPr>
      <w:r>
        <w:rPr>
          <w:rFonts w:hint="eastAsia" w:cs="Corbel"/>
          <w:b/>
          <w:szCs w:val="24"/>
        </w:rPr>
        <w:t>说明：</w:t>
      </w:r>
      <w:r>
        <w:rPr>
          <w:rFonts w:hint="eastAsia" w:cs="Corbel"/>
          <w:szCs w:val="24"/>
        </w:rPr>
        <w:t>1、应按招标文件“第五章 评标办法”中“商务评分”的评分标准逐项在“投标文件响应的内容”栏中进行响应说明，并在“偏离说明”栏中注明是否偏离，如有偏离,投标人应详细说明。未按照要求填写此表或在“投标文件响应的内容”栏中仅注明“符合”、“满足”的，导致的后果由投标人自行承担</w:t>
      </w:r>
      <w:r>
        <w:rPr>
          <w:rFonts w:hint="eastAsia"/>
          <w:szCs w:val="24"/>
        </w:rPr>
        <w:t>。</w:t>
      </w:r>
    </w:p>
    <w:p>
      <w:pPr>
        <w:wordWrap w:val="0"/>
        <w:spacing w:line="360" w:lineRule="auto"/>
        <w:ind w:left="1132" w:leftChars="296" w:hanging="422" w:hangingChars="176"/>
        <w:jc w:val="left"/>
        <w:rPr>
          <w:szCs w:val="24"/>
        </w:rPr>
      </w:pPr>
      <w:r>
        <w:rPr>
          <w:rFonts w:hint="eastAsia"/>
          <w:szCs w:val="24"/>
        </w:rPr>
        <w:t>2、应将对应响应内容的页码（多页的，起码和止码）填写到上表“投标文件对应页码”栏中。未提供准确页码或页码与对应内容不一致的，导致的后果由投标人自行承担。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65"/>
        </w:numPr>
        <w:wordWrap w:val="0"/>
        <w:spacing w:before="40" w:after="40" w:line="360" w:lineRule="auto"/>
        <w:ind w:left="1285" w:hanging="1285"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604" w:name="_Toc117244504"/>
      <w:bookmarkStart w:id="605" w:name="_Toc31162"/>
      <w:bookmarkStart w:id="606" w:name="_Toc107561318"/>
      <w:bookmarkStart w:id="607" w:name="_Toc117244389"/>
      <w:bookmarkStart w:id="608" w:name="_Toc107561309"/>
      <w:r>
        <w:rPr>
          <w:rFonts w:hint="eastAsia" w:ascii="宋体" w:hAnsi="宋体" w:eastAsia="宋体"/>
          <w:sz w:val="24"/>
          <w:szCs w:val="24"/>
        </w:rPr>
        <w:t>技术评分对照表</w:t>
      </w:r>
      <w:bookmarkEnd w:id="604"/>
      <w:bookmarkEnd w:id="605"/>
      <w:bookmarkEnd w:id="606"/>
      <w:bookmarkEnd w:id="607"/>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4979"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98"/>
        <w:gridCol w:w="1175"/>
        <w:gridCol w:w="696"/>
        <w:gridCol w:w="2506"/>
        <w:gridCol w:w="2505"/>
        <w:gridCol w:w="1123"/>
        <w:gridCol w:w="1096"/>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26" w:hRule="atLeast"/>
          <w:jc w:val="center"/>
        </w:trPr>
        <w:tc>
          <w:tcPr>
            <w:tcW w:w="4908" w:type="dxa"/>
            <w:gridSpan w:val="4"/>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招标文件技术评分内容</w:t>
            </w:r>
          </w:p>
        </w:tc>
        <w:tc>
          <w:tcPr>
            <w:tcW w:w="2551" w:type="dxa"/>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b/>
                <w:bCs/>
                <w:szCs w:val="24"/>
              </w:rPr>
              <w:t>投标文件响应的内容</w:t>
            </w:r>
          </w:p>
        </w:tc>
        <w:tc>
          <w:tcPr>
            <w:tcW w:w="1134" w:type="dxa"/>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偏离说明</w:t>
            </w:r>
          </w:p>
        </w:tc>
        <w:tc>
          <w:tcPr>
            <w:tcW w:w="1106" w:type="dxa"/>
            <w:vMerge w:val="restart"/>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投标文件对应页码</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1" w:hRule="atLeast"/>
          <w:jc w:val="center"/>
        </w:trPr>
        <w:tc>
          <w:tcPr>
            <w:tcW w:w="602" w:type="dxa"/>
            <w:tcBorders>
              <w:top w:val="single" w:color="auto" w:sz="4" w:space="0"/>
              <w:bottom w:val="single" w:color="auto" w:sz="4" w:space="0"/>
            </w:tcBorders>
            <w:shd w:val="pct10" w:color="C3BD96" w:fill="DDD9C4"/>
            <w:noWrap w:val="0"/>
            <w:vAlign w:val="center"/>
          </w:tcPr>
          <w:p>
            <w:pPr>
              <w:wordWrap w:val="0"/>
              <w:spacing w:before="100" w:beforeAutospacing="1" w:after="100" w:afterAutospacing="1" w:line="360" w:lineRule="auto"/>
              <w:ind w:left="-120" w:leftChars="-50" w:right="-120" w:rightChars="-50"/>
              <w:jc w:val="center"/>
              <w:rPr>
                <w:rFonts w:cs="仿宋_GB2312"/>
                <w:szCs w:val="24"/>
              </w:rPr>
            </w:pPr>
            <w:r>
              <w:rPr>
                <w:rFonts w:hint="eastAsia" w:cs="仿宋_GB2312"/>
                <w:szCs w:val="24"/>
              </w:rPr>
              <w:t>序号</w:t>
            </w:r>
          </w:p>
        </w:tc>
        <w:tc>
          <w:tcPr>
            <w:tcW w:w="1187" w:type="dxa"/>
            <w:tcBorders>
              <w:top w:val="single" w:color="auto" w:sz="4" w:space="0"/>
              <w:bottom w:val="single" w:color="auto" w:sz="4" w:space="0"/>
              <w:right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评审因素</w:t>
            </w:r>
          </w:p>
        </w:tc>
        <w:tc>
          <w:tcPr>
            <w:tcW w:w="567" w:type="dxa"/>
            <w:tcBorders>
              <w:top w:val="single" w:color="auto" w:sz="4" w:space="0"/>
              <w:left w:val="single" w:color="auto" w:sz="4" w:space="0"/>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分值</w:t>
            </w:r>
          </w:p>
        </w:tc>
        <w:tc>
          <w:tcPr>
            <w:tcW w:w="2552" w:type="dxa"/>
            <w:tcBorders>
              <w:top w:val="single" w:color="auto" w:sz="4" w:space="0"/>
              <w:left w:val="single" w:color="auto" w:sz="4" w:space="0"/>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r>
              <w:rPr>
                <w:rFonts w:hint="eastAsia" w:cs="仿宋_GB2312"/>
                <w:szCs w:val="24"/>
              </w:rPr>
              <w:t>评分标准</w:t>
            </w:r>
          </w:p>
        </w:tc>
        <w:tc>
          <w:tcPr>
            <w:tcW w:w="2551" w:type="dxa"/>
            <w:vMerge w:val="continue"/>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1134" w:type="dxa"/>
            <w:vMerge w:val="continue"/>
            <w:tcBorders>
              <w:bottom w:val="single" w:color="auto" w:sz="4" w:space="0"/>
            </w:tcBorders>
            <w:shd w:val="pct10" w:color="C3BD96" w:fill="DDD9C4"/>
            <w:noWrap w:val="0"/>
            <w:vAlign w:val="center"/>
          </w:tcPr>
          <w:p>
            <w:pPr>
              <w:wordWrap w:val="0"/>
              <w:spacing w:before="100" w:beforeAutospacing="1" w:after="100" w:afterAutospacing="1" w:line="360" w:lineRule="auto"/>
              <w:ind w:left="-60" w:leftChars="-25" w:right="-60" w:rightChars="-25"/>
              <w:jc w:val="center"/>
              <w:rPr>
                <w:rFonts w:cs="仿宋_GB2312"/>
                <w:szCs w:val="24"/>
              </w:rPr>
            </w:pPr>
          </w:p>
        </w:tc>
        <w:tc>
          <w:tcPr>
            <w:tcW w:w="1106" w:type="dxa"/>
            <w:vMerge w:val="continue"/>
            <w:tcBorders>
              <w:bottom w:val="single" w:color="auto" w:sz="4" w:space="0"/>
            </w:tcBorders>
            <w:shd w:val="pct10" w:color="C3BD96" w:fill="DDD9C4"/>
            <w:noWrap w:val="0"/>
            <w:vAlign w:val="top"/>
          </w:tcPr>
          <w:p>
            <w:pPr>
              <w:wordWrap w:val="0"/>
              <w:spacing w:before="100" w:beforeAutospacing="1" w:after="100" w:afterAutospacing="1" w:line="360" w:lineRule="auto"/>
              <w:ind w:left="-60" w:leftChars="-25" w:right="-60" w:rightChars="-25"/>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02" w:type="dxa"/>
            <w:tcBorders>
              <w:top w:val="single" w:color="auto" w:sz="4" w:space="0"/>
            </w:tcBorders>
            <w:noWrap w:val="0"/>
            <w:vAlign w:val="center"/>
          </w:tcPr>
          <w:p>
            <w:pPr>
              <w:numPr>
                <w:ilvl w:val="0"/>
                <w:numId w:val="69"/>
              </w:numPr>
              <w:wordWrap w:val="0"/>
              <w:spacing w:line="360" w:lineRule="auto"/>
              <w:jc w:val="center"/>
              <w:rPr>
                <w:rFonts w:cs="仿宋_GB2312"/>
                <w:szCs w:val="24"/>
              </w:rPr>
            </w:pPr>
          </w:p>
        </w:tc>
        <w:tc>
          <w:tcPr>
            <w:tcW w:w="1187" w:type="dxa"/>
            <w:tcBorders>
              <w:top w:val="single" w:color="auto" w:sz="4" w:space="0"/>
            </w:tcBorders>
            <w:noWrap w:val="0"/>
            <w:vAlign w:val="center"/>
          </w:tcPr>
          <w:p>
            <w:pPr>
              <w:wordWrap w:val="0"/>
              <w:spacing w:line="360" w:lineRule="auto"/>
              <w:jc w:val="center"/>
              <w:rPr>
                <w:rFonts w:cs="仿宋_GB2312"/>
                <w:szCs w:val="24"/>
              </w:rPr>
            </w:pPr>
          </w:p>
        </w:tc>
        <w:tc>
          <w:tcPr>
            <w:tcW w:w="567" w:type="dxa"/>
            <w:tcBorders>
              <w:top w:val="single" w:color="auto" w:sz="4" w:space="0"/>
            </w:tcBorders>
            <w:noWrap w:val="0"/>
            <w:vAlign w:val="center"/>
          </w:tcPr>
          <w:p>
            <w:pPr>
              <w:wordWrap w:val="0"/>
              <w:spacing w:line="360" w:lineRule="auto"/>
              <w:jc w:val="center"/>
              <w:rPr>
                <w:rFonts w:cs="仿宋_GB2312"/>
                <w:szCs w:val="24"/>
              </w:rPr>
            </w:pPr>
          </w:p>
        </w:tc>
        <w:tc>
          <w:tcPr>
            <w:tcW w:w="2552" w:type="dxa"/>
            <w:tcBorders>
              <w:top w:val="single" w:color="auto" w:sz="4" w:space="0"/>
            </w:tcBorders>
            <w:noWrap w:val="0"/>
            <w:vAlign w:val="center"/>
          </w:tcPr>
          <w:p>
            <w:pPr>
              <w:wordWrap w:val="0"/>
              <w:spacing w:line="360" w:lineRule="auto"/>
              <w:jc w:val="center"/>
              <w:rPr>
                <w:rFonts w:cs="仿宋_GB2312"/>
                <w:szCs w:val="24"/>
              </w:rPr>
            </w:pPr>
          </w:p>
        </w:tc>
        <w:tc>
          <w:tcPr>
            <w:tcW w:w="2551" w:type="dxa"/>
            <w:tcBorders>
              <w:top w:val="single" w:color="auto" w:sz="4" w:space="0"/>
            </w:tcBorders>
            <w:noWrap w:val="0"/>
            <w:vAlign w:val="center"/>
          </w:tcPr>
          <w:p>
            <w:pPr>
              <w:wordWrap w:val="0"/>
              <w:spacing w:line="360" w:lineRule="auto"/>
              <w:jc w:val="center"/>
              <w:rPr>
                <w:rFonts w:cs="仿宋_GB2312"/>
                <w:szCs w:val="24"/>
              </w:rPr>
            </w:pPr>
          </w:p>
        </w:tc>
        <w:tc>
          <w:tcPr>
            <w:tcW w:w="1134" w:type="dxa"/>
            <w:tcBorders>
              <w:top w:val="single" w:color="auto" w:sz="4" w:space="0"/>
            </w:tcBorders>
            <w:noWrap w:val="0"/>
            <w:vAlign w:val="center"/>
          </w:tcPr>
          <w:p>
            <w:pPr>
              <w:wordWrap w:val="0"/>
              <w:spacing w:line="360" w:lineRule="auto"/>
              <w:jc w:val="center"/>
              <w:rPr>
                <w:rFonts w:cs="仿宋_GB2312"/>
                <w:szCs w:val="24"/>
              </w:rPr>
            </w:pPr>
          </w:p>
        </w:tc>
        <w:tc>
          <w:tcPr>
            <w:tcW w:w="1106" w:type="dxa"/>
            <w:tcBorders>
              <w:top w:val="single" w:color="auto" w:sz="4" w:space="0"/>
            </w:tcBorders>
            <w:noWrap w:val="0"/>
            <w:vAlign w:val="center"/>
          </w:tcPr>
          <w:p>
            <w:pPr>
              <w:wordWrap w:val="0"/>
              <w:spacing w:line="360" w:lineRule="auto"/>
              <w:jc w:val="center"/>
              <w:rPr>
                <w:rFonts w:cs="仿宋_GB2312"/>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2" w:hRule="atLeast"/>
          <w:jc w:val="center"/>
        </w:trPr>
        <w:tc>
          <w:tcPr>
            <w:tcW w:w="602" w:type="dxa"/>
            <w:noWrap w:val="0"/>
            <w:vAlign w:val="center"/>
          </w:tcPr>
          <w:p>
            <w:pPr>
              <w:numPr>
                <w:ilvl w:val="0"/>
                <w:numId w:val="69"/>
              </w:numPr>
              <w:wordWrap w:val="0"/>
              <w:spacing w:line="360" w:lineRule="auto"/>
              <w:jc w:val="center"/>
              <w:rPr>
                <w:rFonts w:cs="仿宋_GB2312"/>
                <w:szCs w:val="24"/>
              </w:rPr>
            </w:pPr>
          </w:p>
        </w:tc>
        <w:tc>
          <w:tcPr>
            <w:tcW w:w="1187" w:type="dxa"/>
            <w:noWrap w:val="0"/>
            <w:vAlign w:val="center"/>
          </w:tcPr>
          <w:p>
            <w:pPr>
              <w:wordWrap w:val="0"/>
              <w:spacing w:line="360" w:lineRule="auto"/>
              <w:jc w:val="center"/>
              <w:rPr>
                <w:rFonts w:cs="仿宋_GB2312"/>
                <w:szCs w:val="24"/>
              </w:rPr>
            </w:pPr>
          </w:p>
        </w:tc>
        <w:tc>
          <w:tcPr>
            <w:tcW w:w="567" w:type="dxa"/>
            <w:noWrap w:val="0"/>
            <w:vAlign w:val="center"/>
          </w:tcPr>
          <w:p>
            <w:pPr>
              <w:wordWrap w:val="0"/>
              <w:spacing w:line="360" w:lineRule="auto"/>
              <w:jc w:val="center"/>
              <w:rPr>
                <w:rFonts w:cs="仿宋_GB2312"/>
                <w:szCs w:val="24"/>
              </w:rPr>
            </w:pPr>
          </w:p>
        </w:tc>
        <w:tc>
          <w:tcPr>
            <w:tcW w:w="2552" w:type="dxa"/>
            <w:noWrap w:val="0"/>
            <w:vAlign w:val="center"/>
          </w:tcPr>
          <w:p>
            <w:pPr>
              <w:wordWrap w:val="0"/>
              <w:spacing w:line="360" w:lineRule="auto"/>
              <w:jc w:val="center"/>
              <w:rPr>
                <w:rFonts w:cs="仿宋_GB2312"/>
                <w:szCs w:val="24"/>
              </w:rPr>
            </w:pPr>
          </w:p>
        </w:tc>
        <w:tc>
          <w:tcPr>
            <w:tcW w:w="2551" w:type="dxa"/>
            <w:noWrap w:val="0"/>
            <w:vAlign w:val="center"/>
          </w:tcPr>
          <w:p>
            <w:pPr>
              <w:wordWrap w:val="0"/>
              <w:spacing w:line="360" w:lineRule="auto"/>
              <w:jc w:val="center"/>
              <w:rPr>
                <w:rFonts w:cs="仿宋_GB2312"/>
                <w:szCs w:val="24"/>
              </w:rPr>
            </w:pPr>
          </w:p>
        </w:tc>
        <w:tc>
          <w:tcPr>
            <w:tcW w:w="1134" w:type="dxa"/>
            <w:noWrap w:val="0"/>
            <w:vAlign w:val="center"/>
          </w:tcPr>
          <w:p>
            <w:pPr>
              <w:wordWrap w:val="0"/>
              <w:spacing w:line="360" w:lineRule="auto"/>
              <w:jc w:val="center"/>
              <w:rPr>
                <w:rFonts w:cs="仿宋_GB2312"/>
                <w:szCs w:val="24"/>
              </w:rPr>
            </w:pPr>
          </w:p>
        </w:tc>
        <w:tc>
          <w:tcPr>
            <w:tcW w:w="1106" w:type="dxa"/>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noWrap w:val="0"/>
            <w:vAlign w:val="center"/>
          </w:tcPr>
          <w:p>
            <w:pPr>
              <w:numPr>
                <w:ilvl w:val="0"/>
                <w:numId w:val="69"/>
              </w:numPr>
              <w:wordWrap w:val="0"/>
              <w:spacing w:line="360" w:lineRule="auto"/>
              <w:jc w:val="center"/>
              <w:rPr>
                <w:rFonts w:cs="仿宋_GB2312"/>
                <w:szCs w:val="24"/>
              </w:rPr>
            </w:pPr>
          </w:p>
        </w:tc>
        <w:tc>
          <w:tcPr>
            <w:tcW w:w="1187" w:type="dxa"/>
            <w:tcBorders>
              <w:right w:val="single" w:color="auto" w:sz="4" w:space="0"/>
            </w:tcBorders>
            <w:noWrap w:val="0"/>
            <w:vAlign w:val="center"/>
          </w:tcPr>
          <w:p>
            <w:pPr>
              <w:wordWrap w:val="0"/>
              <w:spacing w:line="360" w:lineRule="auto"/>
              <w:jc w:val="left"/>
              <w:rPr>
                <w:rFonts w:cs="仿宋_GB2312"/>
                <w:szCs w:val="24"/>
              </w:rPr>
            </w:pPr>
          </w:p>
        </w:tc>
        <w:tc>
          <w:tcPr>
            <w:tcW w:w="567" w:type="dxa"/>
            <w:tcBorders>
              <w:left w:val="single" w:color="auto" w:sz="4" w:space="0"/>
            </w:tcBorders>
            <w:noWrap w:val="0"/>
            <w:vAlign w:val="center"/>
          </w:tcPr>
          <w:p>
            <w:pPr>
              <w:wordWrap w:val="0"/>
              <w:spacing w:line="360" w:lineRule="auto"/>
              <w:jc w:val="left"/>
              <w:rPr>
                <w:rFonts w:cs="仿宋_GB2312"/>
                <w:szCs w:val="24"/>
              </w:rPr>
            </w:pPr>
          </w:p>
        </w:tc>
        <w:tc>
          <w:tcPr>
            <w:tcW w:w="2552" w:type="dxa"/>
            <w:tcBorders>
              <w:left w:val="single" w:color="auto" w:sz="4" w:space="0"/>
            </w:tcBorders>
            <w:noWrap w:val="0"/>
            <w:vAlign w:val="center"/>
          </w:tcPr>
          <w:p>
            <w:pPr>
              <w:wordWrap w:val="0"/>
              <w:spacing w:line="360" w:lineRule="auto"/>
              <w:jc w:val="left"/>
              <w:rPr>
                <w:rFonts w:cs="仿宋_GB2312"/>
                <w:szCs w:val="24"/>
              </w:rPr>
            </w:pPr>
          </w:p>
        </w:tc>
        <w:tc>
          <w:tcPr>
            <w:tcW w:w="2551" w:type="dxa"/>
            <w:noWrap w:val="0"/>
            <w:vAlign w:val="center"/>
          </w:tcPr>
          <w:p>
            <w:pPr>
              <w:wordWrap w:val="0"/>
              <w:spacing w:line="360" w:lineRule="auto"/>
              <w:jc w:val="left"/>
              <w:rPr>
                <w:rFonts w:cs="仿宋_GB2312"/>
                <w:szCs w:val="24"/>
              </w:rPr>
            </w:pPr>
          </w:p>
        </w:tc>
        <w:tc>
          <w:tcPr>
            <w:tcW w:w="1134" w:type="dxa"/>
            <w:noWrap w:val="0"/>
            <w:vAlign w:val="center"/>
          </w:tcPr>
          <w:p>
            <w:pPr>
              <w:wordWrap w:val="0"/>
              <w:spacing w:line="360" w:lineRule="auto"/>
              <w:jc w:val="center"/>
              <w:rPr>
                <w:rFonts w:cs="仿宋_GB2312"/>
                <w:szCs w:val="24"/>
              </w:rPr>
            </w:pPr>
          </w:p>
        </w:tc>
        <w:tc>
          <w:tcPr>
            <w:tcW w:w="1106" w:type="dxa"/>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noWrap w:val="0"/>
            <w:vAlign w:val="center"/>
          </w:tcPr>
          <w:p>
            <w:pPr>
              <w:numPr>
                <w:ilvl w:val="0"/>
                <w:numId w:val="69"/>
              </w:numPr>
              <w:wordWrap w:val="0"/>
              <w:spacing w:line="360" w:lineRule="auto"/>
              <w:jc w:val="center"/>
              <w:rPr>
                <w:rFonts w:cs="仿宋_GB2312"/>
                <w:szCs w:val="24"/>
              </w:rPr>
            </w:pPr>
          </w:p>
        </w:tc>
        <w:tc>
          <w:tcPr>
            <w:tcW w:w="1187" w:type="dxa"/>
            <w:tcBorders>
              <w:right w:val="single" w:color="auto" w:sz="4" w:space="0"/>
            </w:tcBorders>
            <w:noWrap w:val="0"/>
            <w:vAlign w:val="center"/>
          </w:tcPr>
          <w:p>
            <w:pPr>
              <w:wordWrap w:val="0"/>
              <w:spacing w:line="360" w:lineRule="auto"/>
              <w:jc w:val="left"/>
              <w:rPr>
                <w:rFonts w:cs="仿宋_GB2312"/>
                <w:szCs w:val="24"/>
              </w:rPr>
            </w:pPr>
          </w:p>
        </w:tc>
        <w:tc>
          <w:tcPr>
            <w:tcW w:w="567" w:type="dxa"/>
            <w:tcBorders>
              <w:left w:val="single" w:color="auto" w:sz="4" w:space="0"/>
            </w:tcBorders>
            <w:noWrap w:val="0"/>
            <w:vAlign w:val="center"/>
          </w:tcPr>
          <w:p>
            <w:pPr>
              <w:wordWrap w:val="0"/>
              <w:spacing w:line="360" w:lineRule="auto"/>
              <w:jc w:val="left"/>
              <w:rPr>
                <w:rFonts w:cs="仿宋_GB2312"/>
                <w:szCs w:val="24"/>
              </w:rPr>
            </w:pPr>
          </w:p>
        </w:tc>
        <w:tc>
          <w:tcPr>
            <w:tcW w:w="2552" w:type="dxa"/>
            <w:tcBorders>
              <w:left w:val="single" w:color="auto" w:sz="4" w:space="0"/>
            </w:tcBorders>
            <w:noWrap w:val="0"/>
            <w:vAlign w:val="center"/>
          </w:tcPr>
          <w:p>
            <w:pPr>
              <w:wordWrap w:val="0"/>
              <w:spacing w:line="360" w:lineRule="auto"/>
              <w:jc w:val="left"/>
              <w:rPr>
                <w:rFonts w:cs="仿宋_GB2312"/>
                <w:szCs w:val="24"/>
              </w:rPr>
            </w:pPr>
          </w:p>
        </w:tc>
        <w:tc>
          <w:tcPr>
            <w:tcW w:w="2551" w:type="dxa"/>
            <w:noWrap w:val="0"/>
            <w:vAlign w:val="center"/>
          </w:tcPr>
          <w:p>
            <w:pPr>
              <w:wordWrap w:val="0"/>
              <w:spacing w:line="360" w:lineRule="auto"/>
              <w:jc w:val="left"/>
              <w:rPr>
                <w:rFonts w:cs="仿宋_GB2312"/>
                <w:szCs w:val="24"/>
              </w:rPr>
            </w:pPr>
          </w:p>
        </w:tc>
        <w:tc>
          <w:tcPr>
            <w:tcW w:w="1134" w:type="dxa"/>
            <w:noWrap w:val="0"/>
            <w:vAlign w:val="center"/>
          </w:tcPr>
          <w:p>
            <w:pPr>
              <w:wordWrap w:val="0"/>
              <w:spacing w:line="360" w:lineRule="auto"/>
              <w:jc w:val="center"/>
              <w:rPr>
                <w:rFonts w:cs="仿宋_GB2312"/>
                <w:szCs w:val="24"/>
              </w:rPr>
            </w:pPr>
          </w:p>
        </w:tc>
        <w:tc>
          <w:tcPr>
            <w:tcW w:w="1106" w:type="dxa"/>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noWrap w:val="0"/>
            <w:vAlign w:val="center"/>
          </w:tcPr>
          <w:p>
            <w:pPr>
              <w:numPr>
                <w:ilvl w:val="0"/>
                <w:numId w:val="69"/>
              </w:numPr>
              <w:wordWrap w:val="0"/>
              <w:spacing w:line="360" w:lineRule="auto"/>
              <w:ind w:left="0" w:firstLine="0"/>
              <w:jc w:val="center"/>
              <w:rPr>
                <w:rFonts w:cs="仿宋_GB2312"/>
                <w:szCs w:val="24"/>
              </w:rPr>
            </w:pPr>
          </w:p>
        </w:tc>
        <w:tc>
          <w:tcPr>
            <w:tcW w:w="1187" w:type="dxa"/>
            <w:tcBorders>
              <w:right w:val="single" w:color="auto" w:sz="4" w:space="0"/>
            </w:tcBorders>
            <w:noWrap w:val="0"/>
            <w:vAlign w:val="center"/>
          </w:tcPr>
          <w:p>
            <w:pPr>
              <w:wordWrap w:val="0"/>
              <w:spacing w:line="360" w:lineRule="auto"/>
              <w:jc w:val="left"/>
              <w:rPr>
                <w:rFonts w:cs="仿宋_GB2312"/>
                <w:szCs w:val="24"/>
              </w:rPr>
            </w:pPr>
          </w:p>
        </w:tc>
        <w:tc>
          <w:tcPr>
            <w:tcW w:w="567" w:type="dxa"/>
            <w:tcBorders>
              <w:left w:val="single" w:color="auto" w:sz="4" w:space="0"/>
            </w:tcBorders>
            <w:noWrap w:val="0"/>
            <w:vAlign w:val="center"/>
          </w:tcPr>
          <w:p>
            <w:pPr>
              <w:wordWrap w:val="0"/>
              <w:spacing w:line="360" w:lineRule="auto"/>
              <w:jc w:val="left"/>
              <w:rPr>
                <w:rFonts w:cs="仿宋_GB2312"/>
                <w:szCs w:val="24"/>
              </w:rPr>
            </w:pPr>
          </w:p>
        </w:tc>
        <w:tc>
          <w:tcPr>
            <w:tcW w:w="2552" w:type="dxa"/>
            <w:tcBorders>
              <w:left w:val="single" w:color="auto" w:sz="4" w:space="0"/>
            </w:tcBorders>
            <w:noWrap w:val="0"/>
            <w:vAlign w:val="center"/>
          </w:tcPr>
          <w:p>
            <w:pPr>
              <w:wordWrap w:val="0"/>
              <w:spacing w:line="360" w:lineRule="auto"/>
              <w:jc w:val="left"/>
              <w:rPr>
                <w:rFonts w:cs="仿宋_GB2312"/>
                <w:szCs w:val="24"/>
              </w:rPr>
            </w:pPr>
          </w:p>
        </w:tc>
        <w:tc>
          <w:tcPr>
            <w:tcW w:w="2551" w:type="dxa"/>
            <w:noWrap w:val="0"/>
            <w:vAlign w:val="center"/>
          </w:tcPr>
          <w:p>
            <w:pPr>
              <w:wordWrap w:val="0"/>
              <w:spacing w:line="360" w:lineRule="auto"/>
              <w:jc w:val="left"/>
              <w:rPr>
                <w:rFonts w:cs="仿宋_GB2312"/>
                <w:szCs w:val="24"/>
              </w:rPr>
            </w:pPr>
          </w:p>
        </w:tc>
        <w:tc>
          <w:tcPr>
            <w:tcW w:w="1134" w:type="dxa"/>
            <w:noWrap w:val="0"/>
            <w:vAlign w:val="center"/>
          </w:tcPr>
          <w:p>
            <w:pPr>
              <w:wordWrap w:val="0"/>
              <w:spacing w:line="360" w:lineRule="auto"/>
              <w:jc w:val="center"/>
              <w:rPr>
                <w:rFonts w:cs="仿宋_GB2312"/>
                <w:szCs w:val="24"/>
              </w:rPr>
            </w:pPr>
          </w:p>
        </w:tc>
        <w:tc>
          <w:tcPr>
            <w:tcW w:w="1106" w:type="dxa"/>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noWrap w:val="0"/>
            <w:vAlign w:val="center"/>
          </w:tcPr>
          <w:p>
            <w:pPr>
              <w:numPr>
                <w:ilvl w:val="0"/>
                <w:numId w:val="69"/>
              </w:numPr>
              <w:wordWrap w:val="0"/>
              <w:spacing w:line="360" w:lineRule="auto"/>
              <w:jc w:val="center"/>
              <w:rPr>
                <w:rFonts w:cs="仿宋_GB2312"/>
                <w:szCs w:val="24"/>
              </w:rPr>
            </w:pPr>
          </w:p>
        </w:tc>
        <w:tc>
          <w:tcPr>
            <w:tcW w:w="1187" w:type="dxa"/>
            <w:tcBorders>
              <w:right w:val="single" w:color="auto" w:sz="4" w:space="0"/>
            </w:tcBorders>
            <w:noWrap w:val="0"/>
            <w:vAlign w:val="center"/>
          </w:tcPr>
          <w:p>
            <w:pPr>
              <w:wordWrap w:val="0"/>
              <w:spacing w:line="360" w:lineRule="auto"/>
              <w:jc w:val="left"/>
              <w:rPr>
                <w:rFonts w:cs="仿宋_GB2312"/>
                <w:szCs w:val="24"/>
              </w:rPr>
            </w:pPr>
          </w:p>
        </w:tc>
        <w:tc>
          <w:tcPr>
            <w:tcW w:w="567" w:type="dxa"/>
            <w:tcBorders>
              <w:left w:val="single" w:color="auto" w:sz="4" w:space="0"/>
            </w:tcBorders>
            <w:noWrap w:val="0"/>
            <w:vAlign w:val="center"/>
          </w:tcPr>
          <w:p>
            <w:pPr>
              <w:wordWrap w:val="0"/>
              <w:spacing w:line="360" w:lineRule="auto"/>
              <w:jc w:val="left"/>
              <w:rPr>
                <w:rFonts w:cs="仿宋_GB2312"/>
                <w:szCs w:val="24"/>
              </w:rPr>
            </w:pPr>
          </w:p>
        </w:tc>
        <w:tc>
          <w:tcPr>
            <w:tcW w:w="2552" w:type="dxa"/>
            <w:tcBorders>
              <w:left w:val="single" w:color="auto" w:sz="4" w:space="0"/>
            </w:tcBorders>
            <w:noWrap w:val="0"/>
            <w:vAlign w:val="center"/>
          </w:tcPr>
          <w:p>
            <w:pPr>
              <w:wordWrap w:val="0"/>
              <w:spacing w:line="360" w:lineRule="auto"/>
              <w:jc w:val="left"/>
              <w:rPr>
                <w:rFonts w:cs="仿宋_GB2312"/>
                <w:szCs w:val="24"/>
              </w:rPr>
            </w:pPr>
          </w:p>
        </w:tc>
        <w:tc>
          <w:tcPr>
            <w:tcW w:w="2551" w:type="dxa"/>
            <w:noWrap w:val="0"/>
            <w:vAlign w:val="center"/>
          </w:tcPr>
          <w:p>
            <w:pPr>
              <w:wordWrap w:val="0"/>
              <w:spacing w:line="360" w:lineRule="auto"/>
              <w:jc w:val="left"/>
              <w:rPr>
                <w:rFonts w:cs="仿宋_GB2312"/>
                <w:szCs w:val="24"/>
              </w:rPr>
            </w:pPr>
          </w:p>
        </w:tc>
        <w:tc>
          <w:tcPr>
            <w:tcW w:w="1134" w:type="dxa"/>
            <w:noWrap w:val="0"/>
            <w:vAlign w:val="center"/>
          </w:tcPr>
          <w:p>
            <w:pPr>
              <w:wordWrap w:val="0"/>
              <w:spacing w:line="360" w:lineRule="auto"/>
              <w:jc w:val="center"/>
              <w:rPr>
                <w:rFonts w:cs="仿宋_GB2312"/>
                <w:szCs w:val="24"/>
              </w:rPr>
            </w:pPr>
          </w:p>
        </w:tc>
        <w:tc>
          <w:tcPr>
            <w:tcW w:w="1106" w:type="dxa"/>
            <w:noWrap w:val="0"/>
            <w:vAlign w:val="center"/>
          </w:tcPr>
          <w:p>
            <w:pPr>
              <w:wordWrap w:val="0"/>
              <w:spacing w:line="360" w:lineRule="auto"/>
              <w:jc w:val="center"/>
              <w:rPr>
                <w:rFonts w:cs="仿宋_GB2312"/>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52" w:hRule="atLeast"/>
          <w:jc w:val="center"/>
        </w:trPr>
        <w:tc>
          <w:tcPr>
            <w:tcW w:w="602" w:type="dxa"/>
            <w:noWrap w:val="0"/>
            <w:vAlign w:val="center"/>
          </w:tcPr>
          <w:p>
            <w:pPr>
              <w:wordWrap w:val="0"/>
              <w:spacing w:line="360" w:lineRule="auto"/>
              <w:jc w:val="right"/>
              <w:rPr>
                <w:rFonts w:cs="仿宋_GB2312"/>
                <w:szCs w:val="24"/>
              </w:rPr>
            </w:pPr>
            <w:r>
              <w:rPr>
                <w:rFonts w:hint="eastAsia" w:cs="仿宋_GB2312"/>
                <w:szCs w:val="24"/>
              </w:rPr>
              <w:t>…</w:t>
            </w:r>
          </w:p>
        </w:tc>
        <w:tc>
          <w:tcPr>
            <w:tcW w:w="1187" w:type="dxa"/>
            <w:tcBorders>
              <w:righ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567" w:type="dxa"/>
            <w:tcBorders>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2552" w:type="dxa"/>
            <w:tcBorders>
              <w:left w:val="single" w:color="auto" w:sz="4" w:space="0"/>
            </w:tcBorders>
            <w:noWrap w:val="0"/>
            <w:vAlign w:val="center"/>
          </w:tcPr>
          <w:p>
            <w:pPr>
              <w:wordWrap w:val="0"/>
              <w:spacing w:line="360" w:lineRule="auto"/>
              <w:jc w:val="left"/>
              <w:rPr>
                <w:rFonts w:cs="仿宋_GB2312"/>
                <w:szCs w:val="24"/>
              </w:rPr>
            </w:pPr>
            <w:r>
              <w:rPr>
                <w:rFonts w:hint="eastAsia" w:cs="宋体"/>
                <w:szCs w:val="24"/>
              </w:rPr>
              <w:t>……</w:t>
            </w:r>
          </w:p>
        </w:tc>
        <w:tc>
          <w:tcPr>
            <w:tcW w:w="2551" w:type="dxa"/>
            <w:noWrap w:val="0"/>
            <w:vAlign w:val="center"/>
          </w:tcPr>
          <w:p>
            <w:pPr>
              <w:wordWrap w:val="0"/>
              <w:spacing w:line="360" w:lineRule="auto"/>
              <w:jc w:val="left"/>
              <w:rPr>
                <w:rFonts w:cs="仿宋_GB2312"/>
                <w:szCs w:val="24"/>
              </w:rPr>
            </w:pPr>
            <w:r>
              <w:rPr>
                <w:rFonts w:hint="eastAsia" w:cs="宋体"/>
                <w:szCs w:val="24"/>
              </w:rPr>
              <w:t>……</w:t>
            </w:r>
          </w:p>
        </w:tc>
        <w:tc>
          <w:tcPr>
            <w:tcW w:w="1134" w:type="dxa"/>
            <w:noWrap w:val="0"/>
            <w:vAlign w:val="center"/>
          </w:tcPr>
          <w:p>
            <w:pPr>
              <w:wordWrap w:val="0"/>
              <w:spacing w:line="360" w:lineRule="auto"/>
              <w:jc w:val="center"/>
              <w:rPr>
                <w:rFonts w:cs="仿宋_GB2312"/>
                <w:szCs w:val="24"/>
              </w:rPr>
            </w:pPr>
            <w:r>
              <w:rPr>
                <w:rFonts w:hint="eastAsia" w:cs="宋体"/>
                <w:szCs w:val="24"/>
              </w:rPr>
              <w:t>……</w:t>
            </w:r>
          </w:p>
        </w:tc>
        <w:tc>
          <w:tcPr>
            <w:tcW w:w="1106" w:type="dxa"/>
            <w:noWrap w:val="0"/>
            <w:vAlign w:val="center"/>
          </w:tcPr>
          <w:p>
            <w:pPr>
              <w:wordWrap w:val="0"/>
              <w:spacing w:line="360" w:lineRule="auto"/>
              <w:jc w:val="center"/>
              <w:rPr>
                <w:rFonts w:cs="仿宋_GB2312"/>
                <w:szCs w:val="24"/>
              </w:rPr>
            </w:pPr>
            <w:r>
              <w:rPr>
                <w:rFonts w:hint="eastAsia" w:cs="宋体"/>
                <w:szCs w:val="24"/>
              </w:rPr>
              <w:t>……</w:t>
            </w:r>
          </w:p>
        </w:tc>
      </w:tr>
    </w:tbl>
    <w:p>
      <w:pPr>
        <w:wordWrap w:val="0"/>
        <w:spacing w:line="360" w:lineRule="auto"/>
        <w:ind w:left="1132" w:hanging="1132" w:hangingChars="470"/>
        <w:jc w:val="left"/>
        <w:rPr>
          <w:rFonts w:cs="Corbel"/>
          <w:szCs w:val="24"/>
        </w:rPr>
      </w:pPr>
      <w:r>
        <w:rPr>
          <w:rFonts w:hint="eastAsia" w:cs="Corbel"/>
          <w:b/>
          <w:szCs w:val="24"/>
        </w:rPr>
        <w:t>说明：</w:t>
      </w:r>
      <w:r>
        <w:rPr>
          <w:rFonts w:hint="eastAsia" w:cs="Corbel"/>
          <w:szCs w:val="24"/>
        </w:rPr>
        <w:t>1、应按招标文件“第五章 评标办法”中“技术评分”的评分标准逐项在“投标文件响应的内容”栏中进行响应说明，并在“偏离说明”栏中注明是否偏离，如有偏离,投标人应详细说明。未按照要求填写此表或在“投标文件响应的内容”栏中仅注明“符合”、“满足”的，</w:t>
      </w:r>
      <w:r>
        <w:rPr>
          <w:rFonts w:hint="eastAsia"/>
          <w:szCs w:val="24"/>
        </w:rPr>
        <w:t>导致的后果由投标人自行承担。</w:t>
      </w:r>
    </w:p>
    <w:p>
      <w:pPr>
        <w:wordWrap w:val="0"/>
        <w:spacing w:line="360" w:lineRule="auto"/>
        <w:ind w:left="1111" w:leftChars="297" w:hanging="398" w:hangingChars="166"/>
        <w:jc w:val="left"/>
        <w:rPr>
          <w:rFonts w:cs="Corbel"/>
          <w:szCs w:val="24"/>
        </w:rPr>
      </w:pPr>
      <w:r>
        <w:rPr>
          <w:rFonts w:hint="eastAsia" w:cs="Corbel"/>
          <w:szCs w:val="24"/>
        </w:rPr>
        <w:t>2、应将对应响应内容的页码（多页的，起码和止码）填写到上表“投标文件对应页码”栏中。未提供准确页码或页码与对应内容不一致的，</w:t>
      </w:r>
      <w:r>
        <w:rPr>
          <w:rFonts w:hint="eastAsia"/>
          <w:szCs w:val="24"/>
        </w:rPr>
        <w:t>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u w:val="single"/>
        </w:rPr>
      </w:pPr>
      <w:r>
        <w:rPr>
          <w:rFonts w:hint="eastAsia"/>
          <w:szCs w:val="24"/>
        </w:rPr>
        <w:t>日   期：</w:t>
      </w:r>
      <w:r>
        <w:rPr>
          <w:rFonts w:hint="eastAsia"/>
          <w:bCs/>
          <w:u w:val="single"/>
        </w:rPr>
        <w:t xml:space="preserve">                               </w:t>
      </w:r>
    </w:p>
    <w:p>
      <w:pPr>
        <w:widowControl/>
        <w:spacing w:line="360" w:lineRule="auto"/>
        <w:jc w:val="left"/>
        <w:rPr>
          <w:b/>
          <w:sz w:val="28"/>
          <w:szCs w:val="28"/>
        </w:rPr>
      </w:pPr>
      <w:r>
        <w:rPr>
          <w:bCs/>
          <w:sz w:val="28"/>
          <w:szCs w:val="28"/>
        </w:rPr>
        <w:br w:type="page"/>
      </w: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609" w:name="_Toc117244505"/>
      <w:bookmarkStart w:id="610" w:name="_Toc117244390"/>
      <w:bookmarkStart w:id="611" w:name="_Toc21607"/>
      <w:r>
        <w:rPr>
          <w:rFonts w:hint="eastAsia" w:ascii="宋体" w:hAnsi="宋体" w:eastAsia="宋体"/>
          <w:sz w:val="24"/>
          <w:szCs w:val="24"/>
        </w:rPr>
        <w:t>投标书</w:t>
      </w:r>
      <w:bookmarkEnd w:id="608"/>
      <w:bookmarkEnd w:id="609"/>
      <w:bookmarkEnd w:id="610"/>
      <w:bookmarkEnd w:id="611"/>
    </w:p>
    <w:p>
      <w:pPr>
        <w:wordWrap w:val="0"/>
        <w:spacing w:line="360" w:lineRule="auto"/>
        <w:ind w:firstLine="480" w:firstLineChars="200"/>
        <w:rPr>
          <w:szCs w:val="24"/>
        </w:rPr>
      </w:pPr>
      <w:r>
        <w:rPr>
          <w:rFonts w:hint="eastAsia"/>
          <w:szCs w:val="24"/>
        </w:rPr>
        <w:t>依据</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项目（项目编号：</w:t>
      </w:r>
      <w:r>
        <w:rPr>
          <w:rFonts w:hint="eastAsia"/>
          <w:szCs w:val="24"/>
          <w:u w:val="single"/>
        </w:rPr>
        <w:t xml:space="preserve">      </w:t>
      </w:r>
      <w:r>
        <w:rPr>
          <w:rFonts w:hint="eastAsia"/>
          <w:szCs w:val="24"/>
        </w:rPr>
        <w:t>）的投标邀请，我方代表</w:t>
      </w:r>
      <w:r>
        <w:rPr>
          <w:rFonts w:hint="eastAsia"/>
          <w:szCs w:val="24"/>
          <w:u w:val="single"/>
        </w:rPr>
        <w:t xml:space="preserve"> </w:t>
      </w:r>
      <w:r>
        <w:rPr>
          <w:rFonts w:hint="eastAsia"/>
          <w:i/>
          <w:szCs w:val="24"/>
          <w:u w:val="single"/>
        </w:rPr>
        <w:t>（姓名、职务）</w:t>
      </w:r>
      <w:r>
        <w:rPr>
          <w:rFonts w:hint="eastAsia"/>
          <w:szCs w:val="24"/>
          <w:u w:val="single"/>
        </w:rPr>
        <w:t xml:space="preserve"> </w:t>
      </w:r>
      <w:r>
        <w:rPr>
          <w:rFonts w:hint="eastAsia"/>
          <w:szCs w:val="24"/>
        </w:rPr>
        <w:t>经正式授权并代表投标人</w:t>
      </w:r>
      <w:r>
        <w:rPr>
          <w:rFonts w:hint="eastAsia"/>
          <w:szCs w:val="24"/>
          <w:u w:val="single"/>
        </w:rPr>
        <w:t xml:space="preserve"> </w:t>
      </w:r>
      <w:r>
        <w:rPr>
          <w:rFonts w:hint="eastAsia"/>
          <w:i/>
          <w:szCs w:val="24"/>
          <w:u w:val="single"/>
        </w:rPr>
        <w:t>（投标人全称 ）</w:t>
      </w:r>
      <w:r>
        <w:rPr>
          <w:rFonts w:hint="eastAsia"/>
          <w:szCs w:val="24"/>
          <w:u w:val="single"/>
        </w:rPr>
        <w:t xml:space="preserve"> </w:t>
      </w:r>
      <w:r>
        <w:rPr>
          <w:rFonts w:hint="eastAsia"/>
          <w:szCs w:val="24"/>
        </w:rPr>
        <w:t>提交的投标文件包括</w:t>
      </w:r>
      <w:r>
        <w:rPr>
          <w:szCs w:val="24"/>
        </w:rPr>
        <w:t>以下内容</w:t>
      </w:r>
      <w:r>
        <w:rPr>
          <w:rFonts w:hint="eastAsia"/>
          <w:szCs w:val="24"/>
        </w:rPr>
        <w:t>：</w:t>
      </w:r>
    </w:p>
    <w:p>
      <w:pPr>
        <w:numPr>
          <w:ilvl w:val="0"/>
          <w:numId w:val="70"/>
        </w:numPr>
        <w:tabs>
          <w:tab w:val="left" w:pos="851"/>
        </w:tabs>
        <w:wordWrap w:val="0"/>
        <w:autoSpaceDE w:val="0"/>
        <w:autoSpaceDN w:val="0"/>
        <w:adjustRightInd w:val="0"/>
        <w:spacing w:line="360" w:lineRule="auto"/>
        <w:ind w:left="0" w:firstLine="480" w:firstLineChars="200"/>
        <w:rPr>
          <w:szCs w:val="32"/>
        </w:rPr>
      </w:pPr>
      <w:r>
        <w:rPr>
          <w:rFonts w:hint="eastAsia"/>
          <w:szCs w:val="32"/>
        </w:rPr>
        <w:t>投标</w:t>
      </w:r>
      <w:r>
        <w:rPr>
          <w:szCs w:val="32"/>
        </w:rPr>
        <w:t>文件（PDF</w:t>
      </w:r>
      <w:r>
        <w:rPr>
          <w:rFonts w:hint="eastAsia"/>
          <w:szCs w:val="32"/>
        </w:rPr>
        <w:t>格式</w:t>
      </w:r>
      <w:r>
        <w:rPr>
          <w:szCs w:val="32"/>
        </w:rPr>
        <w:t>）</w:t>
      </w:r>
      <w:r>
        <w:rPr>
          <w:rFonts w:hint="eastAsia"/>
          <w:szCs w:val="32"/>
        </w:rPr>
        <w:t>：</w:t>
      </w:r>
    </w:p>
    <w:p>
      <w:pPr>
        <w:numPr>
          <w:ilvl w:val="0"/>
          <w:numId w:val="70"/>
        </w:numPr>
        <w:tabs>
          <w:tab w:val="left" w:pos="851"/>
        </w:tabs>
        <w:wordWrap w:val="0"/>
        <w:autoSpaceDE w:val="0"/>
        <w:autoSpaceDN w:val="0"/>
        <w:adjustRightInd w:val="0"/>
        <w:spacing w:line="360" w:lineRule="auto"/>
        <w:ind w:left="0" w:firstLine="480" w:firstLineChars="200"/>
        <w:rPr>
          <w:szCs w:val="32"/>
        </w:rPr>
      </w:pPr>
      <w:r>
        <w:rPr>
          <w:rFonts w:hint="eastAsia"/>
          <w:szCs w:val="32"/>
        </w:rPr>
        <w:t>投标数据文件（</w:t>
      </w:r>
      <w:r>
        <w:rPr>
          <w:szCs w:val="32"/>
        </w:rPr>
        <w:t>PDF格式</w:t>
      </w:r>
      <w:r>
        <w:rPr>
          <w:rFonts w:hint="eastAsia"/>
          <w:szCs w:val="32"/>
        </w:rPr>
        <w:t>）。</w:t>
      </w:r>
    </w:p>
    <w:p>
      <w:pPr>
        <w:wordWrap w:val="0"/>
        <w:spacing w:line="360" w:lineRule="auto"/>
        <w:rPr>
          <w:b/>
          <w:szCs w:val="24"/>
        </w:rPr>
      </w:pPr>
      <w:r>
        <w:rPr>
          <w:rFonts w:hint="eastAsia"/>
          <w:b/>
          <w:szCs w:val="24"/>
        </w:rPr>
        <w:t>在此，我方宣布同意如下：</w:t>
      </w:r>
    </w:p>
    <w:p>
      <w:pPr>
        <w:pStyle w:val="54"/>
        <w:numPr>
          <w:ilvl w:val="0"/>
          <w:numId w:val="71"/>
        </w:numPr>
        <w:tabs>
          <w:tab w:val="left" w:pos="851"/>
        </w:tabs>
        <w:wordWrap w:val="0"/>
        <w:spacing w:line="360" w:lineRule="auto"/>
        <w:ind w:left="0" w:firstLine="480"/>
        <w:rPr>
          <w:szCs w:val="24"/>
        </w:rPr>
      </w:pPr>
      <w:r>
        <w:rPr>
          <w:rFonts w:hint="eastAsia"/>
          <w:szCs w:val="24"/>
        </w:rPr>
        <w:t>应提交和交付的货物（或服务）投标总价为</w:t>
      </w:r>
      <w:r>
        <w:rPr>
          <w:rFonts w:hint="eastAsia"/>
          <w:szCs w:val="24"/>
          <w:u w:val="single"/>
        </w:rPr>
        <w:t xml:space="preserve">  详见“投标数据文件”中开标一览表（含明细）总报价  </w:t>
      </w:r>
      <w:r>
        <w:rPr>
          <w:rFonts w:hint="eastAsia"/>
          <w:szCs w:val="24"/>
        </w:rPr>
        <w:t>；</w:t>
      </w:r>
    </w:p>
    <w:p>
      <w:pPr>
        <w:pStyle w:val="54"/>
        <w:numPr>
          <w:ilvl w:val="0"/>
          <w:numId w:val="71"/>
        </w:numPr>
        <w:tabs>
          <w:tab w:val="left" w:pos="851"/>
        </w:tabs>
        <w:wordWrap w:val="0"/>
        <w:spacing w:line="360" w:lineRule="auto"/>
        <w:ind w:left="0" w:firstLine="480"/>
        <w:rPr>
          <w:szCs w:val="24"/>
        </w:rPr>
      </w:pPr>
      <w:r>
        <w:rPr>
          <w:rFonts w:hint="eastAsia"/>
          <w:szCs w:val="24"/>
        </w:rPr>
        <w:t>按招标文件的约定履行合同责任和义务；</w:t>
      </w:r>
    </w:p>
    <w:p>
      <w:pPr>
        <w:pStyle w:val="54"/>
        <w:numPr>
          <w:ilvl w:val="0"/>
          <w:numId w:val="71"/>
        </w:numPr>
        <w:tabs>
          <w:tab w:val="left" w:pos="851"/>
        </w:tabs>
        <w:wordWrap w:val="0"/>
        <w:spacing w:line="360" w:lineRule="auto"/>
        <w:ind w:left="0" w:firstLine="480"/>
        <w:rPr>
          <w:szCs w:val="24"/>
        </w:rPr>
      </w:pPr>
      <w:r>
        <w:rPr>
          <w:rFonts w:hint="eastAsia"/>
          <w:szCs w:val="24"/>
        </w:rPr>
        <w:t>已详细审查全部招标文件，包括（修正或补充文件）（如果有的话），对此无异议；</w:t>
      </w:r>
    </w:p>
    <w:p>
      <w:pPr>
        <w:pStyle w:val="54"/>
        <w:numPr>
          <w:ilvl w:val="0"/>
          <w:numId w:val="71"/>
        </w:numPr>
        <w:tabs>
          <w:tab w:val="left" w:pos="851"/>
        </w:tabs>
        <w:wordWrap w:val="0"/>
        <w:spacing w:line="360" w:lineRule="auto"/>
        <w:ind w:left="0" w:firstLine="480"/>
        <w:rPr>
          <w:szCs w:val="24"/>
        </w:rPr>
      </w:pPr>
      <w:r>
        <w:rPr>
          <w:rFonts w:hint="eastAsia"/>
          <w:szCs w:val="24"/>
        </w:rPr>
        <w:t>投标有效期为自提交投标文件截止之日起，共</w:t>
      </w:r>
      <w:r>
        <w:rPr>
          <w:rFonts w:hint="eastAsia"/>
          <w:szCs w:val="24"/>
          <w:u w:val="single"/>
        </w:rPr>
        <w:t xml:space="preserve">      </w:t>
      </w:r>
      <w:r>
        <w:rPr>
          <w:rFonts w:hint="eastAsia"/>
          <w:szCs w:val="24"/>
        </w:rPr>
        <w:t>个日历天；</w:t>
      </w:r>
    </w:p>
    <w:p>
      <w:pPr>
        <w:pStyle w:val="54"/>
        <w:numPr>
          <w:ilvl w:val="0"/>
          <w:numId w:val="71"/>
        </w:numPr>
        <w:tabs>
          <w:tab w:val="left" w:pos="851"/>
        </w:tabs>
        <w:wordWrap w:val="0"/>
        <w:spacing w:line="360" w:lineRule="auto"/>
        <w:ind w:left="0" w:firstLine="480"/>
        <w:rPr>
          <w:szCs w:val="24"/>
        </w:rPr>
      </w:pPr>
      <w:r>
        <w:rPr>
          <w:rFonts w:hint="eastAsia"/>
          <w:szCs w:val="24"/>
        </w:rPr>
        <w:t>提供按照贵方可能要求的与投标有关的一切数据或资料；</w:t>
      </w:r>
    </w:p>
    <w:p>
      <w:pPr>
        <w:pStyle w:val="54"/>
        <w:numPr>
          <w:ilvl w:val="0"/>
          <w:numId w:val="71"/>
        </w:numPr>
        <w:tabs>
          <w:tab w:val="left" w:pos="851"/>
        </w:tabs>
        <w:wordWrap w:val="0"/>
        <w:spacing w:line="360" w:lineRule="auto"/>
        <w:ind w:left="0" w:firstLine="480"/>
        <w:rPr>
          <w:szCs w:val="24"/>
        </w:rPr>
      </w:pPr>
      <w:r>
        <w:rPr>
          <w:rFonts w:hint="eastAsia"/>
          <w:szCs w:val="24"/>
        </w:rPr>
        <w:t>与投标有关的一切正式往来信函请寄：</w:t>
      </w:r>
      <w:r>
        <w:rPr>
          <w:rFonts w:hint="eastAsia"/>
          <w:szCs w:val="24"/>
          <w:u w:val="single"/>
        </w:rPr>
        <w:t xml:space="preserve">                              </w:t>
      </w:r>
      <w:r>
        <w:rPr>
          <w:rFonts w:hint="eastAsia"/>
          <w:szCs w:val="24"/>
        </w:rPr>
        <w:t>。</w:t>
      </w:r>
    </w:p>
    <w:p>
      <w:pPr>
        <w:wordWrap w:val="0"/>
        <w:spacing w:line="360" w:lineRule="auto"/>
        <w:ind w:left="14" w:leftChars="6" w:firstLine="472" w:firstLineChars="197"/>
        <w:rPr>
          <w:szCs w:val="24"/>
        </w:rPr>
      </w:pPr>
    </w:p>
    <w:p>
      <w:pPr>
        <w:wordWrap w:val="0"/>
        <w:spacing w:line="360" w:lineRule="auto"/>
        <w:ind w:left="14" w:leftChars="6" w:firstLine="472" w:firstLineChars="197"/>
        <w:rPr>
          <w:szCs w:val="24"/>
        </w:rPr>
      </w:pPr>
      <w:r>
        <w:rPr>
          <w:rFonts w:hint="eastAsia"/>
          <w:szCs w:val="24"/>
        </w:rPr>
        <w:t>地  址：</w:t>
      </w:r>
      <w:r>
        <w:rPr>
          <w:rFonts w:hint="eastAsia"/>
          <w:szCs w:val="24"/>
          <w:u w:val="single"/>
        </w:rPr>
        <w:t xml:space="preserve">                                 </w:t>
      </w:r>
    </w:p>
    <w:p>
      <w:pPr>
        <w:wordWrap w:val="0"/>
        <w:spacing w:line="360" w:lineRule="auto"/>
        <w:ind w:left="14" w:leftChars="6" w:firstLine="472" w:firstLineChars="197"/>
        <w:rPr>
          <w:szCs w:val="24"/>
        </w:rPr>
      </w:pPr>
      <w:r>
        <w:rPr>
          <w:rFonts w:hint="eastAsia"/>
          <w:szCs w:val="24"/>
        </w:rPr>
        <w:t>电话/传真：</w:t>
      </w:r>
      <w:r>
        <w:rPr>
          <w:rFonts w:hint="eastAsia"/>
          <w:szCs w:val="24"/>
          <w:u w:val="single"/>
        </w:rPr>
        <w:t xml:space="preserve">                              </w:t>
      </w:r>
    </w:p>
    <w:p>
      <w:pPr>
        <w:wordWrap w:val="0"/>
        <w:spacing w:line="360" w:lineRule="auto"/>
        <w:ind w:left="14" w:leftChars="6" w:firstLine="472" w:firstLineChars="197"/>
        <w:rPr>
          <w:szCs w:val="24"/>
        </w:rPr>
      </w:pPr>
      <w:r>
        <w:rPr>
          <w:rFonts w:hint="eastAsia"/>
          <w:szCs w:val="24"/>
        </w:rPr>
        <w:t>电子邮箱：</w:t>
      </w:r>
      <w:r>
        <w:rPr>
          <w:rFonts w:hint="eastAsia"/>
          <w:szCs w:val="24"/>
          <w:u w:val="single"/>
        </w:rPr>
        <w:t xml:space="preserve">                               </w:t>
      </w:r>
    </w:p>
    <w:p>
      <w:pPr>
        <w:spacing w:line="360" w:lineRule="auto"/>
        <w:jc w:val="left"/>
        <w:rPr>
          <w:szCs w:val="24"/>
        </w:rPr>
      </w:pPr>
      <w:r>
        <w:rPr>
          <w:rFonts w:hint="eastAsia"/>
          <w:szCs w:val="24"/>
        </w:rPr>
        <w:t xml:space="preserve">    </w:t>
      </w:r>
    </w:p>
    <w:p>
      <w:pPr>
        <w:wordWrap w:val="0"/>
        <w:spacing w:before="100" w:beforeAutospacing="1" w:after="100" w:afterAutospacing="1" w:line="360" w:lineRule="auto"/>
        <w:ind w:firstLine="3316" w:firstLineChars="1382"/>
        <w:rPr>
          <w:bCs/>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bCs/>
        </w:rPr>
        <w:t>日    期：</w:t>
      </w:r>
      <w:r>
        <w:rPr>
          <w:rFonts w:hint="eastAsia"/>
          <w:bCs/>
          <w:u w:val="single"/>
        </w:rPr>
        <w:t xml:space="preserve">                                </w:t>
      </w:r>
    </w:p>
    <w:p>
      <w:pPr>
        <w:pStyle w:val="11"/>
        <w:wordWrap w:val="0"/>
        <w:spacing w:line="360" w:lineRule="auto"/>
      </w:pPr>
      <w:r>
        <w:br w:type="page"/>
      </w: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612" w:name="_Toc117244391"/>
      <w:bookmarkStart w:id="613" w:name="_Toc117244506"/>
      <w:bookmarkStart w:id="614" w:name="_Toc107561310"/>
      <w:bookmarkStart w:id="615" w:name="_Toc28852"/>
      <w:r>
        <w:rPr>
          <w:rFonts w:hint="eastAsia" w:ascii="宋体" w:hAnsi="宋体" w:eastAsia="宋体"/>
          <w:sz w:val="24"/>
          <w:szCs w:val="24"/>
        </w:rPr>
        <w:t>开标</w:t>
      </w:r>
      <w:r>
        <w:rPr>
          <w:rFonts w:hint="eastAsia" w:ascii="宋体" w:hAnsi="宋体" w:eastAsia="宋体" w:cs="Times New Roman"/>
          <w:bCs w:val="0"/>
          <w:sz w:val="24"/>
          <w:szCs w:val="24"/>
        </w:rPr>
        <w:t>一览表</w:t>
      </w:r>
      <w:bookmarkEnd w:id="612"/>
      <w:bookmarkEnd w:id="613"/>
      <w:bookmarkEnd w:id="614"/>
      <w:bookmarkEnd w:id="615"/>
    </w:p>
    <w:p>
      <w:pPr>
        <w:wordWrap w:val="0"/>
        <w:spacing w:line="360" w:lineRule="auto"/>
        <w:jc w:val="left"/>
        <w:rPr>
          <w:b/>
          <w:szCs w:val="21"/>
          <w:u w:val="single"/>
          <w:lang w:val="zh-CN"/>
        </w:rPr>
      </w:pPr>
      <w:r>
        <w:rPr>
          <w:rFonts w:hint="eastAsia"/>
          <w:b/>
          <w:szCs w:val="21"/>
          <w:lang w:val="zh-CN"/>
        </w:rPr>
        <w:t>投 标 人：</w:t>
      </w:r>
      <w:r>
        <w:rPr>
          <w:rFonts w:hint="eastAsia"/>
          <w:b/>
          <w:szCs w:val="21"/>
          <w:u w:val="single"/>
          <w:lang w:val="zh-CN"/>
        </w:rPr>
        <w:t xml:space="preserve">                     </w:t>
      </w:r>
    </w:p>
    <w:p>
      <w:pPr>
        <w:wordWrap w:val="0"/>
        <w:spacing w:line="360" w:lineRule="auto"/>
        <w:jc w:val="left"/>
        <w:rPr>
          <w:b/>
          <w:bCs/>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p>
      <w:pPr>
        <w:wordWrap w:val="0"/>
        <w:spacing w:line="360" w:lineRule="auto"/>
        <w:ind w:left="1091" w:hanging="1091" w:hangingChars="453"/>
        <w:jc w:val="left"/>
        <w:rPr>
          <w:rFonts w:cs="Courier New"/>
          <w:b/>
          <w:szCs w:val="21"/>
        </w:rPr>
      </w:pPr>
    </w:p>
    <w:p>
      <w:pPr>
        <w:wordWrap w:val="0"/>
        <w:spacing w:line="360" w:lineRule="auto"/>
        <w:ind w:firstLine="482" w:firstLineChars="200"/>
        <w:jc w:val="left"/>
        <w:rPr>
          <w:rFonts w:cs="Courier New"/>
          <w:szCs w:val="24"/>
        </w:rPr>
      </w:pPr>
      <w:r>
        <w:rPr>
          <w:rFonts w:hint="eastAsia" w:cs="Courier New"/>
          <w:b/>
          <w:szCs w:val="21"/>
        </w:rPr>
        <w:t>详见</w:t>
      </w:r>
      <w:r>
        <w:rPr>
          <w:rFonts w:hint="eastAsia"/>
          <w:b/>
          <w:szCs w:val="24"/>
          <w:lang w:val="zh-CN"/>
        </w:rPr>
        <w:t>投标数据文件（</w:t>
      </w:r>
      <w:r>
        <w:rPr>
          <w:b/>
          <w:szCs w:val="24"/>
          <w:lang w:val="zh-CN"/>
        </w:rPr>
        <w:t>PDF</w:t>
      </w:r>
      <w:r>
        <w:rPr>
          <w:rFonts w:hint="eastAsia"/>
          <w:b/>
          <w:szCs w:val="24"/>
          <w:lang w:val="zh-CN"/>
        </w:rPr>
        <w:t>格式）“投标（</w:t>
      </w:r>
      <w:r>
        <w:rPr>
          <w:b/>
          <w:szCs w:val="24"/>
          <w:lang w:val="zh-CN"/>
        </w:rPr>
        <w:t>报价）</w:t>
      </w:r>
      <w:r>
        <w:rPr>
          <w:rFonts w:hint="eastAsia"/>
          <w:b/>
          <w:szCs w:val="24"/>
          <w:lang w:val="zh-CN"/>
        </w:rPr>
        <w:t>一览表”</w:t>
      </w:r>
    </w:p>
    <w:p>
      <w:pPr>
        <w:wordWrap w:val="0"/>
        <w:spacing w:line="360" w:lineRule="auto"/>
        <w:ind w:firstLine="480" w:firstLineChars="200"/>
        <w:jc w:val="left"/>
        <w:rPr>
          <w:rFonts w:cs="Courier New"/>
          <w:b/>
          <w:szCs w:val="21"/>
        </w:rPr>
      </w:pPr>
      <w:r>
        <w:rPr>
          <w:rFonts w:hint="eastAsia" w:cs="Courier New"/>
          <w:szCs w:val="24"/>
        </w:rPr>
        <w:t>（</w:t>
      </w:r>
      <w:r>
        <w:rPr>
          <w:rFonts w:hint="eastAsia" w:ascii="楷体" w:hAnsi="楷体" w:eastAsia="楷体" w:cs="Courier New"/>
          <w:szCs w:val="24"/>
        </w:rPr>
        <w:t>可不再</w:t>
      </w:r>
      <w:r>
        <w:rPr>
          <w:rFonts w:hint="eastAsia" w:ascii="楷体" w:hAnsi="楷体" w:eastAsia="楷体" w:cs="Courier New"/>
          <w:szCs w:val="24"/>
          <w:lang w:eastAsia="zh-CN"/>
        </w:rPr>
        <w:t>重复</w:t>
      </w:r>
      <w:r>
        <w:rPr>
          <w:rFonts w:hint="eastAsia" w:ascii="楷体" w:hAnsi="楷体" w:eastAsia="楷体" w:cs="Courier New"/>
          <w:szCs w:val="24"/>
        </w:rPr>
        <w:t>提供 “开标一览表”</w:t>
      </w:r>
      <w:r>
        <w:rPr>
          <w:rFonts w:hint="eastAsia" w:cs="Courier New"/>
          <w:szCs w:val="24"/>
        </w:rPr>
        <w:t>）</w:t>
      </w:r>
    </w:p>
    <w:p>
      <w:pPr>
        <w:wordWrap w:val="0"/>
        <w:spacing w:before="100" w:beforeAutospacing="1" w:after="100" w:afterAutospacing="1" w:line="360" w:lineRule="auto"/>
        <w:ind w:firstLine="3316" w:firstLineChars="1382"/>
        <w:rPr>
          <w:bCs/>
          <w:szCs w:val="21"/>
          <w:u w:val="single"/>
          <w:lang w:val="zh-CN"/>
        </w:rPr>
      </w:pPr>
      <w:r>
        <w:rPr>
          <w:rFonts w:hint="eastAsia"/>
          <w:bCs/>
          <w:szCs w:val="21"/>
          <w:lang w:val="zh-CN"/>
        </w:rPr>
        <w:t>投标人（公章）：</w:t>
      </w:r>
      <w:r>
        <w:rPr>
          <w:rFonts w:hint="eastAsia"/>
          <w:bCs/>
          <w:szCs w:val="21"/>
          <w:u w:val="single"/>
          <w:lang w:val="zh-CN"/>
        </w:rPr>
        <w:t xml:space="preserve">                              </w:t>
      </w:r>
    </w:p>
    <w:p>
      <w:pPr>
        <w:wordWrap w:val="0"/>
        <w:spacing w:before="100" w:beforeAutospacing="1" w:after="100" w:afterAutospacing="1" w:line="360" w:lineRule="auto"/>
        <w:ind w:firstLine="3316" w:firstLineChars="1382"/>
        <w:rPr>
          <w:bCs/>
          <w:szCs w:val="21"/>
          <w:u w:val="single"/>
          <w:lang w:val="zh-CN"/>
        </w:rPr>
      </w:pPr>
      <w:r>
        <w:rPr>
          <w:rFonts w:hint="eastAsia"/>
          <w:szCs w:val="24"/>
        </w:rPr>
        <w:t>日   期：</w:t>
      </w:r>
      <w:r>
        <w:rPr>
          <w:rFonts w:hint="eastAsia"/>
          <w:bCs/>
          <w:szCs w:val="21"/>
          <w:u w:val="single"/>
          <w:lang w:val="zh-CN"/>
        </w:rPr>
        <w:t xml:space="preserve">                                   </w:t>
      </w:r>
    </w:p>
    <w:p>
      <w:pPr>
        <w:pStyle w:val="3"/>
        <w:numPr>
          <w:ilvl w:val="0"/>
          <w:numId w:val="63"/>
        </w:numPr>
        <w:tabs>
          <w:tab w:val="left" w:pos="567"/>
        </w:tabs>
        <w:spacing w:line="360" w:lineRule="auto"/>
        <w:ind w:left="482" w:hanging="482" w:hangingChars="200"/>
        <w:jc w:val="left"/>
        <w:rPr>
          <w:rFonts w:ascii="宋体" w:hAnsi="宋体" w:cs="Times New Roman"/>
          <w:sz w:val="24"/>
          <w:szCs w:val="24"/>
        </w:rPr>
      </w:pPr>
      <w:bookmarkStart w:id="616" w:name="_Toc117244392"/>
      <w:bookmarkStart w:id="617" w:name="_Toc511894534"/>
      <w:bookmarkStart w:id="618" w:name="_Toc12932"/>
      <w:bookmarkStart w:id="619" w:name="_Toc107561243"/>
      <w:bookmarkStart w:id="620" w:name="_Toc117244507"/>
      <w:bookmarkStart w:id="621" w:name="_Toc511895475"/>
      <w:bookmarkStart w:id="622" w:name="_Toc107561311"/>
      <w:r>
        <w:rPr>
          <w:rFonts w:hint="eastAsia" w:ascii="宋体" w:hAnsi="宋体" w:cs="Times New Roman"/>
          <w:sz w:val="24"/>
          <w:szCs w:val="24"/>
        </w:rPr>
        <w:t>投标报价明细表</w:t>
      </w:r>
      <w:bookmarkEnd w:id="616"/>
      <w:bookmarkEnd w:id="617"/>
      <w:bookmarkEnd w:id="618"/>
      <w:bookmarkEnd w:id="619"/>
      <w:bookmarkEnd w:id="620"/>
      <w:bookmarkEnd w:id="621"/>
    </w:p>
    <w:p>
      <w:pPr>
        <w:spacing w:line="360" w:lineRule="auto"/>
        <w:jc w:val="left"/>
        <w:rPr>
          <w:b/>
          <w:szCs w:val="21"/>
          <w:u w:val="single"/>
          <w:lang w:val="zh-CN"/>
        </w:rPr>
      </w:pPr>
      <w:r>
        <w:rPr>
          <w:rFonts w:hint="eastAsia"/>
          <w:b/>
          <w:szCs w:val="21"/>
          <w:lang w:val="zh-CN"/>
        </w:rPr>
        <w:t>投 标 人：</w:t>
      </w:r>
      <w:r>
        <w:rPr>
          <w:rFonts w:hint="eastAsia"/>
          <w:b/>
          <w:szCs w:val="21"/>
          <w:u w:val="single"/>
          <w:lang w:val="zh-CN"/>
        </w:rPr>
        <w:t xml:space="preserve">                     </w:t>
      </w:r>
    </w:p>
    <w:p>
      <w:pPr>
        <w:spacing w:line="360" w:lineRule="auto"/>
        <w:jc w:val="left"/>
        <w:rPr>
          <w:b/>
          <w:szCs w:val="21"/>
          <w:lang w:val="zh-CN"/>
        </w:rPr>
      </w:pPr>
      <w:r>
        <w:rPr>
          <w:rFonts w:hint="eastAsia"/>
          <w:b/>
          <w:szCs w:val="21"/>
          <w:lang w:val="zh-CN"/>
        </w:rPr>
        <w:t>项目名称：</w:t>
      </w:r>
      <w:r>
        <w:rPr>
          <w:rFonts w:hint="eastAsia"/>
          <w:b/>
          <w:szCs w:val="21"/>
          <w:u w:val="single"/>
          <w:lang w:val="zh-CN"/>
        </w:rPr>
        <w:t xml:space="preserve">                     </w:t>
      </w:r>
    </w:p>
    <w:p>
      <w:pPr>
        <w:spacing w:line="360" w:lineRule="auto"/>
        <w:jc w:val="left"/>
        <w:rPr>
          <w:b/>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8379"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51"/>
        <w:gridCol w:w="3168"/>
        <w:gridCol w:w="628"/>
        <w:gridCol w:w="698"/>
        <w:gridCol w:w="884"/>
        <w:gridCol w:w="1125"/>
        <w:gridCol w:w="1125"/>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54" w:hRule="atLeast"/>
          <w:jc w:val="center"/>
        </w:trPr>
        <w:tc>
          <w:tcPr>
            <w:tcW w:w="751" w:type="dxa"/>
            <w:shd w:val="pct10" w:color="C3BD96" w:fill="DDD9C4"/>
            <w:noWrap w:val="0"/>
            <w:vAlign w:val="center"/>
          </w:tcPr>
          <w:p>
            <w:pPr>
              <w:ind w:left="-120" w:leftChars="-50" w:right="-120" w:rightChars="-50"/>
              <w:jc w:val="center"/>
              <w:rPr>
                <w:rFonts w:cs="宋体"/>
                <w:b/>
              </w:rPr>
            </w:pPr>
            <w:r>
              <w:rPr>
                <w:rFonts w:hint="eastAsia" w:cs="仿宋_GB2312"/>
                <w:b/>
                <w:szCs w:val="24"/>
              </w:rPr>
              <w:t>序号</w:t>
            </w:r>
          </w:p>
        </w:tc>
        <w:tc>
          <w:tcPr>
            <w:tcW w:w="3168" w:type="dxa"/>
            <w:shd w:val="pct10" w:color="C3BD96" w:fill="DDD9C4"/>
            <w:noWrap w:val="0"/>
            <w:vAlign w:val="center"/>
          </w:tcPr>
          <w:p>
            <w:pPr>
              <w:spacing w:line="360" w:lineRule="auto"/>
              <w:ind w:left="-55" w:leftChars="-23" w:right="-74" w:rightChars="-31"/>
              <w:jc w:val="center"/>
              <w:rPr>
                <w:rFonts w:hint="default" w:eastAsia="宋体" w:cs="宋体"/>
                <w:b/>
                <w:lang w:val="en-US" w:eastAsia="zh-CN"/>
              </w:rPr>
            </w:pPr>
            <w:r>
              <w:rPr>
                <w:rFonts w:hint="eastAsia" w:cs="宋体"/>
                <w:b/>
                <w:lang w:val="en-US" w:eastAsia="zh-CN"/>
              </w:rPr>
              <w:t>服务内容</w:t>
            </w:r>
          </w:p>
        </w:tc>
        <w:tc>
          <w:tcPr>
            <w:tcW w:w="628" w:type="dxa"/>
            <w:tcBorders>
              <w:right w:val="single" w:color="auto" w:sz="4" w:space="0"/>
            </w:tcBorders>
            <w:shd w:val="pct10" w:color="C3BD96" w:fill="DDD9C4"/>
            <w:noWrap w:val="0"/>
            <w:vAlign w:val="center"/>
          </w:tcPr>
          <w:p>
            <w:pPr>
              <w:spacing w:line="360" w:lineRule="auto"/>
              <w:ind w:left="-55" w:leftChars="-23" w:right="-74" w:rightChars="-31"/>
              <w:jc w:val="center"/>
              <w:rPr>
                <w:rFonts w:cs="宋体"/>
                <w:b/>
              </w:rPr>
            </w:pPr>
            <w:r>
              <w:rPr>
                <w:rFonts w:hint="eastAsia" w:cs="宋体"/>
                <w:b/>
              </w:rPr>
              <w:t>数量</w:t>
            </w:r>
          </w:p>
        </w:tc>
        <w:tc>
          <w:tcPr>
            <w:tcW w:w="698" w:type="dxa"/>
            <w:tcBorders>
              <w:left w:val="single" w:color="auto" w:sz="4" w:space="0"/>
            </w:tcBorders>
            <w:shd w:val="pct10" w:color="C3BD96" w:fill="DDD9C4"/>
            <w:noWrap w:val="0"/>
            <w:vAlign w:val="center"/>
          </w:tcPr>
          <w:p>
            <w:pPr>
              <w:spacing w:line="360" w:lineRule="auto"/>
              <w:ind w:left="-55" w:leftChars="-23" w:right="-74" w:rightChars="-31"/>
              <w:jc w:val="center"/>
              <w:rPr>
                <w:rFonts w:cs="宋体"/>
                <w:b/>
              </w:rPr>
            </w:pPr>
            <w:r>
              <w:rPr>
                <w:rFonts w:hint="eastAsia" w:cs="宋体"/>
                <w:b/>
              </w:rPr>
              <w:t>单位</w:t>
            </w:r>
          </w:p>
        </w:tc>
        <w:tc>
          <w:tcPr>
            <w:tcW w:w="884" w:type="dxa"/>
            <w:shd w:val="pct10" w:color="C3BD96" w:fill="DDD9C4"/>
            <w:noWrap w:val="0"/>
            <w:vAlign w:val="center"/>
          </w:tcPr>
          <w:p>
            <w:pPr>
              <w:spacing w:line="360" w:lineRule="auto"/>
              <w:ind w:left="-55" w:leftChars="-23" w:right="-74" w:rightChars="-31"/>
              <w:jc w:val="center"/>
              <w:rPr>
                <w:rFonts w:cs="宋体"/>
                <w:b/>
              </w:rPr>
            </w:pPr>
            <w:r>
              <w:rPr>
                <w:rFonts w:hint="eastAsia" w:cs="宋体"/>
                <w:b/>
              </w:rPr>
              <w:t>单价（</w:t>
            </w:r>
            <w:r>
              <w:rPr>
                <w:rFonts w:cs="宋体"/>
                <w:b/>
              </w:rPr>
              <w:t>元）</w:t>
            </w:r>
          </w:p>
        </w:tc>
        <w:tc>
          <w:tcPr>
            <w:tcW w:w="1125" w:type="dxa"/>
            <w:shd w:val="pct10" w:color="C3BD96" w:fill="DDD9C4"/>
            <w:noWrap w:val="0"/>
            <w:vAlign w:val="center"/>
          </w:tcPr>
          <w:p>
            <w:pPr>
              <w:spacing w:line="360" w:lineRule="auto"/>
              <w:ind w:left="-55" w:leftChars="-23" w:right="-74" w:rightChars="-31"/>
              <w:jc w:val="center"/>
              <w:rPr>
                <w:rFonts w:cs="宋体"/>
                <w:b/>
              </w:rPr>
            </w:pPr>
            <w:r>
              <w:rPr>
                <w:rFonts w:hint="eastAsia" w:cs="宋体"/>
                <w:b/>
              </w:rPr>
              <w:t>分项</w:t>
            </w:r>
            <w:r>
              <w:rPr>
                <w:rFonts w:hint="eastAsia"/>
                <w:b/>
              </w:rPr>
              <w:t>合计</w:t>
            </w:r>
            <w:r>
              <w:rPr>
                <w:rFonts w:hint="eastAsia" w:cs="宋体"/>
                <w:b/>
              </w:rPr>
              <w:t>（元</w:t>
            </w:r>
            <w:r>
              <w:rPr>
                <w:rFonts w:cs="宋体"/>
                <w:b/>
              </w:rPr>
              <w:t>）</w:t>
            </w:r>
          </w:p>
        </w:tc>
        <w:tc>
          <w:tcPr>
            <w:tcW w:w="1125" w:type="dxa"/>
            <w:shd w:val="pct10" w:color="C3BD96" w:fill="DDD9C4"/>
            <w:noWrap w:val="0"/>
            <w:vAlign w:val="center"/>
          </w:tcPr>
          <w:p>
            <w:pPr>
              <w:spacing w:line="360" w:lineRule="auto"/>
              <w:ind w:left="-55" w:leftChars="-23" w:right="-74" w:rightChars="-31"/>
              <w:jc w:val="center"/>
              <w:rPr>
                <w:rFonts w:hint="eastAsia" w:eastAsia="宋体" w:cs="宋体"/>
                <w:b/>
                <w:lang w:val="en-US" w:eastAsia="zh-CN"/>
              </w:rPr>
            </w:pPr>
            <w:r>
              <w:rPr>
                <w:rFonts w:hint="eastAsia" w:cs="宋体"/>
                <w:b/>
                <w:lang w:val="en-US" w:eastAsia="zh-CN"/>
              </w:rPr>
              <w:t>备注</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751" w:type="dxa"/>
            <w:noWrap w:val="0"/>
            <w:vAlign w:val="center"/>
          </w:tcPr>
          <w:p>
            <w:pPr>
              <w:numPr>
                <w:ilvl w:val="0"/>
                <w:numId w:val="72"/>
              </w:numPr>
              <w:tabs>
                <w:tab w:val="left" w:pos="61"/>
              </w:tabs>
              <w:adjustRightInd w:val="0"/>
              <w:snapToGrid w:val="0"/>
              <w:ind w:left="-72" w:leftChars="-30" w:firstLine="0"/>
              <w:jc w:val="center"/>
            </w:pPr>
          </w:p>
        </w:tc>
        <w:tc>
          <w:tcPr>
            <w:tcW w:w="3168" w:type="dxa"/>
            <w:noWrap w:val="0"/>
            <w:vAlign w:val="center"/>
          </w:tcPr>
          <w:p>
            <w:pPr>
              <w:tabs>
                <w:tab w:val="left" w:pos="0"/>
                <w:tab w:val="left" w:pos="56"/>
              </w:tabs>
              <w:adjustRightInd w:val="0"/>
              <w:snapToGrid w:val="0"/>
              <w:ind w:left="547" w:hanging="547" w:hangingChars="228"/>
              <w:jc w:val="center"/>
            </w:pPr>
          </w:p>
        </w:tc>
        <w:tc>
          <w:tcPr>
            <w:tcW w:w="628" w:type="dxa"/>
            <w:tcBorders>
              <w:right w:val="single" w:color="auto" w:sz="4" w:space="0"/>
            </w:tcBorders>
            <w:noWrap w:val="0"/>
            <w:vAlign w:val="center"/>
          </w:tcPr>
          <w:p>
            <w:pPr>
              <w:spacing w:line="240" w:lineRule="atLeast"/>
              <w:ind w:left="-55" w:leftChars="-23" w:right="-430" w:rightChars="-179"/>
              <w:jc w:val="center"/>
              <w:rPr>
                <w:rFonts w:cs="宋体"/>
                <w:szCs w:val="24"/>
              </w:rPr>
            </w:pPr>
          </w:p>
        </w:tc>
        <w:tc>
          <w:tcPr>
            <w:tcW w:w="698" w:type="dxa"/>
            <w:tcBorders>
              <w:left w:val="single" w:color="auto" w:sz="4" w:space="0"/>
            </w:tcBorders>
            <w:noWrap w:val="0"/>
            <w:vAlign w:val="center"/>
          </w:tcPr>
          <w:p>
            <w:pPr>
              <w:spacing w:line="240" w:lineRule="atLeast"/>
              <w:ind w:left="-55" w:leftChars="-23" w:right="-430" w:rightChars="-179"/>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751" w:type="dxa"/>
            <w:noWrap w:val="0"/>
            <w:vAlign w:val="center"/>
          </w:tcPr>
          <w:p>
            <w:pPr>
              <w:numPr>
                <w:ilvl w:val="0"/>
                <w:numId w:val="72"/>
              </w:numPr>
              <w:tabs>
                <w:tab w:val="left" w:pos="61"/>
              </w:tabs>
              <w:adjustRightInd w:val="0"/>
              <w:snapToGrid w:val="0"/>
              <w:ind w:left="-72" w:leftChars="-30" w:firstLine="0"/>
              <w:jc w:val="center"/>
            </w:pPr>
          </w:p>
        </w:tc>
        <w:tc>
          <w:tcPr>
            <w:tcW w:w="3168" w:type="dxa"/>
            <w:noWrap w:val="0"/>
            <w:vAlign w:val="center"/>
          </w:tcPr>
          <w:p>
            <w:pPr>
              <w:tabs>
                <w:tab w:val="left" w:pos="0"/>
                <w:tab w:val="left" w:pos="56"/>
              </w:tabs>
              <w:adjustRightInd w:val="0"/>
              <w:snapToGrid w:val="0"/>
              <w:jc w:val="center"/>
            </w:pPr>
          </w:p>
        </w:tc>
        <w:tc>
          <w:tcPr>
            <w:tcW w:w="628" w:type="dxa"/>
            <w:tcBorders>
              <w:right w:val="single" w:color="auto" w:sz="4" w:space="0"/>
            </w:tcBorders>
            <w:noWrap w:val="0"/>
            <w:vAlign w:val="center"/>
          </w:tcPr>
          <w:p>
            <w:pPr>
              <w:spacing w:line="240" w:lineRule="atLeast"/>
              <w:ind w:left="-55" w:leftChars="-23" w:right="-74" w:rightChars="-31"/>
              <w:jc w:val="center"/>
              <w:rPr>
                <w:rFonts w:cs="宋体"/>
                <w:szCs w:val="24"/>
              </w:rPr>
            </w:pPr>
          </w:p>
        </w:tc>
        <w:tc>
          <w:tcPr>
            <w:tcW w:w="698" w:type="dxa"/>
            <w:tcBorders>
              <w:left w:val="single" w:color="auto" w:sz="4" w:space="0"/>
            </w:tcBorders>
            <w:noWrap w:val="0"/>
            <w:vAlign w:val="center"/>
          </w:tcPr>
          <w:p>
            <w:pPr>
              <w:spacing w:line="240" w:lineRule="atLeast"/>
              <w:ind w:left="-55" w:leftChars="-23" w:right="-74" w:rightChars="-31"/>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751" w:type="dxa"/>
            <w:noWrap w:val="0"/>
            <w:vAlign w:val="center"/>
          </w:tcPr>
          <w:p>
            <w:pPr>
              <w:numPr>
                <w:ilvl w:val="0"/>
                <w:numId w:val="72"/>
              </w:numPr>
              <w:tabs>
                <w:tab w:val="left" w:pos="61"/>
              </w:tabs>
              <w:adjustRightInd w:val="0"/>
              <w:snapToGrid w:val="0"/>
              <w:ind w:left="-72" w:leftChars="-30" w:firstLine="0"/>
              <w:jc w:val="center"/>
            </w:pPr>
          </w:p>
        </w:tc>
        <w:tc>
          <w:tcPr>
            <w:tcW w:w="3168" w:type="dxa"/>
            <w:noWrap w:val="0"/>
            <w:vAlign w:val="center"/>
          </w:tcPr>
          <w:p>
            <w:pPr>
              <w:tabs>
                <w:tab w:val="left" w:pos="0"/>
                <w:tab w:val="left" w:pos="56"/>
              </w:tabs>
              <w:adjustRightInd w:val="0"/>
              <w:snapToGrid w:val="0"/>
              <w:jc w:val="center"/>
            </w:pPr>
          </w:p>
        </w:tc>
        <w:tc>
          <w:tcPr>
            <w:tcW w:w="628" w:type="dxa"/>
            <w:tcBorders>
              <w:right w:val="single" w:color="auto" w:sz="4" w:space="0"/>
            </w:tcBorders>
            <w:noWrap w:val="0"/>
            <w:vAlign w:val="center"/>
          </w:tcPr>
          <w:p>
            <w:pPr>
              <w:spacing w:line="240" w:lineRule="atLeast"/>
              <w:ind w:left="-55" w:leftChars="-23" w:right="-74" w:rightChars="-31"/>
              <w:jc w:val="center"/>
              <w:rPr>
                <w:rFonts w:cs="宋体"/>
                <w:szCs w:val="24"/>
              </w:rPr>
            </w:pPr>
          </w:p>
        </w:tc>
        <w:tc>
          <w:tcPr>
            <w:tcW w:w="698" w:type="dxa"/>
            <w:tcBorders>
              <w:left w:val="single" w:color="auto" w:sz="4" w:space="0"/>
            </w:tcBorders>
            <w:noWrap w:val="0"/>
            <w:vAlign w:val="center"/>
          </w:tcPr>
          <w:p>
            <w:pPr>
              <w:spacing w:line="240" w:lineRule="atLeast"/>
              <w:ind w:left="-55" w:leftChars="-23" w:right="-74" w:rightChars="-31"/>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751" w:type="dxa"/>
            <w:noWrap w:val="0"/>
            <w:vAlign w:val="center"/>
          </w:tcPr>
          <w:p>
            <w:pPr>
              <w:numPr>
                <w:ilvl w:val="0"/>
                <w:numId w:val="72"/>
              </w:numPr>
              <w:tabs>
                <w:tab w:val="left" w:pos="61"/>
              </w:tabs>
              <w:adjustRightInd w:val="0"/>
              <w:snapToGrid w:val="0"/>
              <w:ind w:left="-72" w:leftChars="-30" w:firstLine="0"/>
              <w:jc w:val="center"/>
            </w:pPr>
          </w:p>
        </w:tc>
        <w:tc>
          <w:tcPr>
            <w:tcW w:w="3168" w:type="dxa"/>
            <w:noWrap w:val="0"/>
            <w:vAlign w:val="center"/>
          </w:tcPr>
          <w:p>
            <w:pPr>
              <w:tabs>
                <w:tab w:val="left" w:pos="0"/>
                <w:tab w:val="left" w:pos="56"/>
              </w:tabs>
              <w:adjustRightInd w:val="0"/>
              <w:snapToGrid w:val="0"/>
              <w:jc w:val="center"/>
            </w:pPr>
          </w:p>
        </w:tc>
        <w:tc>
          <w:tcPr>
            <w:tcW w:w="628" w:type="dxa"/>
            <w:tcBorders>
              <w:right w:val="single" w:color="auto" w:sz="4" w:space="0"/>
            </w:tcBorders>
            <w:noWrap w:val="0"/>
            <w:vAlign w:val="center"/>
          </w:tcPr>
          <w:p>
            <w:pPr>
              <w:spacing w:line="240" w:lineRule="atLeast"/>
              <w:ind w:left="-55" w:leftChars="-23" w:right="-74" w:rightChars="-31"/>
              <w:jc w:val="center"/>
              <w:rPr>
                <w:rFonts w:cs="宋体"/>
                <w:szCs w:val="24"/>
              </w:rPr>
            </w:pPr>
          </w:p>
        </w:tc>
        <w:tc>
          <w:tcPr>
            <w:tcW w:w="698" w:type="dxa"/>
            <w:tcBorders>
              <w:left w:val="single" w:color="auto" w:sz="4" w:space="0"/>
            </w:tcBorders>
            <w:noWrap w:val="0"/>
            <w:vAlign w:val="center"/>
          </w:tcPr>
          <w:p>
            <w:pPr>
              <w:spacing w:line="240" w:lineRule="atLeast"/>
              <w:ind w:left="-55" w:leftChars="-23" w:right="-74" w:rightChars="-31"/>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751" w:type="dxa"/>
            <w:noWrap w:val="0"/>
            <w:vAlign w:val="center"/>
          </w:tcPr>
          <w:p>
            <w:pPr>
              <w:numPr>
                <w:ilvl w:val="0"/>
                <w:numId w:val="72"/>
              </w:numPr>
              <w:tabs>
                <w:tab w:val="left" w:pos="61"/>
              </w:tabs>
              <w:adjustRightInd w:val="0"/>
              <w:snapToGrid w:val="0"/>
              <w:ind w:left="-72" w:leftChars="-30" w:firstLine="0"/>
              <w:jc w:val="center"/>
            </w:pPr>
          </w:p>
        </w:tc>
        <w:tc>
          <w:tcPr>
            <w:tcW w:w="3168" w:type="dxa"/>
            <w:noWrap w:val="0"/>
            <w:vAlign w:val="center"/>
          </w:tcPr>
          <w:p>
            <w:pPr>
              <w:tabs>
                <w:tab w:val="left" w:pos="0"/>
                <w:tab w:val="left" w:pos="56"/>
              </w:tabs>
              <w:adjustRightInd w:val="0"/>
              <w:snapToGrid w:val="0"/>
              <w:jc w:val="center"/>
            </w:pPr>
          </w:p>
        </w:tc>
        <w:tc>
          <w:tcPr>
            <w:tcW w:w="628" w:type="dxa"/>
            <w:tcBorders>
              <w:right w:val="single" w:color="auto" w:sz="4" w:space="0"/>
            </w:tcBorders>
            <w:noWrap w:val="0"/>
            <w:vAlign w:val="center"/>
          </w:tcPr>
          <w:p>
            <w:pPr>
              <w:spacing w:line="240" w:lineRule="atLeast"/>
              <w:ind w:left="-55" w:leftChars="-23" w:right="-74" w:rightChars="-31"/>
              <w:jc w:val="center"/>
              <w:rPr>
                <w:rFonts w:cs="宋体"/>
                <w:szCs w:val="24"/>
              </w:rPr>
            </w:pPr>
          </w:p>
        </w:tc>
        <w:tc>
          <w:tcPr>
            <w:tcW w:w="698" w:type="dxa"/>
            <w:tcBorders>
              <w:left w:val="single" w:color="auto" w:sz="4" w:space="0"/>
            </w:tcBorders>
            <w:noWrap w:val="0"/>
            <w:vAlign w:val="center"/>
          </w:tcPr>
          <w:p>
            <w:pPr>
              <w:spacing w:line="240" w:lineRule="atLeast"/>
              <w:ind w:left="-55" w:leftChars="-23" w:right="-74" w:rightChars="-31"/>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376" w:hRule="atLeast"/>
          <w:jc w:val="center"/>
        </w:trPr>
        <w:tc>
          <w:tcPr>
            <w:tcW w:w="751" w:type="dxa"/>
            <w:noWrap w:val="0"/>
            <w:vAlign w:val="center"/>
          </w:tcPr>
          <w:p>
            <w:pPr>
              <w:numPr>
                <w:ilvl w:val="0"/>
                <w:numId w:val="72"/>
              </w:numPr>
              <w:tabs>
                <w:tab w:val="left" w:pos="61"/>
              </w:tabs>
              <w:adjustRightInd w:val="0"/>
              <w:snapToGrid w:val="0"/>
              <w:ind w:left="-72" w:leftChars="-30" w:firstLine="0"/>
              <w:jc w:val="center"/>
            </w:pPr>
          </w:p>
        </w:tc>
        <w:tc>
          <w:tcPr>
            <w:tcW w:w="3168" w:type="dxa"/>
            <w:noWrap w:val="0"/>
            <w:vAlign w:val="center"/>
          </w:tcPr>
          <w:p>
            <w:pPr>
              <w:tabs>
                <w:tab w:val="left" w:pos="0"/>
                <w:tab w:val="left" w:pos="56"/>
              </w:tabs>
              <w:adjustRightInd w:val="0"/>
              <w:snapToGrid w:val="0"/>
              <w:jc w:val="center"/>
            </w:pPr>
          </w:p>
        </w:tc>
        <w:tc>
          <w:tcPr>
            <w:tcW w:w="628" w:type="dxa"/>
            <w:tcBorders>
              <w:right w:val="single" w:color="auto" w:sz="4" w:space="0"/>
            </w:tcBorders>
            <w:noWrap w:val="0"/>
            <w:vAlign w:val="center"/>
          </w:tcPr>
          <w:p>
            <w:pPr>
              <w:spacing w:line="240" w:lineRule="atLeast"/>
              <w:ind w:left="-55" w:leftChars="-23" w:right="-74" w:rightChars="-31"/>
              <w:jc w:val="center"/>
              <w:rPr>
                <w:rFonts w:cs="宋体"/>
                <w:szCs w:val="24"/>
              </w:rPr>
            </w:pPr>
          </w:p>
        </w:tc>
        <w:tc>
          <w:tcPr>
            <w:tcW w:w="698" w:type="dxa"/>
            <w:tcBorders>
              <w:left w:val="single" w:color="auto" w:sz="4" w:space="0"/>
            </w:tcBorders>
            <w:noWrap w:val="0"/>
            <w:vAlign w:val="center"/>
          </w:tcPr>
          <w:p>
            <w:pPr>
              <w:spacing w:line="240" w:lineRule="atLeast"/>
              <w:ind w:left="-55" w:leftChars="-23" w:right="-74" w:rightChars="-31"/>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751" w:type="dxa"/>
            <w:noWrap w:val="0"/>
            <w:vAlign w:val="center"/>
          </w:tcPr>
          <w:p>
            <w:pPr>
              <w:tabs>
                <w:tab w:val="left" w:pos="82"/>
              </w:tabs>
              <w:adjustRightInd w:val="0"/>
              <w:snapToGrid w:val="0"/>
              <w:jc w:val="center"/>
            </w:pPr>
            <w:r>
              <w:rPr>
                <w:rFonts w:hint="eastAsia"/>
              </w:rPr>
              <w:t>…</w:t>
            </w:r>
          </w:p>
        </w:tc>
        <w:tc>
          <w:tcPr>
            <w:tcW w:w="3168" w:type="dxa"/>
            <w:noWrap w:val="0"/>
            <w:vAlign w:val="center"/>
          </w:tcPr>
          <w:p>
            <w:pPr>
              <w:spacing w:line="240" w:lineRule="atLeast"/>
              <w:ind w:left="-55" w:leftChars="-23" w:right="-74" w:rightChars="-31"/>
              <w:jc w:val="left"/>
              <w:rPr>
                <w:rFonts w:cs="宋体"/>
                <w:szCs w:val="24"/>
              </w:rPr>
            </w:pPr>
          </w:p>
        </w:tc>
        <w:tc>
          <w:tcPr>
            <w:tcW w:w="628" w:type="dxa"/>
            <w:tcBorders>
              <w:right w:val="single" w:color="auto" w:sz="4" w:space="0"/>
            </w:tcBorders>
            <w:noWrap w:val="0"/>
            <w:vAlign w:val="center"/>
          </w:tcPr>
          <w:p>
            <w:pPr>
              <w:spacing w:line="240" w:lineRule="atLeast"/>
              <w:ind w:left="-55" w:leftChars="-23" w:right="-74" w:rightChars="-31"/>
              <w:jc w:val="center"/>
              <w:rPr>
                <w:rFonts w:cs="宋体"/>
                <w:szCs w:val="24"/>
              </w:rPr>
            </w:pPr>
          </w:p>
        </w:tc>
        <w:tc>
          <w:tcPr>
            <w:tcW w:w="698" w:type="dxa"/>
            <w:tcBorders>
              <w:left w:val="single" w:color="auto" w:sz="4" w:space="0"/>
            </w:tcBorders>
            <w:noWrap w:val="0"/>
            <w:vAlign w:val="center"/>
          </w:tcPr>
          <w:p>
            <w:pPr>
              <w:spacing w:line="240" w:lineRule="atLeast"/>
              <w:ind w:left="-55" w:leftChars="-23" w:right="-74" w:rightChars="-31"/>
              <w:jc w:val="center"/>
              <w:rPr>
                <w:rFonts w:cs="宋体"/>
                <w:szCs w:val="24"/>
              </w:rPr>
            </w:pPr>
          </w:p>
        </w:tc>
        <w:tc>
          <w:tcPr>
            <w:tcW w:w="884" w:type="dxa"/>
            <w:noWrap w:val="0"/>
            <w:vAlign w:val="center"/>
          </w:tcPr>
          <w:p>
            <w:pPr>
              <w:spacing w:line="240" w:lineRule="atLeast"/>
              <w:ind w:left="-55" w:leftChars="-23" w:right="-74" w:rightChars="-31"/>
              <w:jc w:val="center"/>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0" w:hRule="atLeast"/>
          <w:jc w:val="center"/>
        </w:trPr>
        <w:tc>
          <w:tcPr>
            <w:tcW w:w="6129" w:type="dxa"/>
            <w:gridSpan w:val="5"/>
            <w:noWrap w:val="0"/>
            <w:vAlign w:val="center"/>
          </w:tcPr>
          <w:p>
            <w:pPr>
              <w:spacing w:line="240" w:lineRule="atLeast"/>
              <w:ind w:left="-55" w:leftChars="-23" w:right="-74" w:rightChars="-31"/>
              <w:jc w:val="center"/>
              <w:rPr>
                <w:rFonts w:hint="eastAsia" w:eastAsia="宋体" w:cs="宋体"/>
                <w:szCs w:val="24"/>
                <w:lang w:val="en-US" w:eastAsia="zh-CN"/>
              </w:rPr>
            </w:pPr>
            <w:r>
              <w:rPr>
                <w:rFonts w:hint="eastAsia" w:cs="宋体"/>
                <w:szCs w:val="24"/>
                <w:lang w:val="en-US" w:eastAsia="zh-CN"/>
              </w:rPr>
              <w:t>总价（元）</w:t>
            </w:r>
          </w:p>
        </w:tc>
        <w:tc>
          <w:tcPr>
            <w:tcW w:w="1125" w:type="dxa"/>
            <w:noWrap w:val="0"/>
            <w:vAlign w:val="center"/>
          </w:tcPr>
          <w:p>
            <w:pPr>
              <w:spacing w:line="240" w:lineRule="atLeast"/>
              <w:ind w:left="-55" w:leftChars="-23" w:right="-74" w:rightChars="-31"/>
              <w:jc w:val="left"/>
              <w:rPr>
                <w:rFonts w:cs="宋体"/>
                <w:szCs w:val="24"/>
              </w:rPr>
            </w:pPr>
          </w:p>
        </w:tc>
        <w:tc>
          <w:tcPr>
            <w:tcW w:w="1125" w:type="dxa"/>
            <w:noWrap w:val="0"/>
            <w:vAlign w:val="center"/>
          </w:tcPr>
          <w:p>
            <w:pPr>
              <w:spacing w:line="240" w:lineRule="atLeast"/>
              <w:ind w:left="-55" w:leftChars="-23" w:right="-74" w:rightChars="-31"/>
              <w:jc w:val="left"/>
              <w:rPr>
                <w:rFonts w:cs="宋体"/>
                <w:szCs w:val="24"/>
              </w:rPr>
            </w:pPr>
          </w:p>
        </w:tc>
      </w:tr>
    </w:tbl>
    <w:p>
      <w:pPr>
        <w:spacing w:line="360" w:lineRule="auto"/>
        <w:ind w:left="1091" w:hanging="1091" w:hangingChars="453"/>
        <w:jc w:val="left"/>
        <w:rPr>
          <w:rFonts w:hint="eastAsia"/>
        </w:rPr>
      </w:pPr>
      <w:r>
        <w:rPr>
          <w:rFonts w:hint="eastAsia"/>
          <w:b/>
        </w:rPr>
        <w:t>说明：</w:t>
      </w:r>
      <w:r>
        <w:rPr>
          <w:rFonts w:hint="eastAsia"/>
        </w:rPr>
        <w:t>1、报价</w:t>
      </w:r>
      <w:r>
        <w:rPr>
          <w:rFonts w:hint="eastAsia" w:cs="Courier New"/>
          <w:szCs w:val="21"/>
        </w:rPr>
        <w:t>明细表</w:t>
      </w:r>
      <w:r>
        <w:rPr>
          <w:rFonts w:hint="eastAsia"/>
        </w:rPr>
        <w:t>合计应与《开标一览表》中的投标总报价一致。</w:t>
      </w:r>
    </w:p>
    <w:p>
      <w:pPr>
        <w:spacing w:line="360" w:lineRule="auto"/>
        <w:ind w:left="1240" w:leftChars="296" w:hanging="530" w:hangingChars="221"/>
        <w:jc w:val="left"/>
      </w:pPr>
      <w:r>
        <w:rPr>
          <w:rFonts w:hint="eastAsia"/>
          <w:lang w:val="en-US" w:eastAsia="zh-CN"/>
        </w:rPr>
        <w:t>2</w:t>
      </w:r>
      <w:r>
        <w:rPr>
          <w:rFonts w:hint="eastAsia"/>
        </w:rPr>
        <w:t>、未提供详细的货物（或服务）报价明细</w:t>
      </w:r>
      <w:r>
        <w:rPr>
          <w:rFonts w:hint="eastAsia" w:cs="Corbel"/>
        </w:rPr>
        <w:t>，</w:t>
      </w:r>
      <w:r>
        <w:rPr>
          <w:rFonts w:hint="eastAsia"/>
        </w:rPr>
        <w:t>导致的后果由投标人自行承担。</w:t>
      </w:r>
    </w:p>
    <w:p>
      <w:pPr>
        <w:spacing w:line="360" w:lineRule="auto"/>
        <w:ind w:left="1240" w:leftChars="360" w:hanging="376" w:hangingChars="157"/>
        <w:jc w:val="left"/>
      </w:pPr>
    </w:p>
    <w:p>
      <w:pPr>
        <w:widowControl/>
        <w:jc w:val="left"/>
        <w:rPr>
          <w:rFonts w:cs="Times New Roman"/>
          <w:b/>
          <w:bCs/>
          <w:szCs w:val="24"/>
        </w:rPr>
      </w:pPr>
      <w:r>
        <w:rPr>
          <w:szCs w:val="24"/>
        </w:rPr>
        <w:br w:type="page"/>
      </w:r>
    </w:p>
    <w:bookmarkEnd w:id="622"/>
    <w:p>
      <w:pPr>
        <w:pStyle w:val="3"/>
        <w:numPr>
          <w:ilvl w:val="0"/>
          <w:numId w:val="63"/>
        </w:numPr>
        <w:tabs>
          <w:tab w:val="left" w:pos="567"/>
        </w:tabs>
        <w:spacing w:before="0" w:after="0" w:line="360" w:lineRule="auto"/>
        <w:ind w:left="482" w:hanging="482" w:hangingChars="200"/>
        <w:jc w:val="left"/>
        <w:rPr>
          <w:rFonts w:ascii="宋体" w:hAnsi="宋体" w:eastAsia="宋体"/>
          <w:sz w:val="24"/>
          <w:szCs w:val="24"/>
        </w:rPr>
      </w:pPr>
      <w:bookmarkStart w:id="623" w:name="_Toc107561312"/>
      <w:bookmarkStart w:id="624" w:name="_Toc5601"/>
      <w:bookmarkStart w:id="625" w:name="_Toc117244393"/>
      <w:bookmarkStart w:id="626" w:name="_Toc117244508"/>
      <w:r>
        <w:rPr>
          <w:rFonts w:hint="eastAsia" w:ascii="宋体" w:hAnsi="宋体" w:eastAsia="宋体"/>
          <w:sz w:val="24"/>
          <w:szCs w:val="24"/>
        </w:rPr>
        <w:t>法定代表人身份证明</w:t>
      </w:r>
      <w:bookmarkEnd w:id="623"/>
      <w:bookmarkEnd w:id="624"/>
      <w:bookmarkEnd w:id="625"/>
      <w:bookmarkEnd w:id="626"/>
    </w:p>
    <w:p>
      <w:pPr>
        <w:wordWrap w:val="0"/>
        <w:spacing w:line="360" w:lineRule="auto"/>
        <w:ind w:firstLine="360" w:firstLineChars="150"/>
        <w:rPr>
          <w:rFonts w:ascii="楷体" w:hAnsi="楷体" w:eastAsia="楷体"/>
          <w:szCs w:val="24"/>
        </w:rPr>
      </w:pPr>
      <w:r>
        <w:rPr>
          <w:rFonts w:hint="eastAsia" w:ascii="楷体" w:hAnsi="楷体" w:eastAsia="楷体"/>
          <w:szCs w:val="24"/>
        </w:rPr>
        <w:t>（自然人提供身份证明）</w:t>
      </w:r>
    </w:p>
    <w:p>
      <w:pPr>
        <w:pStyle w:val="11"/>
      </w:pPr>
    </w:p>
    <w:p>
      <w:pPr>
        <w:wordWrap w:val="0"/>
        <w:spacing w:line="360" w:lineRule="auto"/>
        <w:ind w:firstLine="480" w:firstLineChars="200"/>
        <w:rPr>
          <w:szCs w:val="24"/>
          <w:u w:val="single"/>
        </w:rPr>
      </w:pPr>
      <w:r>
        <w:rPr>
          <w:rFonts w:hint="eastAsia"/>
          <w:szCs w:val="24"/>
        </w:rPr>
        <w:t>投标人名称：</w:t>
      </w:r>
      <w:r>
        <w:rPr>
          <w:szCs w:val="24"/>
          <w:u w:val="single"/>
        </w:rPr>
        <w:t xml:space="preserve"> </w:t>
      </w:r>
      <w:r>
        <w:rPr>
          <w:szCs w:val="24"/>
          <w:u w:val="single"/>
        </w:rPr>
        <w:tab/>
      </w:r>
      <w:r>
        <w:rPr>
          <w:rFonts w:hint="eastAsia"/>
          <w:szCs w:val="24"/>
          <w:u w:val="single"/>
        </w:rPr>
        <w:t xml:space="preserve">                         </w:t>
      </w:r>
    </w:p>
    <w:p>
      <w:pPr>
        <w:wordWrap w:val="0"/>
        <w:spacing w:line="360" w:lineRule="auto"/>
        <w:ind w:firstLine="480" w:firstLineChars="200"/>
        <w:rPr>
          <w:szCs w:val="24"/>
        </w:rPr>
      </w:pPr>
      <w:r>
        <w:rPr>
          <w:rFonts w:hint="eastAsia"/>
          <w:szCs w:val="24"/>
        </w:rPr>
        <w:t>姓名：</w:t>
      </w:r>
      <w:r>
        <w:rPr>
          <w:szCs w:val="24"/>
          <w:u w:val="single"/>
        </w:rPr>
        <w:t xml:space="preserve"> </w:t>
      </w:r>
      <w:r>
        <w:rPr>
          <w:rFonts w:hint="eastAsia"/>
          <w:szCs w:val="24"/>
          <w:u w:val="single"/>
        </w:rPr>
        <w:t xml:space="preserve">   </w:t>
      </w:r>
      <w:r>
        <w:rPr>
          <w:szCs w:val="24"/>
          <w:u w:val="single"/>
        </w:rPr>
        <w:tab/>
      </w:r>
      <w:r>
        <w:rPr>
          <w:rFonts w:hint="eastAsia"/>
          <w:szCs w:val="24"/>
        </w:rPr>
        <w:t>性别：</w:t>
      </w:r>
      <w:r>
        <w:rPr>
          <w:szCs w:val="24"/>
          <w:u w:val="single"/>
        </w:rPr>
        <w:t xml:space="preserve"> </w:t>
      </w:r>
      <w:r>
        <w:rPr>
          <w:rFonts w:hint="eastAsia"/>
          <w:szCs w:val="24"/>
          <w:u w:val="single"/>
        </w:rPr>
        <w:t xml:space="preserve">    </w:t>
      </w:r>
      <w:r>
        <w:rPr>
          <w:szCs w:val="24"/>
          <w:u w:val="single"/>
        </w:rPr>
        <w:tab/>
      </w:r>
      <w:r>
        <w:rPr>
          <w:rFonts w:hint="eastAsia"/>
          <w:szCs w:val="24"/>
        </w:rPr>
        <w:t>年龄：</w:t>
      </w:r>
      <w:r>
        <w:rPr>
          <w:szCs w:val="24"/>
          <w:u w:val="single"/>
        </w:rPr>
        <w:t xml:space="preserve"> </w:t>
      </w:r>
      <w:r>
        <w:rPr>
          <w:rFonts w:hint="eastAsia"/>
          <w:szCs w:val="24"/>
          <w:u w:val="single"/>
        </w:rPr>
        <w:t xml:space="preserve">    </w:t>
      </w:r>
      <w:r>
        <w:rPr>
          <w:szCs w:val="24"/>
          <w:u w:val="single"/>
        </w:rPr>
        <w:tab/>
      </w:r>
      <w:r>
        <w:rPr>
          <w:rFonts w:hint="eastAsia"/>
          <w:szCs w:val="24"/>
        </w:rPr>
        <w:t>职务：</w:t>
      </w:r>
      <w:r>
        <w:rPr>
          <w:szCs w:val="24"/>
          <w:u w:val="single"/>
        </w:rPr>
        <w:t xml:space="preserve"> </w:t>
      </w:r>
      <w:r>
        <w:rPr>
          <w:rFonts w:hint="eastAsia"/>
          <w:szCs w:val="24"/>
          <w:u w:val="single"/>
        </w:rPr>
        <w:t xml:space="preserve">      </w:t>
      </w:r>
      <w:r>
        <w:rPr>
          <w:szCs w:val="24"/>
          <w:u w:val="single"/>
        </w:rPr>
        <w:tab/>
      </w:r>
      <w:r>
        <w:rPr>
          <w:rFonts w:hint="eastAsia"/>
          <w:szCs w:val="24"/>
        </w:rPr>
        <w:t>，系</w:t>
      </w:r>
      <w:r>
        <w:rPr>
          <w:szCs w:val="24"/>
          <w:u w:val="single"/>
        </w:rPr>
        <w:t xml:space="preserve">  </w:t>
      </w:r>
      <w:r>
        <w:rPr>
          <w:szCs w:val="24"/>
          <w:u w:val="single"/>
        </w:rPr>
        <w:tab/>
      </w:r>
      <w:r>
        <w:rPr>
          <w:rFonts w:hint="eastAsia"/>
          <w:i/>
          <w:szCs w:val="24"/>
          <w:u w:val="single"/>
        </w:rPr>
        <w:t>（投标人名称）</w:t>
      </w:r>
      <w:r>
        <w:rPr>
          <w:rFonts w:hint="eastAsia"/>
          <w:szCs w:val="24"/>
          <w:u w:val="single"/>
        </w:rPr>
        <w:t xml:space="preserve">  </w:t>
      </w:r>
      <w:r>
        <w:rPr>
          <w:rFonts w:hint="eastAsia"/>
          <w:szCs w:val="24"/>
        </w:rPr>
        <w:t>的法定代表人。</w:t>
      </w:r>
    </w:p>
    <w:p>
      <w:pPr>
        <w:wordWrap w:val="0"/>
        <w:spacing w:line="360" w:lineRule="auto"/>
        <w:ind w:firstLine="480" w:firstLineChars="200"/>
        <w:rPr>
          <w:szCs w:val="24"/>
        </w:rPr>
      </w:pPr>
      <w:r>
        <w:rPr>
          <w:rFonts w:hint="eastAsia"/>
          <w:szCs w:val="24"/>
        </w:rPr>
        <w:t>特此证明。</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line="360" w:lineRule="auto"/>
        <w:ind w:firstLine="3240" w:firstLineChars="1350"/>
      </w:pPr>
      <w:r>
        <w:rPr>
          <w:rFonts w:hint="eastAsia"/>
          <w:szCs w:val="24"/>
        </w:rPr>
        <w:t>日   期：</w:t>
      </w:r>
      <w:r>
        <w:rPr>
          <w:rFonts w:hint="eastAsia"/>
          <w:bCs/>
          <w:u w:val="single"/>
        </w:rPr>
        <w:t xml:space="preserve">                                   </w:t>
      </w:r>
    </w:p>
    <w:p>
      <w:pPr>
        <w:wordWrap w:val="0"/>
        <w:spacing w:line="360" w:lineRule="auto"/>
        <w:rPr>
          <w:szCs w:val="24"/>
        </w:rPr>
      </w:pPr>
    </w:p>
    <w:p>
      <w:pPr>
        <w:wordWrap w:val="0"/>
        <w:spacing w:line="360" w:lineRule="auto"/>
        <w:rPr>
          <w:szCs w:val="24"/>
        </w:rPr>
      </w:pPr>
      <w:r>
        <w:rPr>
          <w:rFonts w:hint="eastAsia"/>
          <w:szCs w:val="24"/>
        </w:rPr>
        <w:t>附：</w:t>
      </w:r>
    </w:p>
    <w:p>
      <w:pPr>
        <w:wordWrap w:val="0"/>
        <w:spacing w:line="360" w:lineRule="auto"/>
        <w:ind w:firstLine="480" w:firstLineChars="200"/>
        <w:rPr>
          <w:szCs w:val="24"/>
        </w:rPr>
      </w:pPr>
      <w:r>
        <w:rPr>
          <w:rFonts w:hint="eastAsia"/>
          <w:szCs w:val="24"/>
        </w:rPr>
        <w:t>法定代表人姓名：</w:t>
      </w:r>
      <w:r>
        <w:rPr>
          <w:rFonts w:hint="eastAsia"/>
          <w:szCs w:val="24"/>
          <w:u w:val="single"/>
        </w:rPr>
        <w:t xml:space="preserve">                         </w:t>
      </w:r>
    </w:p>
    <w:p>
      <w:pPr>
        <w:wordWrap w:val="0"/>
        <w:spacing w:line="360" w:lineRule="auto"/>
        <w:ind w:firstLine="480" w:firstLineChars="200"/>
        <w:rPr>
          <w:szCs w:val="24"/>
        </w:rPr>
      </w:pPr>
      <w:r>
        <w:rPr>
          <w:rFonts w:hint="eastAsia"/>
          <w:szCs w:val="24"/>
        </w:rPr>
        <w:t>性别：</w:t>
      </w:r>
      <w:r>
        <w:rPr>
          <w:rFonts w:hint="eastAsia"/>
          <w:szCs w:val="24"/>
          <w:u w:val="single"/>
        </w:rPr>
        <w:t xml:space="preserve">           </w:t>
      </w:r>
    </w:p>
    <w:p>
      <w:pPr>
        <w:wordWrap w:val="0"/>
        <w:spacing w:line="360" w:lineRule="auto"/>
        <w:ind w:firstLine="480" w:firstLineChars="200"/>
        <w:rPr>
          <w:szCs w:val="24"/>
          <w:u w:val="single"/>
        </w:rPr>
      </w:pPr>
      <w:r>
        <w:rPr>
          <w:rFonts w:hint="eastAsia"/>
          <w:szCs w:val="24"/>
        </w:rPr>
        <w:t>身份证号码：</w:t>
      </w:r>
      <w:r>
        <w:rPr>
          <w:rFonts w:hint="eastAsia"/>
          <w:szCs w:val="24"/>
          <w:u w:val="single"/>
        </w:rPr>
        <w:t xml:space="preserve">                   </w:t>
      </w:r>
    </w:p>
    <w:p>
      <w:pPr>
        <w:wordWrap w:val="0"/>
        <w:spacing w:line="360" w:lineRule="auto"/>
        <w:ind w:firstLine="480" w:firstLineChars="200"/>
        <w:rPr>
          <w:szCs w:val="24"/>
        </w:rPr>
      </w:pPr>
      <w:r>
        <w:rPr>
          <w:rFonts w:hint="eastAsia"/>
          <w:szCs w:val="24"/>
        </w:rPr>
        <w:t>电话：</w:t>
      </w:r>
      <w:r>
        <w:rPr>
          <w:rFonts w:hint="eastAsia"/>
          <w:szCs w:val="24"/>
          <w:u w:val="single"/>
        </w:rPr>
        <w:t xml:space="preserve">                         </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0"/>
        <w:gridCol w:w="4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0" w:hRule="atLeast"/>
          <w:jc w:val="center"/>
        </w:trPr>
        <w:tc>
          <w:tcPr>
            <w:tcW w:w="4400" w:type="dxa"/>
            <w:noWrap w:val="0"/>
            <w:vAlign w:val="top"/>
          </w:tcPr>
          <w:p>
            <w:pPr>
              <w:wordWrap w:val="0"/>
              <w:spacing w:line="360" w:lineRule="auto"/>
              <w:rPr>
                <w:szCs w:val="24"/>
              </w:rPr>
            </w:pPr>
            <w:r>
              <w:rPr>
                <w:rFonts w:hint="eastAsia"/>
                <w:szCs w:val="24"/>
              </w:rPr>
              <w:t>法定代表人身份证</w:t>
            </w:r>
          </w:p>
          <w:p>
            <w:pPr>
              <w:wordWrap w:val="0"/>
              <w:spacing w:line="360" w:lineRule="auto"/>
              <w:rPr>
                <w:szCs w:val="24"/>
              </w:rPr>
            </w:pPr>
            <w:r>
              <w:rPr>
                <w:rFonts w:hint="eastAsia"/>
                <w:szCs w:val="24"/>
              </w:rPr>
              <w:t>（正面清晰彩色影印件）</w:t>
            </w:r>
          </w:p>
        </w:tc>
        <w:tc>
          <w:tcPr>
            <w:tcW w:w="4569" w:type="dxa"/>
            <w:noWrap w:val="0"/>
            <w:vAlign w:val="top"/>
          </w:tcPr>
          <w:p>
            <w:pPr>
              <w:wordWrap w:val="0"/>
              <w:spacing w:line="360" w:lineRule="auto"/>
              <w:rPr>
                <w:szCs w:val="24"/>
              </w:rPr>
            </w:pPr>
            <w:r>
              <w:rPr>
                <w:rFonts w:hint="eastAsia"/>
                <w:szCs w:val="24"/>
              </w:rPr>
              <w:t>法定代表人身份证</w:t>
            </w:r>
          </w:p>
          <w:p>
            <w:pPr>
              <w:wordWrap w:val="0"/>
              <w:spacing w:line="360" w:lineRule="auto"/>
              <w:rPr>
                <w:szCs w:val="24"/>
              </w:rPr>
            </w:pPr>
            <w:r>
              <w:rPr>
                <w:rFonts w:hint="eastAsia"/>
                <w:szCs w:val="24"/>
              </w:rPr>
              <w:t>（反面清晰彩色影印件）</w:t>
            </w:r>
          </w:p>
        </w:tc>
      </w:tr>
    </w:tbl>
    <w:p>
      <w:pPr>
        <w:widowControl/>
        <w:wordWrap w:val="0"/>
        <w:spacing w:line="360" w:lineRule="auto"/>
        <w:jc w:val="left"/>
        <w:rPr>
          <w:rFonts w:cs="Times New Roman"/>
          <w:b/>
          <w:bCs/>
          <w:sz w:val="32"/>
          <w:szCs w:val="32"/>
        </w:rPr>
      </w:pPr>
      <w:r>
        <w:br w:type="page"/>
      </w:r>
    </w:p>
    <w:p>
      <w:pPr>
        <w:pStyle w:val="3"/>
        <w:numPr>
          <w:ilvl w:val="0"/>
          <w:numId w:val="63"/>
        </w:numPr>
        <w:tabs>
          <w:tab w:val="left" w:pos="567"/>
        </w:tabs>
        <w:spacing w:before="0" w:after="0" w:line="360" w:lineRule="auto"/>
        <w:ind w:left="482" w:hanging="482" w:hangingChars="200"/>
        <w:jc w:val="left"/>
        <w:rPr>
          <w:rFonts w:ascii="宋体" w:hAnsi="宋体" w:eastAsia="宋体"/>
          <w:sz w:val="24"/>
          <w:szCs w:val="24"/>
        </w:rPr>
      </w:pPr>
      <w:bookmarkStart w:id="627" w:name="_Toc27284"/>
      <w:bookmarkStart w:id="628" w:name="_Toc107561313"/>
      <w:bookmarkStart w:id="629" w:name="_Toc117244509"/>
      <w:bookmarkStart w:id="630" w:name="_Toc117244394"/>
      <w:r>
        <w:rPr>
          <w:rFonts w:hint="eastAsia" w:ascii="宋体" w:hAnsi="宋体" w:eastAsia="宋体"/>
          <w:sz w:val="24"/>
          <w:szCs w:val="24"/>
        </w:rPr>
        <w:t>法定代表人授权书</w:t>
      </w:r>
      <w:bookmarkEnd w:id="627"/>
      <w:bookmarkEnd w:id="628"/>
      <w:bookmarkEnd w:id="629"/>
      <w:bookmarkEnd w:id="630"/>
    </w:p>
    <w:p>
      <w:pPr>
        <w:wordWrap w:val="0"/>
        <w:spacing w:line="360" w:lineRule="auto"/>
        <w:ind w:firstLine="360" w:firstLineChars="150"/>
        <w:rPr>
          <w:szCs w:val="24"/>
        </w:rPr>
      </w:pPr>
      <w:r>
        <w:rPr>
          <w:rFonts w:hint="eastAsia"/>
          <w:szCs w:val="24"/>
        </w:rPr>
        <w:t>（</w:t>
      </w:r>
      <w:r>
        <w:rPr>
          <w:rFonts w:hint="eastAsia" w:ascii="楷体" w:hAnsi="楷体" w:eastAsia="楷体"/>
          <w:szCs w:val="24"/>
        </w:rPr>
        <w:t>法定代表人参与投标活动、处理投标活动中的一切事宜的，可不用提供</w:t>
      </w:r>
      <w:r>
        <w:rPr>
          <w:rFonts w:hint="eastAsia"/>
          <w:szCs w:val="24"/>
        </w:rPr>
        <w:t>）</w:t>
      </w:r>
    </w:p>
    <w:p>
      <w:pPr>
        <w:pStyle w:val="11"/>
      </w:pPr>
    </w:p>
    <w:p>
      <w:pPr>
        <w:wordWrap w:val="0"/>
        <w:spacing w:line="360" w:lineRule="auto"/>
        <w:ind w:firstLine="480" w:firstLineChars="200"/>
        <w:rPr>
          <w:szCs w:val="24"/>
        </w:rPr>
      </w:pPr>
      <w:r>
        <w:rPr>
          <w:rFonts w:hint="eastAsia"/>
          <w:szCs w:val="24"/>
        </w:rPr>
        <w:t>兹授权</w:t>
      </w:r>
      <w:r>
        <w:rPr>
          <w:rFonts w:hint="eastAsia"/>
          <w:szCs w:val="24"/>
          <w:u w:val="single"/>
        </w:rPr>
        <w:t xml:space="preserve">      </w:t>
      </w:r>
      <w:r>
        <w:rPr>
          <w:rFonts w:hint="eastAsia"/>
          <w:szCs w:val="24"/>
        </w:rPr>
        <w:t>同志为我单位参加贵方组织的</w:t>
      </w:r>
      <w:r>
        <w:rPr>
          <w:rFonts w:hint="eastAsia"/>
          <w:szCs w:val="24"/>
          <w:u w:val="single"/>
        </w:rPr>
        <w:t xml:space="preserve">   </w:t>
      </w:r>
      <w:r>
        <w:rPr>
          <w:rFonts w:hint="eastAsia"/>
          <w:i/>
          <w:szCs w:val="24"/>
          <w:u w:val="single"/>
        </w:rPr>
        <w:t>（项目名称）</w:t>
      </w:r>
      <w:r>
        <w:rPr>
          <w:rFonts w:hint="eastAsia"/>
          <w:szCs w:val="24"/>
          <w:u w:val="single"/>
        </w:rPr>
        <w:t xml:space="preserve">    </w:t>
      </w:r>
      <w:r>
        <w:rPr>
          <w:rFonts w:hint="eastAsia"/>
          <w:szCs w:val="24"/>
        </w:rPr>
        <w:t>（</w:t>
      </w:r>
      <w:r>
        <w:rPr>
          <w:rFonts w:hint="eastAsia"/>
          <w:szCs w:val="24"/>
          <w:u w:val="single"/>
        </w:rPr>
        <w:t xml:space="preserve">项目编号：     </w:t>
      </w:r>
      <w:r>
        <w:rPr>
          <w:rFonts w:hint="eastAsia"/>
          <w:szCs w:val="24"/>
        </w:rPr>
        <w:t>）采购活动的投标人授权代表，全权代表我公司处理在项目采购活动中的一切事宜。代理期限从</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日起至</w:t>
      </w:r>
      <w:r>
        <w:rPr>
          <w:rFonts w:hint="eastAsia"/>
          <w:szCs w:val="24"/>
          <w:u w:val="single"/>
        </w:rPr>
        <w:t xml:space="preserve">      </w:t>
      </w:r>
      <w:r>
        <w:rPr>
          <w:rFonts w:hint="eastAsia"/>
          <w:szCs w:val="24"/>
        </w:rPr>
        <w:t>年</w:t>
      </w:r>
      <w:r>
        <w:rPr>
          <w:rFonts w:hint="eastAsia"/>
          <w:szCs w:val="24"/>
          <w:u w:val="single"/>
        </w:rPr>
        <w:t xml:space="preserve">   </w:t>
      </w:r>
      <w:r>
        <w:rPr>
          <w:rFonts w:hint="eastAsia"/>
          <w:szCs w:val="24"/>
        </w:rPr>
        <w:t>月</w:t>
      </w:r>
      <w:r>
        <w:rPr>
          <w:rFonts w:hint="eastAsia"/>
          <w:szCs w:val="24"/>
          <w:u w:val="single"/>
        </w:rPr>
        <w:t xml:space="preserve">   </w:t>
      </w:r>
      <w:r>
        <w:rPr>
          <w:rFonts w:hint="eastAsia"/>
          <w:szCs w:val="24"/>
        </w:rPr>
        <w:t xml:space="preserve">日止。 </w:t>
      </w:r>
    </w:p>
    <w:p>
      <w:pPr>
        <w:wordWrap w:val="0"/>
        <w:spacing w:line="360" w:lineRule="auto"/>
        <w:ind w:firstLine="480" w:firstLineChars="200"/>
        <w:rPr>
          <w:szCs w:val="24"/>
        </w:rPr>
      </w:pPr>
      <w:r>
        <w:rPr>
          <w:rFonts w:hint="eastAsia"/>
          <w:szCs w:val="24"/>
        </w:rPr>
        <w:t>被授权代表无转委托权，在得到授权后方可签署投标文件。</w:t>
      </w:r>
    </w:p>
    <w:p>
      <w:pPr>
        <w:wordWrap w:val="0"/>
        <w:spacing w:before="100" w:beforeAutospacing="1" w:after="100" w:afterAutospacing="1" w:line="360" w:lineRule="auto"/>
        <w:ind w:firstLine="3316" w:firstLineChars="1382"/>
        <w:rPr>
          <w:bCs/>
          <w:u w:val="single"/>
        </w:rPr>
      </w:pPr>
      <w:r>
        <w:rPr>
          <w:rFonts w:hint="eastAsia"/>
          <w:bCs/>
        </w:rPr>
        <w:t>授权单位（公章）：</w:t>
      </w:r>
      <w:r>
        <w:rPr>
          <w:rFonts w:hint="eastAsia"/>
          <w:bCs/>
          <w:u w:val="single"/>
        </w:rPr>
        <w:t xml:space="preserve">                               </w:t>
      </w:r>
    </w:p>
    <w:p>
      <w:pPr>
        <w:wordWrap w:val="0"/>
        <w:spacing w:before="100" w:beforeAutospacing="1" w:after="100" w:afterAutospacing="1" w:line="360" w:lineRule="auto"/>
        <w:ind w:firstLine="3330" w:firstLineChars="1382"/>
        <w:rPr>
          <w:b/>
          <w:bCs/>
          <w:u w:val="single"/>
        </w:rPr>
      </w:pPr>
      <w:r>
        <w:rPr>
          <w:rFonts w:hint="eastAsia"/>
          <w:b/>
          <w:bCs/>
          <w:szCs w:val="21"/>
          <w:lang w:val="zh-CN"/>
        </w:rPr>
        <w:t>法定代表人（签字或签章）</w:t>
      </w:r>
      <w:r>
        <w:rPr>
          <w:rFonts w:hint="eastAsia"/>
          <w:b/>
          <w:bCs/>
        </w:rPr>
        <w:t>：</w:t>
      </w:r>
      <w:r>
        <w:rPr>
          <w:rFonts w:hint="eastAsia"/>
          <w:b/>
          <w:bCs/>
          <w:u w:val="single"/>
        </w:rPr>
        <w:t xml:space="preserve">                      </w:t>
      </w:r>
    </w:p>
    <w:p>
      <w:pPr>
        <w:wordWrap w:val="0"/>
        <w:spacing w:before="100" w:beforeAutospacing="1" w:after="100" w:afterAutospacing="1" w:line="360" w:lineRule="auto"/>
        <w:ind w:firstLine="3316" w:firstLineChars="1382"/>
        <w:rPr>
          <w:bCs/>
          <w:u w:val="single"/>
        </w:rPr>
      </w:pPr>
      <w:r>
        <w:rPr>
          <w:rFonts w:hint="eastAsia"/>
          <w:szCs w:val="24"/>
        </w:rPr>
        <w:t>日   期：</w:t>
      </w:r>
      <w:r>
        <w:rPr>
          <w:rFonts w:hint="eastAsia"/>
          <w:szCs w:val="21"/>
          <w:u w:val="single"/>
          <w:lang w:val="zh-CN"/>
        </w:rPr>
        <w:t xml:space="preserve">      </w:t>
      </w:r>
      <w:r>
        <w:rPr>
          <w:rFonts w:hint="eastAsia"/>
          <w:szCs w:val="21"/>
          <w:lang w:val="zh-CN"/>
        </w:rPr>
        <w:t>年</w:t>
      </w:r>
      <w:r>
        <w:rPr>
          <w:rFonts w:hint="eastAsia"/>
          <w:szCs w:val="21"/>
          <w:u w:val="single"/>
          <w:lang w:val="zh-CN"/>
        </w:rPr>
        <w:t xml:space="preserve">    </w:t>
      </w:r>
      <w:r>
        <w:rPr>
          <w:rFonts w:hint="eastAsia"/>
          <w:szCs w:val="21"/>
          <w:lang w:val="zh-CN"/>
        </w:rPr>
        <w:t>月</w:t>
      </w:r>
      <w:r>
        <w:rPr>
          <w:rFonts w:hint="eastAsia"/>
          <w:szCs w:val="21"/>
          <w:u w:val="single"/>
          <w:lang w:val="zh-CN"/>
        </w:rPr>
        <w:t xml:space="preserve">    </w:t>
      </w:r>
      <w:r>
        <w:rPr>
          <w:rFonts w:hint="eastAsia"/>
          <w:szCs w:val="21"/>
          <w:lang w:val="zh-CN"/>
        </w:rPr>
        <w:t>日</w:t>
      </w:r>
    </w:p>
    <w:p>
      <w:pPr>
        <w:wordWrap w:val="0"/>
        <w:spacing w:line="360" w:lineRule="auto"/>
        <w:rPr>
          <w:szCs w:val="24"/>
        </w:rPr>
      </w:pPr>
      <w:r>
        <w:rPr>
          <w:rFonts w:hint="eastAsia"/>
          <w:szCs w:val="24"/>
        </w:rPr>
        <w:t>附：</w:t>
      </w:r>
    </w:p>
    <w:p>
      <w:pPr>
        <w:wordWrap w:val="0"/>
        <w:spacing w:line="360" w:lineRule="auto"/>
        <w:ind w:firstLine="480" w:firstLineChars="200"/>
        <w:rPr>
          <w:szCs w:val="24"/>
        </w:rPr>
      </w:pPr>
      <w:r>
        <w:rPr>
          <w:rFonts w:hint="eastAsia"/>
          <w:szCs w:val="24"/>
        </w:rPr>
        <w:t>投标人授权代表单位名称：</w:t>
      </w:r>
      <w:r>
        <w:rPr>
          <w:rFonts w:hint="eastAsia"/>
          <w:szCs w:val="24"/>
          <w:u w:val="single"/>
        </w:rPr>
        <w:t xml:space="preserve">                         </w:t>
      </w:r>
    </w:p>
    <w:p>
      <w:pPr>
        <w:wordWrap w:val="0"/>
        <w:spacing w:line="360" w:lineRule="auto"/>
        <w:ind w:firstLine="480" w:firstLineChars="200"/>
        <w:rPr>
          <w:szCs w:val="24"/>
        </w:rPr>
      </w:pPr>
      <w:r>
        <w:rPr>
          <w:rFonts w:hint="eastAsia"/>
          <w:szCs w:val="24"/>
        </w:rPr>
        <w:t>职务：</w:t>
      </w:r>
      <w:r>
        <w:rPr>
          <w:rFonts w:hint="eastAsia"/>
          <w:szCs w:val="24"/>
          <w:u w:val="single"/>
        </w:rPr>
        <w:t xml:space="preserve">                         </w:t>
      </w:r>
      <w:r>
        <w:rPr>
          <w:rFonts w:hint="eastAsia"/>
          <w:szCs w:val="24"/>
        </w:rPr>
        <w:t xml:space="preserve"> 性别：</w:t>
      </w:r>
      <w:r>
        <w:rPr>
          <w:rFonts w:hint="eastAsia"/>
          <w:szCs w:val="24"/>
          <w:u w:val="single"/>
        </w:rPr>
        <w:t xml:space="preserve">           </w:t>
      </w:r>
    </w:p>
    <w:p>
      <w:pPr>
        <w:wordWrap w:val="0"/>
        <w:spacing w:line="360" w:lineRule="auto"/>
        <w:ind w:firstLine="480" w:firstLineChars="200"/>
        <w:rPr>
          <w:szCs w:val="24"/>
          <w:u w:val="single"/>
        </w:rPr>
      </w:pPr>
      <w:r>
        <w:rPr>
          <w:rFonts w:hint="eastAsia"/>
          <w:szCs w:val="24"/>
        </w:rPr>
        <w:t>身份证号码：</w:t>
      </w:r>
      <w:r>
        <w:rPr>
          <w:rFonts w:hint="eastAsia"/>
          <w:szCs w:val="24"/>
          <w:u w:val="single"/>
        </w:rPr>
        <w:t xml:space="preserve">                   </w:t>
      </w:r>
    </w:p>
    <w:p>
      <w:pPr>
        <w:wordWrap w:val="0"/>
        <w:spacing w:line="360" w:lineRule="auto"/>
        <w:ind w:firstLine="480" w:firstLineChars="200"/>
        <w:rPr>
          <w:szCs w:val="24"/>
        </w:rPr>
      </w:pPr>
      <w:r>
        <w:rPr>
          <w:rFonts w:hint="eastAsia"/>
          <w:szCs w:val="24"/>
        </w:rPr>
        <w:t>电话：</w:t>
      </w:r>
      <w:r>
        <w:rPr>
          <w:rFonts w:hint="eastAsia"/>
          <w:szCs w:val="24"/>
          <w:u w:val="single"/>
        </w:rPr>
        <w:t xml:space="preserve">                         </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00"/>
        <w:gridCol w:w="456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260" w:hRule="atLeast"/>
          <w:jc w:val="center"/>
        </w:trPr>
        <w:tc>
          <w:tcPr>
            <w:tcW w:w="4400" w:type="dxa"/>
            <w:noWrap w:val="0"/>
            <w:vAlign w:val="top"/>
          </w:tcPr>
          <w:p>
            <w:pPr>
              <w:wordWrap w:val="0"/>
              <w:spacing w:line="360" w:lineRule="auto"/>
              <w:rPr>
                <w:szCs w:val="24"/>
              </w:rPr>
            </w:pPr>
            <w:r>
              <w:rPr>
                <w:rFonts w:hint="eastAsia"/>
                <w:szCs w:val="24"/>
              </w:rPr>
              <w:t>被授权人身份证</w:t>
            </w:r>
          </w:p>
          <w:p>
            <w:pPr>
              <w:wordWrap w:val="0"/>
              <w:spacing w:line="360" w:lineRule="auto"/>
              <w:rPr>
                <w:szCs w:val="24"/>
              </w:rPr>
            </w:pPr>
            <w:r>
              <w:rPr>
                <w:rFonts w:hint="eastAsia"/>
                <w:szCs w:val="24"/>
              </w:rPr>
              <w:t>（正面清晰彩色影印件）</w:t>
            </w:r>
          </w:p>
        </w:tc>
        <w:tc>
          <w:tcPr>
            <w:tcW w:w="4569" w:type="dxa"/>
            <w:noWrap w:val="0"/>
            <w:vAlign w:val="top"/>
          </w:tcPr>
          <w:p>
            <w:pPr>
              <w:wordWrap w:val="0"/>
              <w:spacing w:line="360" w:lineRule="auto"/>
              <w:rPr>
                <w:szCs w:val="24"/>
              </w:rPr>
            </w:pPr>
            <w:r>
              <w:rPr>
                <w:rFonts w:hint="eastAsia"/>
                <w:szCs w:val="24"/>
              </w:rPr>
              <w:t>被授权人身份证</w:t>
            </w:r>
          </w:p>
          <w:p>
            <w:pPr>
              <w:wordWrap w:val="0"/>
              <w:spacing w:line="360" w:lineRule="auto"/>
              <w:rPr>
                <w:szCs w:val="24"/>
              </w:rPr>
            </w:pPr>
            <w:r>
              <w:rPr>
                <w:rFonts w:hint="eastAsia"/>
                <w:szCs w:val="24"/>
              </w:rPr>
              <w:t>（反面清晰彩色影印件）</w:t>
            </w:r>
          </w:p>
        </w:tc>
      </w:tr>
    </w:tbl>
    <w:p>
      <w:pPr>
        <w:wordWrap w:val="0"/>
        <w:spacing w:line="360" w:lineRule="auto"/>
        <w:rPr>
          <w:bCs/>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p>
    <w:p>
      <w:pPr>
        <w:pStyle w:val="3"/>
        <w:numPr>
          <w:ilvl w:val="0"/>
          <w:numId w:val="63"/>
        </w:numPr>
        <w:tabs>
          <w:tab w:val="left" w:pos="567"/>
        </w:tabs>
        <w:spacing w:line="360" w:lineRule="auto"/>
        <w:ind w:left="482" w:hanging="482" w:hangingChars="200"/>
        <w:jc w:val="left"/>
        <w:rPr>
          <w:rFonts w:ascii="宋体" w:hAnsi="宋体" w:eastAsia="宋体"/>
          <w:sz w:val="24"/>
          <w:szCs w:val="24"/>
        </w:rPr>
      </w:pPr>
      <w:bookmarkStart w:id="631" w:name="_Toc117244510"/>
      <w:bookmarkStart w:id="632" w:name="_Toc17547"/>
      <w:bookmarkStart w:id="633" w:name="_Toc107561314"/>
      <w:bookmarkStart w:id="634" w:name="_Toc117244395"/>
      <w:r>
        <w:rPr>
          <w:rFonts w:hint="eastAsia" w:ascii="宋体" w:hAnsi="宋体" w:eastAsia="宋体"/>
          <w:sz w:val="24"/>
          <w:szCs w:val="24"/>
        </w:rPr>
        <w:t>项目负责人、技术负责人简历表</w:t>
      </w:r>
      <w:bookmarkEnd w:id="631"/>
      <w:bookmarkEnd w:id="632"/>
      <w:bookmarkEnd w:id="633"/>
      <w:bookmarkEnd w:id="634"/>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所投包号：</w:t>
      </w:r>
      <w:r>
        <w:rPr>
          <w:rFonts w:hint="eastAsia"/>
          <w:b/>
          <w:bCs/>
          <w:szCs w:val="21"/>
          <w:u w:val="single"/>
          <w:lang w:val="zh-CN"/>
        </w:rPr>
        <w:t xml:space="preserve">           </w:t>
      </w:r>
    </w:p>
    <w:tbl>
      <w:tblPr>
        <w:tblStyle w:val="2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1702"/>
        <w:gridCol w:w="200"/>
        <w:gridCol w:w="1330"/>
        <w:gridCol w:w="195"/>
        <w:gridCol w:w="1335"/>
        <w:gridCol w:w="190"/>
        <w:gridCol w:w="1340"/>
        <w:gridCol w:w="185"/>
        <w:gridCol w:w="1345"/>
        <w:gridCol w:w="193"/>
        <w:gridCol w:w="1337"/>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702" w:type="dxa"/>
            <w:noWrap w:val="0"/>
            <w:vAlign w:val="center"/>
          </w:tcPr>
          <w:p>
            <w:pPr>
              <w:wordWrap w:val="0"/>
              <w:autoSpaceDE w:val="0"/>
              <w:autoSpaceDN w:val="0"/>
              <w:adjustRightInd w:val="0"/>
              <w:spacing w:line="360" w:lineRule="auto"/>
              <w:jc w:val="center"/>
              <w:rPr>
                <w:szCs w:val="28"/>
              </w:rPr>
            </w:pPr>
            <w:r>
              <w:rPr>
                <w:rFonts w:hint="eastAsia"/>
                <w:szCs w:val="28"/>
              </w:rPr>
              <w:t>姓    名</w:t>
            </w:r>
          </w:p>
        </w:tc>
        <w:tc>
          <w:tcPr>
            <w:tcW w:w="1530" w:type="dxa"/>
            <w:gridSpan w:val="2"/>
            <w:noWrap w:val="0"/>
            <w:vAlign w:val="center"/>
          </w:tcPr>
          <w:p>
            <w:pPr>
              <w:wordWrap w:val="0"/>
              <w:autoSpaceDE w:val="0"/>
              <w:autoSpaceDN w:val="0"/>
              <w:adjustRightInd w:val="0"/>
              <w:spacing w:line="360" w:lineRule="auto"/>
              <w:ind w:right="326" w:rightChars="136"/>
              <w:jc w:val="center"/>
              <w:rPr>
                <w:szCs w:val="28"/>
              </w:rPr>
            </w:pPr>
          </w:p>
        </w:tc>
        <w:tc>
          <w:tcPr>
            <w:tcW w:w="1530" w:type="dxa"/>
            <w:gridSpan w:val="2"/>
            <w:noWrap w:val="0"/>
            <w:vAlign w:val="center"/>
          </w:tcPr>
          <w:p>
            <w:pPr>
              <w:wordWrap w:val="0"/>
              <w:autoSpaceDE w:val="0"/>
              <w:autoSpaceDN w:val="0"/>
              <w:adjustRightInd w:val="0"/>
              <w:spacing w:line="360" w:lineRule="auto"/>
              <w:ind w:right="-146" w:rightChars="-61"/>
              <w:jc w:val="center"/>
              <w:rPr>
                <w:szCs w:val="28"/>
              </w:rPr>
            </w:pPr>
            <w:r>
              <w:rPr>
                <w:rFonts w:hint="eastAsia"/>
                <w:szCs w:val="28"/>
              </w:rPr>
              <w:t>性    别</w:t>
            </w:r>
          </w:p>
        </w:tc>
        <w:tc>
          <w:tcPr>
            <w:tcW w:w="1530" w:type="dxa"/>
            <w:gridSpan w:val="2"/>
            <w:noWrap w:val="0"/>
            <w:vAlign w:val="center"/>
          </w:tcPr>
          <w:p>
            <w:pPr>
              <w:wordWrap w:val="0"/>
              <w:autoSpaceDE w:val="0"/>
              <w:autoSpaceDN w:val="0"/>
              <w:adjustRightInd w:val="0"/>
              <w:spacing w:line="360" w:lineRule="auto"/>
              <w:ind w:right="326" w:rightChars="136"/>
              <w:jc w:val="center"/>
              <w:rPr>
                <w:szCs w:val="28"/>
              </w:rPr>
            </w:pPr>
          </w:p>
        </w:tc>
        <w:tc>
          <w:tcPr>
            <w:tcW w:w="1530" w:type="dxa"/>
            <w:gridSpan w:val="2"/>
            <w:noWrap w:val="0"/>
            <w:vAlign w:val="center"/>
          </w:tcPr>
          <w:p>
            <w:pPr>
              <w:wordWrap w:val="0"/>
              <w:autoSpaceDE w:val="0"/>
              <w:autoSpaceDN w:val="0"/>
              <w:adjustRightInd w:val="0"/>
              <w:spacing w:line="360" w:lineRule="auto"/>
              <w:ind w:right="2" w:rightChars="1"/>
              <w:jc w:val="center"/>
              <w:rPr>
                <w:szCs w:val="28"/>
              </w:rPr>
            </w:pPr>
            <w:r>
              <w:rPr>
                <w:rFonts w:hint="eastAsia"/>
                <w:szCs w:val="28"/>
              </w:rPr>
              <w:t>年    龄</w:t>
            </w:r>
          </w:p>
        </w:tc>
        <w:tc>
          <w:tcPr>
            <w:tcW w:w="1530" w:type="dxa"/>
            <w:gridSpan w:val="2"/>
            <w:noWrap w:val="0"/>
            <w:vAlign w:val="center"/>
          </w:tcPr>
          <w:p>
            <w:pPr>
              <w:wordWrap w:val="0"/>
              <w:autoSpaceDE w:val="0"/>
              <w:autoSpaceDN w:val="0"/>
              <w:adjustRightInd w:val="0"/>
              <w:spacing w:line="360" w:lineRule="auto"/>
              <w:ind w:right="326" w:rightChars="136"/>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1702" w:type="dxa"/>
            <w:noWrap w:val="0"/>
            <w:vAlign w:val="center"/>
          </w:tcPr>
          <w:p>
            <w:pPr>
              <w:wordWrap w:val="0"/>
              <w:autoSpaceDE w:val="0"/>
              <w:autoSpaceDN w:val="0"/>
              <w:adjustRightInd w:val="0"/>
              <w:spacing w:line="360" w:lineRule="auto"/>
              <w:jc w:val="center"/>
              <w:rPr>
                <w:szCs w:val="28"/>
              </w:rPr>
            </w:pPr>
            <w:r>
              <w:rPr>
                <w:rFonts w:hint="eastAsia"/>
                <w:szCs w:val="28"/>
              </w:rPr>
              <w:t>职    务</w:t>
            </w:r>
          </w:p>
        </w:tc>
        <w:tc>
          <w:tcPr>
            <w:tcW w:w="1530" w:type="dxa"/>
            <w:gridSpan w:val="2"/>
            <w:noWrap w:val="0"/>
            <w:vAlign w:val="center"/>
          </w:tcPr>
          <w:p>
            <w:pPr>
              <w:wordWrap w:val="0"/>
              <w:autoSpaceDE w:val="0"/>
              <w:autoSpaceDN w:val="0"/>
              <w:adjustRightInd w:val="0"/>
              <w:spacing w:line="360" w:lineRule="auto"/>
              <w:ind w:right="326" w:rightChars="136"/>
              <w:jc w:val="center"/>
              <w:rPr>
                <w:szCs w:val="28"/>
              </w:rPr>
            </w:pPr>
          </w:p>
        </w:tc>
        <w:tc>
          <w:tcPr>
            <w:tcW w:w="1530" w:type="dxa"/>
            <w:gridSpan w:val="2"/>
            <w:noWrap w:val="0"/>
            <w:vAlign w:val="center"/>
          </w:tcPr>
          <w:p>
            <w:pPr>
              <w:wordWrap w:val="0"/>
              <w:autoSpaceDE w:val="0"/>
              <w:autoSpaceDN w:val="0"/>
              <w:adjustRightInd w:val="0"/>
              <w:spacing w:line="360" w:lineRule="auto"/>
              <w:ind w:right="-96" w:rightChars="-40"/>
              <w:jc w:val="center"/>
              <w:rPr>
                <w:szCs w:val="28"/>
              </w:rPr>
            </w:pPr>
            <w:r>
              <w:rPr>
                <w:rFonts w:hint="eastAsia"/>
                <w:szCs w:val="28"/>
              </w:rPr>
              <w:t>职    称</w:t>
            </w:r>
          </w:p>
        </w:tc>
        <w:tc>
          <w:tcPr>
            <w:tcW w:w="1530" w:type="dxa"/>
            <w:gridSpan w:val="2"/>
            <w:noWrap w:val="0"/>
            <w:vAlign w:val="center"/>
          </w:tcPr>
          <w:p>
            <w:pPr>
              <w:wordWrap w:val="0"/>
              <w:autoSpaceDE w:val="0"/>
              <w:autoSpaceDN w:val="0"/>
              <w:adjustRightInd w:val="0"/>
              <w:spacing w:line="360" w:lineRule="auto"/>
              <w:ind w:right="326" w:rightChars="136"/>
              <w:jc w:val="center"/>
              <w:rPr>
                <w:szCs w:val="28"/>
              </w:rPr>
            </w:pPr>
          </w:p>
        </w:tc>
        <w:tc>
          <w:tcPr>
            <w:tcW w:w="1530" w:type="dxa"/>
            <w:gridSpan w:val="2"/>
            <w:noWrap w:val="0"/>
            <w:vAlign w:val="center"/>
          </w:tcPr>
          <w:p>
            <w:pPr>
              <w:wordWrap w:val="0"/>
              <w:autoSpaceDE w:val="0"/>
              <w:autoSpaceDN w:val="0"/>
              <w:adjustRightInd w:val="0"/>
              <w:spacing w:line="360" w:lineRule="auto"/>
              <w:ind w:right="2" w:rightChars="1"/>
              <w:jc w:val="center"/>
              <w:rPr>
                <w:szCs w:val="28"/>
              </w:rPr>
            </w:pPr>
            <w:r>
              <w:rPr>
                <w:rFonts w:hint="eastAsia"/>
                <w:szCs w:val="28"/>
              </w:rPr>
              <w:t>学    历</w:t>
            </w:r>
          </w:p>
        </w:tc>
        <w:tc>
          <w:tcPr>
            <w:tcW w:w="1530" w:type="dxa"/>
            <w:gridSpan w:val="2"/>
            <w:noWrap w:val="0"/>
            <w:vAlign w:val="center"/>
          </w:tcPr>
          <w:p>
            <w:pPr>
              <w:wordWrap w:val="0"/>
              <w:autoSpaceDE w:val="0"/>
              <w:autoSpaceDN w:val="0"/>
              <w:adjustRightInd w:val="0"/>
              <w:spacing w:line="360" w:lineRule="auto"/>
              <w:ind w:right="2" w:rightChars="1"/>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jc w:val="center"/>
        </w:trPr>
        <w:tc>
          <w:tcPr>
            <w:tcW w:w="1702" w:type="dxa"/>
            <w:noWrap w:val="0"/>
            <w:vAlign w:val="center"/>
          </w:tcPr>
          <w:p>
            <w:pPr>
              <w:wordWrap w:val="0"/>
              <w:autoSpaceDE w:val="0"/>
              <w:autoSpaceDN w:val="0"/>
              <w:adjustRightInd w:val="0"/>
              <w:spacing w:line="360" w:lineRule="auto"/>
              <w:jc w:val="center"/>
              <w:rPr>
                <w:szCs w:val="28"/>
              </w:rPr>
            </w:pPr>
            <w:r>
              <w:rPr>
                <w:rFonts w:hint="eastAsia"/>
                <w:szCs w:val="28"/>
              </w:rPr>
              <w:t>参加工作</w:t>
            </w:r>
          </w:p>
          <w:p>
            <w:pPr>
              <w:wordWrap w:val="0"/>
              <w:autoSpaceDE w:val="0"/>
              <w:autoSpaceDN w:val="0"/>
              <w:adjustRightInd w:val="0"/>
              <w:spacing w:line="360" w:lineRule="auto"/>
              <w:jc w:val="center"/>
              <w:rPr>
                <w:szCs w:val="28"/>
              </w:rPr>
            </w:pPr>
            <w:r>
              <w:rPr>
                <w:rFonts w:hint="eastAsia"/>
                <w:szCs w:val="28"/>
              </w:rPr>
              <w:t>时间</w:t>
            </w:r>
          </w:p>
        </w:tc>
        <w:tc>
          <w:tcPr>
            <w:tcW w:w="1530" w:type="dxa"/>
            <w:gridSpan w:val="2"/>
            <w:noWrap w:val="0"/>
            <w:vAlign w:val="center"/>
          </w:tcPr>
          <w:p>
            <w:pPr>
              <w:wordWrap w:val="0"/>
              <w:autoSpaceDE w:val="0"/>
              <w:autoSpaceDN w:val="0"/>
              <w:adjustRightInd w:val="0"/>
              <w:spacing w:line="360" w:lineRule="auto"/>
              <w:jc w:val="center"/>
              <w:rPr>
                <w:szCs w:val="28"/>
              </w:rPr>
            </w:pPr>
          </w:p>
        </w:tc>
        <w:tc>
          <w:tcPr>
            <w:tcW w:w="1530" w:type="dxa"/>
            <w:gridSpan w:val="2"/>
            <w:noWrap w:val="0"/>
            <w:vAlign w:val="center"/>
          </w:tcPr>
          <w:p>
            <w:pPr>
              <w:wordWrap w:val="0"/>
              <w:autoSpaceDE w:val="0"/>
              <w:autoSpaceDN w:val="0"/>
              <w:adjustRightInd w:val="0"/>
              <w:spacing w:line="360" w:lineRule="auto"/>
              <w:jc w:val="center"/>
              <w:rPr>
                <w:szCs w:val="28"/>
              </w:rPr>
            </w:pPr>
            <w:r>
              <w:rPr>
                <w:rFonts w:hint="eastAsia"/>
                <w:szCs w:val="28"/>
              </w:rPr>
              <w:t>从事本行业工作年限</w:t>
            </w:r>
          </w:p>
        </w:tc>
        <w:tc>
          <w:tcPr>
            <w:tcW w:w="1530" w:type="dxa"/>
            <w:gridSpan w:val="2"/>
            <w:noWrap w:val="0"/>
            <w:vAlign w:val="center"/>
          </w:tcPr>
          <w:p>
            <w:pPr>
              <w:wordWrap w:val="0"/>
              <w:autoSpaceDE w:val="0"/>
              <w:autoSpaceDN w:val="0"/>
              <w:adjustRightInd w:val="0"/>
              <w:spacing w:line="360" w:lineRule="auto"/>
              <w:jc w:val="center"/>
              <w:rPr>
                <w:szCs w:val="28"/>
              </w:rPr>
            </w:pPr>
          </w:p>
        </w:tc>
        <w:tc>
          <w:tcPr>
            <w:tcW w:w="1530" w:type="dxa"/>
            <w:gridSpan w:val="2"/>
            <w:noWrap w:val="0"/>
            <w:vAlign w:val="center"/>
          </w:tcPr>
          <w:p>
            <w:pPr>
              <w:wordWrap w:val="0"/>
              <w:autoSpaceDE w:val="0"/>
              <w:autoSpaceDN w:val="0"/>
              <w:adjustRightInd w:val="0"/>
              <w:spacing w:line="360" w:lineRule="auto"/>
              <w:jc w:val="center"/>
              <w:rPr>
                <w:szCs w:val="28"/>
              </w:rPr>
            </w:pPr>
            <w:r>
              <w:rPr>
                <w:rFonts w:hint="eastAsia"/>
                <w:szCs w:val="28"/>
              </w:rPr>
              <w:t>个人专业资质及证书</w:t>
            </w:r>
          </w:p>
        </w:tc>
        <w:tc>
          <w:tcPr>
            <w:tcW w:w="1530" w:type="dxa"/>
            <w:gridSpan w:val="2"/>
            <w:noWrap w:val="0"/>
            <w:vAlign w:val="center"/>
          </w:tcPr>
          <w:p>
            <w:pPr>
              <w:wordWrap w:val="0"/>
              <w:autoSpaceDE w:val="0"/>
              <w:autoSpaceDN w:val="0"/>
              <w:adjustRightInd w:val="0"/>
              <w:spacing w:line="360" w:lineRule="auto"/>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47" w:hRule="atLeast"/>
          <w:jc w:val="center"/>
        </w:trPr>
        <w:tc>
          <w:tcPr>
            <w:tcW w:w="9352" w:type="dxa"/>
            <w:gridSpan w:val="11"/>
            <w:noWrap w:val="0"/>
            <w:vAlign w:val="center"/>
          </w:tcPr>
          <w:p>
            <w:pPr>
              <w:wordWrap w:val="0"/>
              <w:autoSpaceDE w:val="0"/>
              <w:autoSpaceDN w:val="0"/>
              <w:adjustRightInd w:val="0"/>
              <w:spacing w:line="360" w:lineRule="auto"/>
              <w:ind w:right="326" w:rightChars="136"/>
              <w:jc w:val="center"/>
              <w:rPr>
                <w:szCs w:val="28"/>
              </w:rPr>
            </w:pPr>
            <w:r>
              <w:rPr>
                <w:rFonts w:hint="eastAsia"/>
                <w:szCs w:val="28"/>
              </w:rPr>
              <w:t>个人简介</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1461" w:hRule="atLeast"/>
          <w:jc w:val="center"/>
        </w:trPr>
        <w:tc>
          <w:tcPr>
            <w:tcW w:w="9352" w:type="dxa"/>
            <w:gridSpan w:val="11"/>
            <w:noWrap w:val="0"/>
            <w:vAlign w:val="center"/>
          </w:tcPr>
          <w:p>
            <w:pPr>
              <w:wordWrap w:val="0"/>
              <w:autoSpaceDE w:val="0"/>
              <w:autoSpaceDN w:val="0"/>
              <w:adjustRightInd w:val="0"/>
              <w:spacing w:line="360" w:lineRule="auto"/>
              <w:ind w:right="326" w:rightChars="136"/>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cantSplit/>
          <w:trHeight w:val="689" w:hRule="atLeast"/>
          <w:jc w:val="center"/>
        </w:trPr>
        <w:tc>
          <w:tcPr>
            <w:tcW w:w="9352" w:type="dxa"/>
            <w:gridSpan w:val="11"/>
            <w:noWrap w:val="0"/>
            <w:vAlign w:val="center"/>
          </w:tcPr>
          <w:p>
            <w:pPr>
              <w:wordWrap w:val="0"/>
              <w:autoSpaceDE w:val="0"/>
              <w:autoSpaceDN w:val="0"/>
              <w:adjustRightInd w:val="0"/>
              <w:spacing w:line="360" w:lineRule="auto"/>
              <w:ind w:right="326" w:rightChars="136"/>
              <w:jc w:val="center"/>
              <w:rPr>
                <w:b/>
                <w:szCs w:val="28"/>
              </w:rPr>
            </w:pPr>
            <w:r>
              <w:rPr>
                <w:rFonts w:hint="eastAsia"/>
                <w:b/>
                <w:szCs w:val="28"/>
              </w:rPr>
              <w:t>类似项目经验</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noWrap w:val="0"/>
            <w:vAlign w:val="center"/>
          </w:tcPr>
          <w:p>
            <w:pPr>
              <w:wordWrap w:val="0"/>
              <w:autoSpaceDE w:val="0"/>
              <w:autoSpaceDN w:val="0"/>
              <w:adjustRightInd w:val="0"/>
              <w:spacing w:line="360" w:lineRule="auto"/>
              <w:ind w:right="-91" w:rightChars="-38"/>
              <w:jc w:val="center"/>
              <w:rPr>
                <w:szCs w:val="28"/>
              </w:rPr>
            </w:pPr>
            <w:r>
              <w:rPr>
                <w:rFonts w:hint="eastAsia"/>
                <w:szCs w:val="28"/>
              </w:rPr>
              <w:t>项目单位</w:t>
            </w:r>
          </w:p>
        </w:tc>
        <w:tc>
          <w:tcPr>
            <w:tcW w:w="1525" w:type="dxa"/>
            <w:gridSpan w:val="2"/>
            <w:noWrap w:val="0"/>
            <w:vAlign w:val="center"/>
          </w:tcPr>
          <w:p>
            <w:pPr>
              <w:wordWrap w:val="0"/>
              <w:autoSpaceDE w:val="0"/>
              <w:autoSpaceDN w:val="0"/>
              <w:adjustRightInd w:val="0"/>
              <w:spacing w:line="360" w:lineRule="auto"/>
              <w:ind w:right="-91" w:rightChars="-38"/>
              <w:jc w:val="center"/>
              <w:rPr>
                <w:szCs w:val="28"/>
              </w:rPr>
            </w:pPr>
            <w:r>
              <w:rPr>
                <w:rFonts w:hint="eastAsia"/>
                <w:szCs w:val="28"/>
              </w:rPr>
              <w:t>项目名称</w:t>
            </w:r>
          </w:p>
        </w:tc>
        <w:tc>
          <w:tcPr>
            <w:tcW w:w="1525" w:type="dxa"/>
            <w:gridSpan w:val="2"/>
            <w:tcBorders>
              <w:right w:val="single" w:color="auto" w:sz="4" w:space="0"/>
            </w:tcBorders>
            <w:noWrap w:val="0"/>
            <w:vAlign w:val="center"/>
          </w:tcPr>
          <w:p>
            <w:pPr>
              <w:wordWrap w:val="0"/>
              <w:autoSpaceDE w:val="0"/>
              <w:autoSpaceDN w:val="0"/>
              <w:adjustRightInd w:val="0"/>
              <w:spacing w:line="360" w:lineRule="auto"/>
              <w:ind w:right="-91" w:rightChars="-38"/>
              <w:jc w:val="center"/>
              <w:rPr>
                <w:szCs w:val="28"/>
              </w:rPr>
            </w:pPr>
            <w:r>
              <w:rPr>
                <w:rFonts w:hint="eastAsia"/>
                <w:szCs w:val="28"/>
              </w:rPr>
              <w:t>项目内容</w:t>
            </w:r>
          </w:p>
        </w:tc>
        <w:tc>
          <w:tcPr>
            <w:tcW w:w="1525" w:type="dxa"/>
            <w:gridSpan w:val="2"/>
            <w:tcBorders>
              <w:left w:val="single" w:color="auto" w:sz="4" w:space="0"/>
            </w:tcBorders>
            <w:noWrap w:val="0"/>
            <w:vAlign w:val="center"/>
          </w:tcPr>
          <w:p>
            <w:pPr>
              <w:wordWrap w:val="0"/>
              <w:autoSpaceDE w:val="0"/>
              <w:autoSpaceDN w:val="0"/>
              <w:adjustRightInd w:val="0"/>
              <w:spacing w:line="360" w:lineRule="auto"/>
              <w:ind w:right="-91" w:rightChars="-38"/>
              <w:jc w:val="center"/>
              <w:rPr>
                <w:szCs w:val="28"/>
              </w:rPr>
            </w:pPr>
            <w:r>
              <w:rPr>
                <w:rFonts w:hint="eastAsia"/>
                <w:szCs w:val="24"/>
              </w:rPr>
              <w:t>承担的工作</w:t>
            </w:r>
          </w:p>
        </w:tc>
        <w:tc>
          <w:tcPr>
            <w:tcW w:w="1538" w:type="dxa"/>
            <w:gridSpan w:val="2"/>
            <w:noWrap w:val="0"/>
            <w:vAlign w:val="center"/>
          </w:tcPr>
          <w:p>
            <w:pPr>
              <w:wordWrap w:val="0"/>
              <w:autoSpaceDE w:val="0"/>
              <w:autoSpaceDN w:val="0"/>
              <w:adjustRightInd w:val="0"/>
              <w:spacing w:line="360" w:lineRule="auto"/>
              <w:ind w:right="-91" w:rightChars="-38"/>
              <w:jc w:val="center"/>
              <w:rPr>
                <w:szCs w:val="28"/>
              </w:rPr>
            </w:pPr>
            <w:r>
              <w:rPr>
                <w:rFonts w:hint="eastAsia"/>
                <w:szCs w:val="28"/>
              </w:rPr>
              <w:t>项目金额</w:t>
            </w:r>
          </w:p>
        </w:tc>
        <w:tc>
          <w:tcPr>
            <w:tcW w:w="1337" w:type="dxa"/>
            <w:noWrap w:val="0"/>
            <w:vAlign w:val="center"/>
          </w:tcPr>
          <w:p>
            <w:pPr>
              <w:wordWrap w:val="0"/>
              <w:autoSpaceDE w:val="0"/>
              <w:autoSpaceDN w:val="0"/>
              <w:adjustRightInd w:val="0"/>
              <w:spacing w:line="360" w:lineRule="auto"/>
              <w:ind w:right="-91" w:rightChars="-38"/>
              <w:jc w:val="center"/>
              <w:rPr>
                <w:szCs w:val="28"/>
              </w:rPr>
            </w:pPr>
            <w:r>
              <w:rPr>
                <w:rFonts w:hint="eastAsia"/>
                <w:szCs w:val="28"/>
              </w:rPr>
              <w:t>项目时间</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38" w:type="dxa"/>
            <w:gridSpan w:val="2"/>
            <w:noWrap w:val="0"/>
            <w:vAlign w:val="center"/>
          </w:tcPr>
          <w:p>
            <w:pPr>
              <w:wordWrap w:val="0"/>
              <w:autoSpaceDE w:val="0"/>
              <w:autoSpaceDN w:val="0"/>
              <w:adjustRightInd w:val="0"/>
              <w:spacing w:line="360" w:lineRule="auto"/>
              <w:ind w:right="-91" w:rightChars="-38"/>
              <w:jc w:val="center"/>
              <w:rPr>
                <w:szCs w:val="28"/>
              </w:rPr>
            </w:pPr>
          </w:p>
        </w:tc>
        <w:tc>
          <w:tcPr>
            <w:tcW w:w="1337" w:type="dxa"/>
            <w:noWrap w:val="0"/>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38" w:type="dxa"/>
            <w:gridSpan w:val="2"/>
            <w:noWrap w:val="0"/>
            <w:vAlign w:val="center"/>
          </w:tcPr>
          <w:p>
            <w:pPr>
              <w:wordWrap w:val="0"/>
              <w:autoSpaceDE w:val="0"/>
              <w:autoSpaceDN w:val="0"/>
              <w:adjustRightInd w:val="0"/>
              <w:spacing w:line="360" w:lineRule="auto"/>
              <w:ind w:right="-91" w:rightChars="-38"/>
              <w:jc w:val="center"/>
              <w:rPr>
                <w:szCs w:val="28"/>
              </w:rPr>
            </w:pPr>
          </w:p>
        </w:tc>
        <w:tc>
          <w:tcPr>
            <w:tcW w:w="1337" w:type="dxa"/>
            <w:noWrap w:val="0"/>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38" w:type="dxa"/>
            <w:gridSpan w:val="2"/>
            <w:noWrap w:val="0"/>
            <w:vAlign w:val="center"/>
          </w:tcPr>
          <w:p>
            <w:pPr>
              <w:wordWrap w:val="0"/>
              <w:autoSpaceDE w:val="0"/>
              <w:autoSpaceDN w:val="0"/>
              <w:adjustRightInd w:val="0"/>
              <w:spacing w:line="360" w:lineRule="auto"/>
              <w:ind w:right="-91" w:rightChars="-38"/>
              <w:jc w:val="center"/>
              <w:rPr>
                <w:szCs w:val="28"/>
              </w:rPr>
            </w:pPr>
          </w:p>
        </w:tc>
        <w:tc>
          <w:tcPr>
            <w:tcW w:w="1337" w:type="dxa"/>
            <w:noWrap w:val="0"/>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38" w:type="dxa"/>
            <w:gridSpan w:val="2"/>
            <w:noWrap w:val="0"/>
            <w:vAlign w:val="center"/>
          </w:tcPr>
          <w:p>
            <w:pPr>
              <w:wordWrap w:val="0"/>
              <w:autoSpaceDE w:val="0"/>
              <w:autoSpaceDN w:val="0"/>
              <w:adjustRightInd w:val="0"/>
              <w:spacing w:line="360" w:lineRule="auto"/>
              <w:ind w:right="-91" w:rightChars="-38"/>
              <w:jc w:val="center"/>
              <w:rPr>
                <w:szCs w:val="28"/>
              </w:rPr>
            </w:pPr>
          </w:p>
        </w:tc>
        <w:tc>
          <w:tcPr>
            <w:tcW w:w="1337" w:type="dxa"/>
            <w:noWrap w:val="0"/>
            <w:vAlign w:val="center"/>
          </w:tcPr>
          <w:p>
            <w:pPr>
              <w:wordWrap w:val="0"/>
              <w:autoSpaceDE w:val="0"/>
              <w:autoSpaceDN w:val="0"/>
              <w:adjustRightInd w:val="0"/>
              <w:spacing w:line="360" w:lineRule="auto"/>
              <w:ind w:right="-91" w:rightChars="-38"/>
              <w:jc w:val="center"/>
              <w:rPr>
                <w:szCs w:val="28"/>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3" w:hRule="atLeast"/>
          <w:jc w:val="center"/>
        </w:trPr>
        <w:tc>
          <w:tcPr>
            <w:tcW w:w="1902"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righ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25" w:type="dxa"/>
            <w:gridSpan w:val="2"/>
            <w:tcBorders>
              <w:left w:val="single" w:color="auto" w:sz="4" w:space="0"/>
            </w:tcBorders>
            <w:noWrap w:val="0"/>
            <w:vAlign w:val="center"/>
          </w:tcPr>
          <w:p>
            <w:pPr>
              <w:wordWrap w:val="0"/>
              <w:autoSpaceDE w:val="0"/>
              <w:autoSpaceDN w:val="0"/>
              <w:adjustRightInd w:val="0"/>
              <w:spacing w:line="360" w:lineRule="auto"/>
              <w:ind w:right="-91" w:rightChars="-38"/>
              <w:jc w:val="center"/>
              <w:rPr>
                <w:szCs w:val="28"/>
              </w:rPr>
            </w:pPr>
          </w:p>
        </w:tc>
        <w:tc>
          <w:tcPr>
            <w:tcW w:w="1538" w:type="dxa"/>
            <w:gridSpan w:val="2"/>
            <w:noWrap w:val="0"/>
            <w:vAlign w:val="center"/>
          </w:tcPr>
          <w:p>
            <w:pPr>
              <w:wordWrap w:val="0"/>
              <w:autoSpaceDE w:val="0"/>
              <w:autoSpaceDN w:val="0"/>
              <w:adjustRightInd w:val="0"/>
              <w:spacing w:line="360" w:lineRule="auto"/>
              <w:ind w:right="-91" w:rightChars="-38"/>
              <w:jc w:val="center"/>
              <w:rPr>
                <w:szCs w:val="28"/>
              </w:rPr>
            </w:pPr>
          </w:p>
        </w:tc>
        <w:tc>
          <w:tcPr>
            <w:tcW w:w="1337" w:type="dxa"/>
            <w:noWrap w:val="0"/>
            <w:vAlign w:val="center"/>
          </w:tcPr>
          <w:p>
            <w:pPr>
              <w:wordWrap w:val="0"/>
              <w:autoSpaceDE w:val="0"/>
              <w:autoSpaceDN w:val="0"/>
              <w:adjustRightInd w:val="0"/>
              <w:spacing w:line="360" w:lineRule="auto"/>
              <w:ind w:right="-91" w:rightChars="-38"/>
              <w:jc w:val="center"/>
              <w:rPr>
                <w:szCs w:val="28"/>
              </w:rPr>
            </w:pPr>
          </w:p>
        </w:tc>
      </w:tr>
    </w:tbl>
    <w:p>
      <w:pPr>
        <w:wordWrap w:val="0"/>
        <w:spacing w:line="360" w:lineRule="auto"/>
        <w:ind w:left="723" w:hanging="723" w:hangingChars="300"/>
        <w:jc w:val="left"/>
        <w:rPr>
          <w:szCs w:val="24"/>
          <w:lang w:val="zh-CN"/>
        </w:rPr>
      </w:pPr>
      <w:r>
        <w:rPr>
          <w:rFonts w:hint="eastAsia"/>
          <w:b/>
          <w:szCs w:val="24"/>
          <w:lang w:val="zh-CN"/>
        </w:rPr>
        <w:t>说明：</w:t>
      </w:r>
      <w:r>
        <w:rPr>
          <w:rFonts w:hint="eastAsia"/>
          <w:szCs w:val="24"/>
          <w:lang w:val="zh-CN"/>
        </w:rPr>
        <w:t>应附完整的相关证明材料清晰影印件，未按照要求详细完整填写此表，导致的后果由投标人自行承担。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pPr>
      <w:r>
        <w:rPr>
          <w:rFonts w:hint="eastAsia"/>
          <w:szCs w:val="24"/>
        </w:rPr>
        <w:t>日   期：</w:t>
      </w:r>
      <w:r>
        <w:rPr>
          <w:rFonts w:hint="eastAsia"/>
          <w:bCs/>
          <w:u w:val="single"/>
        </w:rPr>
        <w:t xml:space="preserve">                               </w:t>
      </w:r>
    </w:p>
    <w:p>
      <w:pPr>
        <w:pStyle w:val="3"/>
        <w:numPr>
          <w:ilvl w:val="0"/>
          <w:numId w:val="65"/>
        </w:numPr>
        <w:wordWrap w:val="0"/>
        <w:spacing w:before="40" w:after="40" w:line="360" w:lineRule="auto"/>
        <w:ind w:left="1285" w:hanging="1285"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p>
    <w:p>
      <w:pPr>
        <w:pStyle w:val="3"/>
        <w:numPr>
          <w:ilvl w:val="0"/>
          <w:numId w:val="63"/>
        </w:numPr>
        <w:tabs>
          <w:tab w:val="left" w:pos="567"/>
        </w:tabs>
        <w:spacing w:line="360" w:lineRule="auto"/>
        <w:ind w:left="482" w:hanging="480" w:hangingChars="200"/>
        <w:jc w:val="left"/>
        <w:rPr>
          <w:rFonts w:ascii="宋体" w:hAnsi="宋体" w:eastAsia="宋体"/>
          <w:sz w:val="24"/>
          <w:szCs w:val="24"/>
        </w:rPr>
      </w:pPr>
      <w:bookmarkStart w:id="635" w:name="_Toc117244511"/>
      <w:bookmarkStart w:id="636" w:name="_Toc117244396"/>
      <w:bookmarkStart w:id="637" w:name="_Toc107561315"/>
      <w:bookmarkStart w:id="638" w:name="_Toc13271"/>
      <w:r>
        <w:rPr>
          <w:rFonts w:hint="eastAsia" w:ascii="宋体" w:hAnsi="宋体" w:eastAsia="宋体"/>
          <w:sz w:val="24"/>
          <w:szCs w:val="24"/>
        </w:rPr>
        <w:t>项目班子成员情况表</w:t>
      </w:r>
      <w:bookmarkEnd w:id="635"/>
      <w:bookmarkEnd w:id="636"/>
      <w:bookmarkEnd w:id="637"/>
      <w:bookmarkEnd w:id="638"/>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108" w:type="dxa"/>
          <w:bottom w:w="0" w:type="dxa"/>
          <w:right w:w="108" w:type="dxa"/>
        </w:tblCellMar>
      </w:tblPr>
      <w:tblGrid>
        <w:gridCol w:w="588"/>
        <w:gridCol w:w="1113"/>
        <w:gridCol w:w="1533"/>
        <w:gridCol w:w="1134"/>
        <w:gridCol w:w="1491"/>
        <w:gridCol w:w="1843"/>
        <w:gridCol w:w="184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99" w:hRule="atLeast"/>
          <w:jc w:val="center"/>
        </w:trPr>
        <w:tc>
          <w:tcPr>
            <w:tcW w:w="588" w:type="dxa"/>
            <w:shd w:val="pct10" w:color="C3BD96" w:fill="DDD9C4"/>
            <w:noWrap w:val="0"/>
            <w:vAlign w:val="center"/>
          </w:tcPr>
          <w:p>
            <w:pPr>
              <w:wordWrap w:val="0"/>
              <w:spacing w:before="100" w:beforeAutospacing="1" w:after="100" w:afterAutospacing="1" w:line="360" w:lineRule="auto"/>
              <w:ind w:left="-120" w:leftChars="-50" w:right="-120" w:rightChars="-50"/>
              <w:jc w:val="center"/>
              <w:rPr>
                <w:b/>
                <w:szCs w:val="24"/>
              </w:rPr>
            </w:pPr>
            <w:r>
              <w:rPr>
                <w:rFonts w:hint="eastAsia" w:cs="仿宋_GB2312"/>
                <w:b/>
                <w:szCs w:val="24"/>
              </w:rPr>
              <w:t>序号</w:t>
            </w:r>
          </w:p>
        </w:tc>
        <w:tc>
          <w:tcPr>
            <w:tcW w:w="1113" w:type="dxa"/>
            <w:shd w:val="pct10" w:color="C3BD96" w:fill="DDD9C4"/>
            <w:noWrap w:val="0"/>
            <w:vAlign w:val="center"/>
          </w:tcPr>
          <w:p>
            <w:pPr>
              <w:wordWrap w:val="0"/>
              <w:spacing w:before="100" w:beforeAutospacing="1" w:after="100" w:afterAutospacing="1" w:line="360" w:lineRule="auto"/>
              <w:jc w:val="center"/>
              <w:rPr>
                <w:b/>
                <w:szCs w:val="24"/>
              </w:rPr>
            </w:pPr>
            <w:r>
              <w:rPr>
                <w:rFonts w:hint="eastAsia"/>
                <w:b/>
                <w:szCs w:val="24"/>
              </w:rPr>
              <w:t>姓 名</w:t>
            </w:r>
          </w:p>
        </w:tc>
        <w:tc>
          <w:tcPr>
            <w:tcW w:w="1533" w:type="dxa"/>
            <w:shd w:val="pct10" w:color="C3BD96" w:fill="DDD9C4"/>
            <w:noWrap w:val="0"/>
            <w:vAlign w:val="center"/>
          </w:tcPr>
          <w:p>
            <w:pPr>
              <w:wordWrap w:val="0"/>
              <w:spacing w:before="100" w:beforeAutospacing="1" w:after="100" w:afterAutospacing="1" w:line="360" w:lineRule="auto"/>
              <w:jc w:val="center"/>
              <w:rPr>
                <w:b/>
                <w:szCs w:val="24"/>
              </w:rPr>
            </w:pPr>
            <w:r>
              <w:rPr>
                <w:rFonts w:hint="eastAsia"/>
                <w:b/>
                <w:szCs w:val="24"/>
              </w:rPr>
              <w:t>专 业</w:t>
            </w:r>
          </w:p>
        </w:tc>
        <w:tc>
          <w:tcPr>
            <w:tcW w:w="1134" w:type="dxa"/>
            <w:shd w:val="pct10" w:color="C3BD96" w:fill="DDD9C4"/>
            <w:noWrap w:val="0"/>
            <w:vAlign w:val="center"/>
          </w:tcPr>
          <w:p>
            <w:pPr>
              <w:wordWrap w:val="0"/>
              <w:spacing w:before="100" w:beforeAutospacing="1" w:after="100" w:afterAutospacing="1" w:line="360" w:lineRule="auto"/>
              <w:jc w:val="center"/>
              <w:rPr>
                <w:b/>
                <w:szCs w:val="24"/>
              </w:rPr>
            </w:pPr>
            <w:r>
              <w:rPr>
                <w:rFonts w:hint="eastAsia"/>
                <w:b/>
                <w:szCs w:val="24"/>
              </w:rPr>
              <w:t>年 龄</w:t>
            </w:r>
          </w:p>
        </w:tc>
        <w:tc>
          <w:tcPr>
            <w:tcW w:w="1491" w:type="dxa"/>
            <w:shd w:val="pct10" w:color="C3BD96" w:fill="DDD9C4"/>
            <w:noWrap w:val="0"/>
            <w:vAlign w:val="center"/>
          </w:tcPr>
          <w:p>
            <w:pPr>
              <w:wordWrap w:val="0"/>
              <w:spacing w:before="100" w:beforeAutospacing="1" w:after="100" w:afterAutospacing="1" w:line="360" w:lineRule="auto"/>
              <w:jc w:val="center"/>
              <w:rPr>
                <w:b/>
                <w:szCs w:val="24"/>
              </w:rPr>
            </w:pPr>
            <w:r>
              <w:rPr>
                <w:rFonts w:hint="eastAsia"/>
                <w:b/>
                <w:szCs w:val="28"/>
              </w:rPr>
              <w:t>从事本行业工作年限</w:t>
            </w:r>
          </w:p>
        </w:tc>
        <w:tc>
          <w:tcPr>
            <w:tcW w:w="1843" w:type="dxa"/>
            <w:shd w:val="pct10" w:color="C3BD96" w:fill="DDD9C4"/>
            <w:noWrap w:val="0"/>
            <w:vAlign w:val="center"/>
          </w:tcPr>
          <w:p>
            <w:pPr>
              <w:wordWrap w:val="0"/>
              <w:spacing w:before="100" w:beforeAutospacing="1" w:after="100" w:afterAutospacing="1" w:line="360" w:lineRule="auto"/>
              <w:jc w:val="center"/>
              <w:rPr>
                <w:b/>
                <w:szCs w:val="24"/>
              </w:rPr>
            </w:pPr>
            <w:r>
              <w:rPr>
                <w:rFonts w:hint="eastAsia"/>
                <w:b/>
                <w:szCs w:val="24"/>
              </w:rPr>
              <w:t>在本项目中承担的工作</w:t>
            </w:r>
          </w:p>
        </w:tc>
        <w:tc>
          <w:tcPr>
            <w:tcW w:w="1842" w:type="dxa"/>
            <w:shd w:val="pct10" w:color="C3BD96" w:fill="DDD9C4"/>
            <w:noWrap w:val="0"/>
            <w:vAlign w:val="center"/>
          </w:tcPr>
          <w:p>
            <w:pPr>
              <w:wordWrap w:val="0"/>
              <w:spacing w:before="100" w:beforeAutospacing="1" w:after="100" w:afterAutospacing="1" w:line="360" w:lineRule="auto"/>
              <w:jc w:val="center"/>
              <w:rPr>
                <w:b/>
                <w:szCs w:val="24"/>
              </w:rPr>
            </w:pPr>
            <w:r>
              <w:rPr>
                <w:rFonts w:hint="eastAsia"/>
                <w:b/>
                <w:szCs w:val="28"/>
              </w:rPr>
              <w:t>个人专业资质及证书</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numPr>
                <w:ilvl w:val="0"/>
                <w:numId w:val="73"/>
              </w:numPr>
              <w:tabs>
                <w:tab w:val="left" w:pos="61"/>
              </w:tabs>
              <w:wordWrap w:val="0"/>
              <w:adjustRightInd w:val="0"/>
              <w:snapToGrid w:val="0"/>
              <w:spacing w:line="360" w:lineRule="auto"/>
              <w:ind w:left="-72" w:leftChars="-30" w:firstLine="0"/>
              <w:jc w:val="center"/>
            </w:pP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4" w:hRule="atLeast"/>
          <w:jc w:val="center"/>
        </w:trPr>
        <w:tc>
          <w:tcPr>
            <w:tcW w:w="588" w:type="dxa"/>
            <w:noWrap w:val="0"/>
            <w:vAlign w:val="center"/>
          </w:tcPr>
          <w:p>
            <w:pPr>
              <w:wordWrap w:val="0"/>
              <w:spacing w:line="360" w:lineRule="auto"/>
              <w:jc w:val="center"/>
              <w:rPr>
                <w:szCs w:val="24"/>
              </w:rPr>
            </w:pPr>
            <w:r>
              <w:rPr>
                <w:szCs w:val="24"/>
              </w:rPr>
              <w:t>…</w:t>
            </w:r>
          </w:p>
        </w:tc>
        <w:tc>
          <w:tcPr>
            <w:tcW w:w="1113" w:type="dxa"/>
            <w:noWrap w:val="0"/>
            <w:vAlign w:val="center"/>
          </w:tcPr>
          <w:p>
            <w:pPr>
              <w:wordWrap w:val="0"/>
              <w:spacing w:line="360" w:lineRule="auto"/>
              <w:jc w:val="center"/>
              <w:rPr>
                <w:szCs w:val="24"/>
              </w:rPr>
            </w:pPr>
          </w:p>
        </w:tc>
        <w:tc>
          <w:tcPr>
            <w:tcW w:w="1533" w:type="dxa"/>
            <w:noWrap w:val="0"/>
            <w:vAlign w:val="center"/>
          </w:tcPr>
          <w:p>
            <w:pPr>
              <w:wordWrap w:val="0"/>
              <w:spacing w:line="360" w:lineRule="auto"/>
              <w:jc w:val="center"/>
              <w:rPr>
                <w:szCs w:val="24"/>
              </w:rPr>
            </w:pPr>
          </w:p>
        </w:tc>
        <w:tc>
          <w:tcPr>
            <w:tcW w:w="1134" w:type="dxa"/>
            <w:noWrap w:val="0"/>
            <w:vAlign w:val="center"/>
          </w:tcPr>
          <w:p>
            <w:pPr>
              <w:wordWrap w:val="0"/>
              <w:spacing w:line="360" w:lineRule="auto"/>
              <w:jc w:val="center"/>
              <w:rPr>
                <w:szCs w:val="24"/>
              </w:rPr>
            </w:pPr>
          </w:p>
        </w:tc>
        <w:tc>
          <w:tcPr>
            <w:tcW w:w="1491" w:type="dxa"/>
            <w:noWrap w:val="0"/>
            <w:vAlign w:val="center"/>
          </w:tcPr>
          <w:p>
            <w:pPr>
              <w:wordWrap w:val="0"/>
              <w:spacing w:line="360" w:lineRule="auto"/>
              <w:jc w:val="center"/>
              <w:rPr>
                <w:szCs w:val="24"/>
              </w:rPr>
            </w:pPr>
          </w:p>
        </w:tc>
        <w:tc>
          <w:tcPr>
            <w:tcW w:w="1843" w:type="dxa"/>
            <w:noWrap w:val="0"/>
            <w:vAlign w:val="center"/>
          </w:tcPr>
          <w:p>
            <w:pPr>
              <w:wordWrap w:val="0"/>
              <w:spacing w:line="360" w:lineRule="auto"/>
              <w:jc w:val="center"/>
              <w:rPr>
                <w:szCs w:val="24"/>
              </w:rPr>
            </w:pPr>
          </w:p>
        </w:tc>
        <w:tc>
          <w:tcPr>
            <w:tcW w:w="1842" w:type="dxa"/>
            <w:noWrap w:val="0"/>
            <w:vAlign w:val="center"/>
          </w:tcPr>
          <w:p>
            <w:pPr>
              <w:wordWrap w:val="0"/>
              <w:spacing w:line="360" w:lineRule="auto"/>
              <w:jc w:val="center"/>
              <w:rPr>
                <w:szCs w:val="24"/>
              </w:rPr>
            </w:pPr>
          </w:p>
        </w:tc>
      </w:tr>
    </w:tbl>
    <w:p>
      <w:pPr>
        <w:wordWrap w:val="0"/>
        <w:spacing w:line="360" w:lineRule="auto"/>
        <w:ind w:left="754" w:hanging="751" w:hangingChars="313"/>
        <w:jc w:val="left"/>
        <w:rPr>
          <w:szCs w:val="24"/>
          <w:lang w:val="zh-CN"/>
        </w:rPr>
      </w:pPr>
      <w:r>
        <w:rPr>
          <w:rFonts w:hint="eastAsia"/>
          <w:b/>
          <w:szCs w:val="24"/>
          <w:lang w:val="zh-CN"/>
        </w:rPr>
        <w:t>说明：</w:t>
      </w:r>
      <w:r>
        <w:rPr>
          <w:rFonts w:hint="eastAsia"/>
        </w:rPr>
        <w:t>应附完整的相关证明材料清晰影印件</w:t>
      </w:r>
      <w:r>
        <w:rPr>
          <w:rFonts w:hint="eastAsia"/>
          <w:szCs w:val="24"/>
          <w:lang w:val="zh-CN"/>
        </w:rPr>
        <w:t>，</w:t>
      </w:r>
      <w:r>
        <w:rPr>
          <w:rFonts w:hint="eastAsia" w:cs="Corbel"/>
          <w:szCs w:val="21"/>
          <w:lang w:val="zh-CN"/>
        </w:rPr>
        <w:t>未按照要求详细完整填写此表，</w:t>
      </w:r>
      <w:r>
        <w:rPr>
          <w:rFonts w:hint="eastAsia"/>
          <w:szCs w:val="21"/>
          <w:lang w:val="zh-CN"/>
        </w:rPr>
        <w:t>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pStyle w:val="3"/>
        <w:numPr>
          <w:ilvl w:val="0"/>
          <w:numId w:val="65"/>
        </w:numPr>
        <w:wordWrap w:val="0"/>
        <w:spacing w:before="40" w:after="40" w:line="360" w:lineRule="auto"/>
        <w:ind w:left="1285" w:hanging="1280"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AndChars" w:linePitch="312" w:charSpace="0"/>
        </w:sectPr>
      </w:pPr>
    </w:p>
    <w:p>
      <w:pPr>
        <w:pStyle w:val="3"/>
        <w:numPr>
          <w:ilvl w:val="0"/>
          <w:numId w:val="63"/>
        </w:numPr>
        <w:tabs>
          <w:tab w:val="left" w:pos="567"/>
        </w:tabs>
        <w:spacing w:line="360" w:lineRule="auto"/>
        <w:ind w:left="482" w:hanging="480" w:hangingChars="200"/>
        <w:jc w:val="left"/>
        <w:rPr>
          <w:rFonts w:ascii="宋体" w:hAnsi="宋体" w:eastAsia="宋体"/>
          <w:sz w:val="24"/>
          <w:szCs w:val="24"/>
        </w:rPr>
      </w:pPr>
      <w:bookmarkStart w:id="639" w:name="_Toc117244397"/>
      <w:bookmarkStart w:id="640" w:name="_Toc420"/>
      <w:bookmarkStart w:id="641" w:name="_Toc107561316"/>
      <w:bookmarkStart w:id="642" w:name="_Toc117244512"/>
      <w:r>
        <w:rPr>
          <w:rFonts w:hint="eastAsia" w:ascii="宋体" w:hAnsi="宋体" w:eastAsia="宋体"/>
          <w:sz w:val="24"/>
          <w:szCs w:val="24"/>
        </w:rPr>
        <w:t>投标人类似项目业绩表</w:t>
      </w:r>
      <w:bookmarkEnd w:id="639"/>
      <w:bookmarkEnd w:id="640"/>
      <w:bookmarkEnd w:id="641"/>
      <w:bookmarkEnd w:id="642"/>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wordWrap w:val="0"/>
        <w:spacing w:line="360" w:lineRule="auto"/>
        <w:jc w:val="left"/>
        <w:rPr>
          <w:b/>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9420"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2220"/>
        <w:gridCol w:w="7200"/>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40"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项目单位名称</w:t>
            </w:r>
          </w:p>
        </w:tc>
        <w:tc>
          <w:tcPr>
            <w:tcW w:w="7200" w:type="dxa"/>
            <w:noWrap w:val="0"/>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4"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项目名称</w:t>
            </w:r>
          </w:p>
        </w:tc>
        <w:tc>
          <w:tcPr>
            <w:tcW w:w="7200" w:type="dxa"/>
            <w:noWrap w:val="0"/>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467"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项目单位联系人姓名及联系方式</w:t>
            </w:r>
          </w:p>
        </w:tc>
        <w:tc>
          <w:tcPr>
            <w:tcW w:w="7200" w:type="dxa"/>
            <w:noWrap w:val="0"/>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23"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项目金额</w:t>
            </w:r>
          </w:p>
        </w:tc>
        <w:tc>
          <w:tcPr>
            <w:tcW w:w="7200" w:type="dxa"/>
            <w:noWrap w:val="0"/>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03"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项目负责人姓名</w:t>
            </w:r>
          </w:p>
        </w:tc>
        <w:tc>
          <w:tcPr>
            <w:tcW w:w="7200" w:type="dxa"/>
            <w:noWrap w:val="0"/>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04"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项目时间</w:t>
            </w:r>
          </w:p>
        </w:tc>
        <w:tc>
          <w:tcPr>
            <w:tcW w:w="7200" w:type="dxa"/>
            <w:noWrap w:val="0"/>
            <w:vAlign w:val="center"/>
          </w:tcPr>
          <w:p>
            <w:pPr>
              <w:wordWrap w:val="0"/>
              <w:spacing w:line="360" w:lineRule="auto"/>
              <w:rPr>
                <w:rFonts w:cs="Courier New"/>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2458" w:hRule="atLeast"/>
          <w:jc w:val="center"/>
        </w:trPr>
        <w:tc>
          <w:tcPr>
            <w:tcW w:w="2220" w:type="dxa"/>
            <w:noWrap w:val="0"/>
            <w:vAlign w:val="center"/>
          </w:tcPr>
          <w:p>
            <w:pPr>
              <w:wordWrap w:val="0"/>
              <w:spacing w:line="360" w:lineRule="auto"/>
              <w:jc w:val="center"/>
              <w:rPr>
                <w:rFonts w:cs="Courier New"/>
                <w:szCs w:val="24"/>
              </w:rPr>
            </w:pPr>
            <w:r>
              <w:rPr>
                <w:rFonts w:hint="eastAsia" w:cs="Courier New"/>
                <w:szCs w:val="24"/>
              </w:rPr>
              <w:t>项目内容</w:t>
            </w:r>
          </w:p>
        </w:tc>
        <w:tc>
          <w:tcPr>
            <w:tcW w:w="7200" w:type="dxa"/>
            <w:noWrap w:val="0"/>
            <w:vAlign w:val="top"/>
          </w:tcPr>
          <w:p>
            <w:pPr>
              <w:wordWrap w:val="0"/>
              <w:spacing w:line="360" w:lineRule="auto"/>
              <w:rPr>
                <w:rFonts w:cs="Courier New"/>
                <w:szCs w:val="24"/>
              </w:rPr>
            </w:pPr>
          </w:p>
        </w:tc>
      </w:tr>
    </w:tbl>
    <w:p>
      <w:pPr>
        <w:wordWrap w:val="0"/>
        <w:spacing w:line="360" w:lineRule="auto"/>
        <w:ind w:left="1132" w:hanging="1128" w:hangingChars="470"/>
        <w:jc w:val="left"/>
        <w:rPr>
          <w:szCs w:val="24"/>
        </w:rPr>
      </w:pPr>
      <w:r>
        <w:rPr>
          <w:rFonts w:hint="eastAsia"/>
          <w:b/>
          <w:szCs w:val="24"/>
        </w:rPr>
        <w:t>说明：</w:t>
      </w:r>
      <w:r>
        <w:rPr>
          <w:rFonts w:hint="eastAsia"/>
          <w:szCs w:val="24"/>
        </w:rPr>
        <w:t>1、每个合同应单独附表，并附上相关证明材料，</w:t>
      </w:r>
      <w:r>
        <w:rPr>
          <w:rFonts w:hint="eastAsia" w:cs="Corbel"/>
          <w:szCs w:val="24"/>
        </w:rPr>
        <w:t>未按照要求详细完整填写此表，</w:t>
      </w:r>
      <w:r>
        <w:rPr>
          <w:rFonts w:hint="eastAsia"/>
          <w:szCs w:val="24"/>
        </w:rPr>
        <w:t>导致的后果由投标人自行承担。</w:t>
      </w:r>
    </w:p>
    <w:p>
      <w:pPr>
        <w:wordWrap w:val="0"/>
        <w:spacing w:line="360" w:lineRule="auto"/>
        <w:ind w:firstLine="708" w:firstLineChars="295"/>
        <w:jc w:val="left"/>
        <w:rPr>
          <w:szCs w:val="24"/>
        </w:rPr>
      </w:pPr>
      <w:r>
        <w:rPr>
          <w:rFonts w:hint="eastAsia"/>
          <w:szCs w:val="24"/>
        </w:rPr>
        <w:t>2、项目内容请详细说明所承担的具体工作内容等。</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spacing w:line="360" w:lineRule="auto"/>
        <w:rPr>
          <w:szCs w:val="32"/>
        </w:rPr>
      </w:pPr>
    </w:p>
    <w:p>
      <w:pPr>
        <w:spacing w:line="360" w:lineRule="auto"/>
      </w:pPr>
      <w:bookmarkStart w:id="643" w:name="_Toc107561317"/>
    </w:p>
    <w:bookmarkEnd w:id="643"/>
    <w:p>
      <w:pPr>
        <w:pStyle w:val="3"/>
        <w:numPr>
          <w:ilvl w:val="0"/>
          <w:numId w:val="65"/>
        </w:numPr>
        <w:wordWrap w:val="0"/>
        <w:spacing w:before="40" w:after="40" w:line="360" w:lineRule="auto"/>
        <w:ind w:left="1285" w:hanging="1280" w:hangingChars="400"/>
        <w:jc w:val="left"/>
        <w:rPr>
          <w:rFonts w:ascii="宋体" w:hAnsi="宋体" w:eastAsia="宋体" w:cs="Times New Roman"/>
          <w:bCs w:val="0"/>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AndChars" w:linePitch="312" w:charSpace="0"/>
        </w:sectPr>
      </w:pPr>
    </w:p>
    <w:bookmarkEnd w:id="541"/>
    <w:bookmarkEnd w:id="542"/>
    <w:bookmarkEnd w:id="543"/>
    <w:bookmarkEnd w:id="544"/>
    <w:bookmarkEnd w:id="545"/>
    <w:bookmarkEnd w:id="546"/>
    <w:bookmarkEnd w:id="547"/>
    <w:bookmarkEnd w:id="548"/>
    <w:bookmarkEnd w:id="549"/>
    <w:bookmarkEnd w:id="550"/>
    <w:bookmarkEnd w:id="551"/>
    <w:bookmarkEnd w:id="552"/>
    <w:bookmarkEnd w:id="553"/>
    <w:p>
      <w:pPr>
        <w:pStyle w:val="3"/>
        <w:numPr>
          <w:ilvl w:val="0"/>
          <w:numId w:val="63"/>
        </w:numPr>
        <w:tabs>
          <w:tab w:val="left" w:pos="567"/>
        </w:tabs>
        <w:spacing w:after="0" w:line="360" w:lineRule="auto"/>
        <w:ind w:left="482" w:hanging="482" w:hangingChars="200"/>
        <w:jc w:val="left"/>
        <w:rPr>
          <w:b w:val="0"/>
          <w:sz w:val="24"/>
          <w:szCs w:val="24"/>
        </w:rPr>
      </w:pPr>
      <w:bookmarkStart w:id="644" w:name="_Toc30106"/>
      <w:bookmarkStart w:id="645" w:name="_Toc117244513"/>
      <w:bookmarkStart w:id="646" w:name="_Toc117244398"/>
      <w:r>
        <w:rPr>
          <w:rFonts w:hint="eastAsia"/>
          <w:sz w:val="24"/>
          <w:szCs w:val="24"/>
        </w:rPr>
        <w:t>节能</w:t>
      </w:r>
      <w:r>
        <w:rPr>
          <w:sz w:val="24"/>
          <w:szCs w:val="24"/>
        </w:rPr>
        <w:t>、环保、创新产品</w:t>
      </w:r>
      <w:r>
        <w:rPr>
          <w:rFonts w:hint="eastAsia"/>
          <w:sz w:val="24"/>
          <w:szCs w:val="24"/>
        </w:rPr>
        <w:t>明细</w:t>
      </w:r>
      <w:r>
        <w:rPr>
          <w:sz w:val="24"/>
          <w:szCs w:val="24"/>
        </w:rPr>
        <w:t>清单及证明</w:t>
      </w:r>
      <w:r>
        <w:rPr>
          <w:rFonts w:hint="eastAsia"/>
          <w:sz w:val="24"/>
          <w:szCs w:val="24"/>
        </w:rPr>
        <w:t>材料</w:t>
      </w:r>
      <w:r>
        <w:rPr>
          <w:rFonts w:hint="eastAsia" w:ascii="宋体" w:hAnsi="宋体" w:eastAsia="宋体"/>
          <w:sz w:val="24"/>
          <w:szCs w:val="24"/>
        </w:rPr>
        <w:t>（此表非必填项</w:t>
      </w:r>
      <w:r>
        <w:rPr>
          <w:rFonts w:hint="eastAsia" w:ascii="宋体" w:hAnsi="宋体" w:eastAsia="宋体"/>
          <w:sz w:val="24"/>
          <w:szCs w:val="24"/>
          <w:lang w:eastAsia="zh-CN"/>
        </w:rPr>
        <w:t>，</w:t>
      </w:r>
      <w:r>
        <w:rPr>
          <w:rFonts w:hint="eastAsia" w:ascii="宋体" w:hAnsi="宋体" w:eastAsia="宋体"/>
          <w:sz w:val="24"/>
          <w:szCs w:val="24"/>
        </w:rPr>
        <w:t>可选择填写）</w:t>
      </w:r>
      <w:bookmarkEnd w:id="644"/>
    </w:p>
    <w:p>
      <w:pPr>
        <w:spacing w:line="360" w:lineRule="auto"/>
        <w:ind w:firstLine="1200" w:firstLineChars="500"/>
        <w:rPr>
          <w:rFonts w:ascii="楷体" w:hAnsi="楷体" w:eastAsia="楷体"/>
          <w:szCs w:val="24"/>
        </w:rPr>
      </w:pPr>
      <w:r>
        <w:rPr>
          <w:rFonts w:hint="eastAsia" w:ascii="楷体" w:hAnsi="楷体" w:eastAsia="楷体"/>
          <w:szCs w:val="24"/>
        </w:rPr>
        <w:t>（</w:t>
      </w:r>
      <w:r>
        <w:rPr>
          <w:rFonts w:ascii="楷体" w:hAnsi="楷体" w:eastAsia="楷体"/>
          <w:szCs w:val="24"/>
        </w:rPr>
        <w:t>不含强制</w:t>
      </w:r>
      <w:r>
        <w:rPr>
          <w:rFonts w:hint="eastAsia" w:ascii="楷体" w:hAnsi="楷体" w:eastAsia="楷体"/>
          <w:szCs w:val="24"/>
        </w:rPr>
        <w:t>采购</w:t>
      </w:r>
      <w:r>
        <w:rPr>
          <w:rFonts w:ascii="楷体" w:hAnsi="楷体" w:eastAsia="楷体"/>
          <w:szCs w:val="24"/>
        </w:rPr>
        <w:t>的节能</w:t>
      </w:r>
      <w:r>
        <w:rPr>
          <w:rFonts w:hint="eastAsia" w:ascii="楷体" w:hAnsi="楷体" w:eastAsia="楷体"/>
          <w:szCs w:val="24"/>
        </w:rPr>
        <w:t>产品</w:t>
      </w:r>
      <w:r>
        <w:rPr>
          <w:rFonts w:ascii="楷体" w:hAnsi="楷体" w:eastAsia="楷体"/>
          <w:szCs w:val="24"/>
        </w:rPr>
        <w:t>）</w:t>
      </w:r>
    </w:p>
    <w:p>
      <w:pPr>
        <w:wordWrap w:val="0"/>
        <w:spacing w:line="360" w:lineRule="auto"/>
        <w:jc w:val="left"/>
        <w:rPr>
          <w:b/>
        </w:rPr>
      </w:pPr>
      <w:r>
        <w:rPr>
          <w:rFonts w:hint="eastAsia"/>
          <w:b/>
        </w:rPr>
        <w:t>投 标 人：</w:t>
      </w:r>
      <w:r>
        <w:rPr>
          <w:rFonts w:hint="eastAsia"/>
          <w:b/>
          <w:szCs w:val="21"/>
          <w:u w:val="single"/>
          <w:lang w:val="zh-CN"/>
        </w:rPr>
        <w:t xml:space="preserve">                     </w:t>
      </w:r>
      <w:r>
        <w:rPr>
          <w:rFonts w:hint="eastAsia"/>
          <w:b/>
          <w:szCs w:val="21"/>
          <w:lang w:val="zh-CN"/>
        </w:rPr>
        <w:t xml:space="preserve"> </w:t>
      </w:r>
    </w:p>
    <w:p>
      <w:pPr>
        <w:pStyle w:val="11"/>
        <w:spacing w:line="360" w:lineRule="auto"/>
        <w:rPr>
          <w:b/>
          <w:bCs/>
          <w:szCs w:val="21"/>
          <w:u w:val="single"/>
          <w:lang w:val="zh-CN"/>
        </w:rPr>
      </w:pPr>
      <w:r>
        <w:rPr>
          <w:rFonts w:hint="eastAsia"/>
          <w:b/>
          <w:szCs w:val="21"/>
          <w:lang w:val="zh-CN"/>
        </w:rPr>
        <w:t>项目编号：</w:t>
      </w:r>
      <w:r>
        <w:rPr>
          <w:rFonts w:hint="eastAsia"/>
          <w:b/>
          <w:szCs w:val="21"/>
          <w:u w:val="single"/>
          <w:lang w:val="zh-CN"/>
        </w:rPr>
        <w:t xml:space="preserve">                     </w:t>
      </w:r>
      <w:r>
        <w:rPr>
          <w:rFonts w:hint="eastAsia"/>
          <w:b/>
          <w:szCs w:val="21"/>
          <w:lang w:val="zh-CN"/>
        </w:rPr>
        <w:t xml:space="preserve">     </w:t>
      </w:r>
      <w:r>
        <w:rPr>
          <w:rFonts w:hint="eastAsia"/>
          <w:b/>
          <w:bCs/>
          <w:szCs w:val="21"/>
          <w:lang w:val="zh-CN"/>
        </w:rPr>
        <w:t xml:space="preserve">                 </w:t>
      </w:r>
      <w:r>
        <w:rPr>
          <w:b/>
          <w:bCs/>
          <w:szCs w:val="21"/>
          <w:lang w:val="zh-CN"/>
        </w:rPr>
        <w:t xml:space="preserve">         </w:t>
      </w:r>
      <w:r>
        <w:rPr>
          <w:rFonts w:hint="eastAsia"/>
          <w:b/>
          <w:bCs/>
          <w:szCs w:val="21"/>
          <w:lang w:val="zh-CN"/>
        </w:rPr>
        <w:t>包号：</w:t>
      </w:r>
      <w:r>
        <w:rPr>
          <w:rFonts w:hint="eastAsia"/>
          <w:b/>
          <w:bCs/>
          <w:szCs w:val="21"/>
          <w:u w:val="single"/>
          <w:lang w:val="zh-CN"/>
        </w:rPr>
        <w:t xml:space="preserve">          </w:t>
      </w:r>
    </w:p>
    <w:tbl>
      <w:tblPr>
        <w:tblStyle w:val="29"/>
        <w:tblW w:w="951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572"/>
        <w:gridCol w:w="1655"/>
        <w:gridCol w:w="1111"/>
        <w:gridCol w:w="699"/>
        <w:gridCol w:w="699"/>
        <w:gridCol w:w="913"/>
        <w:gridCol w:w="1207"/>
        <w:gridCol w:w="1394"/>
        <w:gridCol w:w="1268"/>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24" w:hRule="atLeast"/>
          <w:jc w:val="center"/>
        </w:trPr>
        <w:tc>
          <w:tcPr>
            <w:tcW w:w="572" w:type="dxa"/>
            <w:shd w:val="pct10" w:color="C3BD96" w:fill="DDD9C4"/>
            <w:noWrap w:val="0"/>
            <w:vAlign w:val="center"/>
          </w:tcPr>
          <w:p>
            <w:pPr>
              <w:spacing w:line="360" w:lineRule="auto"/>
              <w:ind w:left="-120" w:leftChars="-50" w:right="-120" w:rightChars="-50"/>
              <w:jc w:val="center"/>
              <w:rPr>
                <w:rFonts w:cs="宋体"/>
                <w:b/>
              </w:rPr>
            </w:pPr>
            <w:r>
              <w:rPr>
                <w:rFonts w:hint="eastAsia" w:cs="仿宋_GB2312"/>
                <w:b/>
                <w:szCs w:val="24"/>
              </w:rPr>
              <w:t>序号</w:t>
            </w:r>
          </w:p>
        </w:tc>
        <w:tc>
          <w:tcPr>
            <w:tcW w:w="1655" w:type="dxa"/>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名称</w:t>
            </w:r>
          </w:p>
        </w:tc>
        <w:tc>
          <w:tcPr>
            <w:tcW w:w="1111" w:type="dxa"/>
            <w:shd w:val="pct10" w:color="C3BD96" w:fill="DDD9C4"/>
            <w:noWrap w:val="0"/>
            <w:vAlign w:val="center"/>
          </w:tcPr>
          <w:p>
            <w:pPr>
              <w:wordWrap w:val="0"/>
              <w:spacing w:line="360" w:lineRule="auto"/>
              <w:ind w:left="-55" w:leftChars="-23" w:right="-74" w:rightChars="-31"/>
              <w:jc w:val="center"/>
              <w:rPr>
                <w:rFonts w:cs="宋体"/>
                <w:b/>
              </w:rPr>
            </w:pPr>
            <w:r>
              <w:rPr>
                <w:rFonts w:hint="eastAsia"/>
                <w:b/>
              </w:rPr>
              <w:t>品牌规格型号</w:t>
            </w:r>
          </w:p>
        </w:tc>
        <w:tc>
          <w:tcPr>
            <w:tcW w:w="699" w:type="dxa"/>
            <w:tcBorders>
              <w:right w:val="single" w:color="auto" w:sz="4" w:space="0"/>
            </w:tcBorders>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数量</w:t>
            </w:r>
          </w:p>
        </w:tc>
        <w:tc>
          <w:tcPr>
            <w:tcW w:w="699" w:type="dxa"/>
            <w:tcBorders>
              <w:left w:val="single" w:color="auto" w:sz="4" w:space="0"/>
            </w:tcBorders>
            <w:shd w:val="pct10" w:color="C3BD96" w:fill="DDD9C4"/>
            <w:noWrap w:val="0"/>
            <w:vAlign w:val="center"/>
          </w:tcPr>
          <w:p>
            <w:pPr>
              <w:wordWrap w:val="0"/>
              <w:spacing w:line="360" w:lineRule="auto"/>
              <w:ind w:left="-55" w:leftChars="-23" w:right="-74" w:rightChars="-31"/>
              <w:jc w:val="center"/>
              <w:rPr>
                <w:rFonts w:cs="宋体"/>
                <w:b/>
              </w:rPr>
            </w:pPr>
            <w:r>
              <w:rPr>
                <w:rFonts w:hint="eastAsia" w:cs="宋体"/>
                <w:b/>
              </w:rPr>
              <w:t>单位</w:t>
            </w:r>
          </w:p>
        </w:tc>
        <w:tc>
          <w:tcPr>
            <w:tcW w:w="913" w:type="dxa"/>
            <w:shd w:val="pct10" w:color="C3BD96" w:fill="DDD9C4"/>
            <w:noWrap w:val="0"/>
            <w:vAlign w:val="center"/>
          </w:tcPr>
          <w:p>
            <w:pPr>
              <w:wordWrap w:val="0"/>
              <w:spacing w:line="360" w:lineRule="auto"/>
              <w:ind w:left="-26" w:leftChars="-11" w:right="-74" w:rightChars="-31"/>
              <w:jc w:val="center"/>
              <w:rPr>
                <w:rFonts w:cs="宋体"/>
                <w:b/>
              </w:rPr>
            </w:pPr>
            <w:r>
              <w:rPr>
                <w:rFonts w:hint="eastAsia" w:cs="宋体"/>
                <w:b/>
              </w:rPr>
              <w:t>单价（</w:t>
            </w:r>
            <w:r>
              <w:rPr>
                <w:rFonts w:cs="宋体"/>
                <w:b/>
              </w:rPr>
              <w:t>元）</w:t>
            </w:r>
          </w:p>
        </w:tc>
        <w:tc>
          <w:tcPr>
            <w:tcW w:w="1207" w:type="dxa"/>
            <w:shd w:val="pct10" w:color="C3BD96" w:fill="DDD9C4"/>
            <w:noWrap w:val="0"/>
            <w:vAlign w:val="center"/>
          </w:tcPr>
          <w:p>
            <w:pPr>
              <w:spacing w:line="360" w:lineRule="auto"/>
              <w:ind w:left="-120" w:leftChars="-50" w:right="-120" w:rightChars="-50"/>
              <w:jc w:val="center"/>
              <w:rPr>
                <w:rFonts w:cs="宋体"/>
                <w:b/>
              </w:rPr>
            </w:pPr>
            <w:r>
              <w:rPr>
                <w:rFonts w:hint="eastAsia" w:cs="宋体"/>
                <w:b/>
              </w:rPr>
              <w:t>分项</w:t>
            </w:r>
            <w:r>
              <w:rPr>
                <w:rFonts w:hint="eastAsia" w:cs="仿宋_GB2312"/>
                <w:b/>
                <w:szCs w:val="24"/>
              </w:rPr>
              <w:t>合计</w:t>
            </w:r>
            <w:r>
              <w:rPr>
                <w:rFonts w:hint="eastAsia" w:cs="宋体"/>
                <w:b/>
              </w:rPr>
              <w:t>（</w:t>
            </w:r>
            <w:r>
              <w:rPr>
                <w:rFonts w:cs="宋体"/>
                <w:b/>
              </w:rPr>
              <w:t>元</w:t>
            </w:r>
            <w:r>
              <w:rPr>
                <w:rFonts w:hint="eastAsia" w:cs="宋体"/>
                <w:b/>
              </w:rPr>
              <w:t>）</w:t>
            </w:r>
          </w:p>
        </w:tc>
        <w:tc>
          <w:tcPr>
            <w:tcW w:w="1394" w:type="dxa"/>
            <w:shd w:val="pct10" w:color="C3BD96" w:fill="DDD9C4"/>
            <w:noWrap w:val="0"/>
            <w:vAlign w:val="center"/>
          </w:tcPr>
          <w:p>
            <w:pPr>
              <w:spacing w:line="360" w:lineRule="auto"/>
              <w:ind w:left="-120" w:leftChars="-50" w:right="-120" w:rightChars="-50"/>
              <w:jc w:val="center"/>
              <w:rPr>
                <w:rFonts w:cs="宋体"/>
                <w:b/>
              </w:rPr>
            </w:pPr>
            <w:r>
              <w:rPr>
                <w:rFonts w:hint="eastAsia" w:cs="宋体"/>
                <w:b/>
              </w:rPr>
              <w:t>节能/</w:t>
            </w:r>
            <w:r>
              <w:rPr>
                <w:rFonts w:cs="宋体"/>
                <w:b/>
              </w:rPr>
              <w:t>环保</w:t>
            </w:r>
            <w:r>
              <w:rPr>
                <w:rFonts w:hint="eastAsia" w:cs="宋体"/>
                <w:b/>
              </w:rPr>
              <w:t>/</w:t>
            </w:r>
            <w:r>
              <w:rPr>
                <w:rFonts w:cs="宋体"/>
                <w:b/>
              </w:rPr>
              <w:t>创新</w:t>
            </w:r>
            <w:r>
              <w:rPr>
                <w:rFonts w:hint="eastAsia" w:cs="仿宋_GB2312"/>
                <w:b/>
                <w:szCs w:val="24"/>
              </w:rPr>
              <w:t>产品</w:t>
            </w:r>
          </w:p>
        </w:tc>
        <w:tc>
          <w:tcPr>
            <w:tcW w:w="1268" w:type="dxa"/>
            <w:shd w:val="pct10" w:color="C3BD96" w:fill="DDD9C4"/>
            <w:noWrap w:val="0"/>
            <w:vAlign w:val="top"/>
          </w:tcPr>
          <w:p>
            <w:pPr>
              <w:spacing w:line="360" w:lineRule="auto"/>
              <w:ind w:left="-120" w:leftChars="-50" w:right="-120" w:rightChars="-50"/>
              <w:jc w:val="center"/>
              <w:rPr>
                <w:rFonts w:cs="宋体"/>
                <w:b/>
              </w:rPr>
            </w:pPr>
            <w:r>
              <w:rPr>
                <w:rFonts w:hint="eastAsia" w:cs="宋体"/>
                <w:b/>
              </w:rPr>
              <w:t>制造厂家（</w:t>
            </w:r>
            <w:r>
              <w:rPr>
                <w:rFonts w:hint="eastAsia" w:cs="仿宋_GB2312"/>
                <w:b/>
                <w:szCs w:val="24"/>
              </w:rPr>
              <w:t>全称</w:t>
            </w:r>
            <w:r>
              <w:rPr>
                <w:rFonts w:hint="eastAsia" w:cs="宋体"/>
                <w:b/>
              </w:rPr>
              <w: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64" w:hRule="atLeast"/>
          <w:jc w:val="center"/>
        </w:trPr>
        <w:tc>
          <w:tcPr>
            <w:tcW w:w="572" w:type="dxa"/>
            <w:noWrap w:val="0"/>
            <w:vAlign w:val="center"/>
          </w:tcPr>
          <w:p>
            <w:pPr>
              <w:wordWrap w:val="0"/>
              <w:spacing w:line="360" w:lineRule="auto"/>
              <w:ind w:left="-55" w:leftChars="-23" w:right="-74" w:rightChars="-31"/>
              <w:jc w:val="center"/>
            </w:pPr>
            <w:r>
              <w:rPr>
                <w:rFonts w:hint="eastAsia"/>
              </w:rPr>
              <w:t>1</w:t>
            </w:r>
          </w:p>
        </w:tc>
        <w:tc>
          <w:tcPr>
            <w:tcW w:w="1655" w:type="dxa"/>
            <w:noWrap w:val="0"/>
            <w:vAlign w:val="center"/>
          </w:tcPr>
          <w:p>
            <w:pPr>
              <w:wordWrap w:val="0"/>
              <w:spacing w:line="360" w:lineRule="auto"/>
              <w:ind w:left="-55" w:leftChars="-23" w:right="-74" w:rightChars="-31"/>
              <w:jc w:val="center"/>
            </w:pPr>
          </w:p>
        </w:tc>
        <w:tc>
          <w:tcPr>
            <w:tcW w:w="1111" w:type="dxa"/>
            <w:noWrap w:val="0"/>
            <w:vAlign w:val="center"/>
          </w:tcPr>
          <w:p>
            <w:pPr>
              <w:wordWrap w:val="0"/>
              <w:spacing w:line="360" w:lineRule="auto"/>
              <w:ind w:left="-55" w:leftChars="-23" w:right="-74" w:rightChars="-31"/>
              <w:jc w:val="left"/>
              <w:rPr>
                <w:rFonts w:cs="宋体"/>
                <w:szCs w:val="24"/>
              </w:rPr>
            </w:pPr>
          </w:p>
        </w:tc>
        <w:tc>
          <w:tcPr>
            <w:tcW w:w="699" w:type="dxa"/>
            <w:tcBorders>
              <w:right w:val="single" w:color="auto" w:sz="4" w:space="0"/>
            </w:tcBorders>
            <w:noWrap w:val="0"/>
            <w:vAlign w:val="center"/>
          </w:tcPr>
          <w:p>
            <w:pPr>
              <w:wordWrap w:val="0"/>
              <w:spacing w:line="360" w:lineRule="auto"/>
              <w:ind w:left="-55" w:leftChars="-23" w:right="-430" w:rightChars="-179"/>
              <w:jc w:val="center"/>
              <w:rPr>
                <w:rFonts w:cs="宋体"/>
                <w:szCs w:val="24"/>
              </w:rPr>
            </w:pPr>
          </w:p>
        </w:tc>
        <w:tc>
          <w:tcPr>
            <w:tcW w:w="699" w:type="dxa"/>
            <w:tcBorders>
              <w:left w:val="single" w:color="auto" w:sz="4" w:space="0"/>
            </w:tcBorders>
            <w:noWrap w:val="0"/>
            <w:vAlign w:val="center"/>
          </w:tcPr>
          <w:p>
            <w:pPr>
              <w:wordWrap w:val="0"/>
              <w:spacing w:line="360" w:lineRule="auto"/>
              <w:ind w:left="-55" w:leftChars="-23" w:right="-430" w:rightChars="-179"/>
              <w:jc w:val="center"/>
              <w:rPr>
                <w:rFonts w:cs="宋体"/>
                <w:szCs w:val="24"/>
              </w:rPr>
            </w:pPr>
          </w:p>
        </w:tc>
        <w:tc>
          <w:tcPr>
            <w:tcW w:w="913" w:type="dxa"/>
            <w:noWrap w:val="0"/>
            <w:vAlign w:val="center"/>
          </w:tcPr>
          <w:p>
            <w:pPr>
              <w:wordWrap w:val="0"/>
              <w:spacing w:line="360" w:lineRule="auto"/>
              <w:ind w:left="-55" w:leftChars="-23" w:right="-74" w:rightChars="-31"/>
              <w:jc w:val="center"/>
              <w:rPr>
                <w:rFonts w:cs="宋体"/>
                <w:szCs w:val="24"/>
              </w:rPr>
            </w:pPr>
          </w:p>
        </w:tc>
        <w:tc>
          <w:tcPr>
            <w:tcW w:w="1207" w:type="dxa"/>
            <w:noWrap w:val="0"/>
            <w:vAlign w:val="center"/>
          </w:tcPr>
          <w:p>
            <w:pPr>
              <w:wordWrap w:val="0"/>
              <w:spacing w:line="360" w:lineRule="auto"/>
              <w:ind w:left="-55" w:leftChars="-23" w:right="-74" w:rightChars="-31"/>
              <w:jc w:val="left"/>
              <w:rPr>
                <w:rFonts w:cs="宋体"/>
                <w:szCs w:val="24"/>
              </w:rPr>
            </w:pPr>
          </w:p>
        </w:tc>
        <w:tc>
          <w:tcPr>
            <w:tcW w:w="1394" w:type="dxa"/>
            <w:noWrap w:val="0"/>
            <w:vAlign w:val="center"/>
          </w:tcPr>
          <w:p>
            <w:pPr>
              <w:wordWrap w:val="0"/>
              <w:spacing w:line="360" w:lineRule="auto"/>
              <w:ind w:left="-55" w:leftChars="-23" w:right="-74" w:rightChars="-31"/>
              <w:jc w:val="center"/>
              <w:rPr>
                <w:rFonts w:cs="宋体"/>
                <w:szCs w:val="24"/>
              </w:rPr>
            </w:pPr>
          </w:p>
        </w:tc>
        <w:tc>
          <w:tcPr>
            <w:tcW w:w="1268" w:type="dxa"/>
            <w:noWrap w:val="0"/>
            <w:vAlign w:val="top"/>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610" w:hRule="atLeast"/>
          <w:jc w:val="center"/>
        </w:trPr>
        <w:tc>
          <w:tcPr>
            <w:tcW w:w="572" w:type="dxa"/>
            <w:noWrap w:val="0"/>
            <w:vAlign w:val="center"/>
          </w:tcPr>
          <w:p>
            <w:pPr>
              <w:wordWrap w:val="0"/>
              <w:spacing w:line="360" w:lineRule="auto"/>
              <w:ind w:left="-55" w:leftChars="-23" w:right="-74" w:rightChars="-31"/>
              <w:jc w:val="center"/>
            </w:pPr>
            <w:r>
              <w:rPr>
                <w:rFonts w:hint="eastAsia"/>
              </w:rPr>
              <w:t>2</w:t>
            </w:r>
          </w:p>
        </w:tc>
        <w:tc>
          <w:tcPr>
            <w:tcW w:w="1655" w:type="dxa"/>
            <w:noWrap w:val="0"/>
            <w:vAlign w:val="center"/>
          </w:tcPr>
          <w:p>
            <w:pPr>
              <w:wordWrap w:val="0"/>
              <w:spacing w:line="360" w:lineRule="auto"/>
              <w:ind w:left="-55" w:leftChars="-23" w:right="-74" w:rightChars="-31"/>
              <w:jc w:val="center"/>
            </w:pPr>
          </w:p>
        </w:tc>
        <w:tc>
          <w:tcPr>
            <w:tcW w:w="1111" w:type="dxa"/>
            <w:noWrap w:val="0"/>
            <w:vAlign w:val="center"/>
          </w:tcPr>
          <w:p>
            <w:pPr>
              <w:wordWrap w:val="0"/>
              <w:spacing w:line="360" w:lineRule="auto"/>
              <w:ind w:left="-55" w:leftChars="-23" w:right="-74" w:rightChars="-31"/>
              <w:jc w:val="left"/>
              <w:rPr>
                <w:rFonts w:cs="宋体"/>
                <w:szCs w:val="24"/>
              </w:rPr>
            </w:pPr>
          </w:p>
        </w:tc>
        <w:tc>
          <w:tcPr>
            <w:tcW w:w="699" w:type="dxa"/>
            <w:tcBorders>
              <w:right w:val="single" w:color="auto" w:sz="4" w:space="0"/>
            </w:tcBorders>
            <w:noWrap w:val="0"/>
            <w:vAlign w:val="center"/>
          </w:tcPr>
          <w:p>
            <w:pPr>
              <w:wordWrap w:val="0"/>
              <w:spacing w:line="360" w:lineRule="auto"/>
              <w:ind w:left="-55" w:leftChars="-23" w:right="-74" w:rightChars="-31"/>
              <w:jc w:val="center"/>
              <w:rPr>
                <w:rFonts w:cs="宋体"/>
                <w:szCs w:val="24"/>
              </w:rPr>
            </w:pPr>
          </w:p>
        </w:tc>
        <w:tc>
          <w:tcPr>
            <w:tcW w:w="699" w:type="dxa"/>
            <w:tcBorders>
              <w:left w:val="single" w:color="auto" w:sz="4" w:space="0"/>
            </w:tcBorders>
            <w:noWrap w:val="0"/>
            <w:vAlign w:val="center"/>
          </w:tcPr>
          <w:p>
            <w:pPr>
              <w:wordWrap w:val="0"/>
              <w:spacing w:line="360" w:lineRule="auto"/>
              <w:ind w:left="-55" w:leftChars="-23" w:right="-74" w:rightChars="-31"/>
              <w:jc w:val="center"/>
              <w:rPr>
                <w:rFonts w:cs="宋体"/>
                <w:szCs w:val="24"/>
              </w:rPr>
            </w:pPr>
          </w:p>
        </w:tc>
        <w:tc>
          <w:tcPr>
            <w:tcW w:w="913" w:type="dxa"/>
            <w:noWrap w:val="0"/>
            <w:vAlign w:val="center"/>
          </w:tcPr>
          <w:p>
            <w:pPr>
              <w:wordWrap w:val="0"/>
              <w:spacing w:line="360" w:lineRule="auto"/>
              <w:ind w:left="-55" w:leftChars="-23" w:right="-74" w:rightChars="-31"/>
              <w:jc w:val="center"/>
              <w:rPr>
                <w:rFonts w:cs="宋体"/>
                <w:szCs w:val="24"/>
              </w:rPr>
            </w:pPr>
          </w:p>
        </w:tc>
        <w:tc>
          <w:tcPr>
            <w:tcW w:w="1207" w:type="dxa"/>
            <w:noWrap w:val="0"/>
            <w:vAlign w:val="center"/>
          </w:tcPr>
          <w:p>
            <w:pPr>
              <w:wordWrap w:val="0"/>
              <w:spacing w:line="360" w:lineRule="auto"/>
              <w:ind w:left="-55" w:leftChars="-23" w:right="-74" w:rightChars="-31"/>
              <w:jc w:val="left"/>
              <w:rPr>
                <w:rFonts w:cs="宋体"/>
                <w:szCs w:val="24"/>
              </w:rPr>
            </w:pPr>
          </w:p>
        </w:tc>
        <w:tc>
          <w:tcPr>
            <w:tcW w:w="1394" w:type="dxa"/>
            <w:noWrap w:val="0"/>
            <w:vAlign w:val="center"/>
          </w:tcPr>
          <w:p>
            <w:pPr>
              <w:wordWrap w:val="0"/>
              <w:spacing w:line="360" w:lineRule="auto"/>
              <w:ind w:left="-55" w:leftChars="-23" w:right="-74" w:rightChars="-31"/>
              <w:jc w:val="center"/>
              <w:rPr>
                <w:rFonts w:cs="宋体"/>
                <w:szCs w:val="24"/>
              </w:rPr>
            </w:pPr>
          </w:p>
        </w:tc>
        <w:tc>
          <w:tcPr>
            <w:tcW w:w="1268" w:type="dxa"/>
            <w:noWrap w:val="0"/>
            <w:vAlign w:val="top"/>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62" w:hRule="atLeast"/>
          <w:jc w:val="center"/>
        </w:trPr>
        <w:tc>
          <w:tcPr>
            <w:tcW w:w="572" w:type="dxa"/>
            <w:noWrap w:val="0"/>
            <w:vAlign w:val="center"/>
          </w:tcPr>
          <w:p>
            <w:pPr>
              <w:wordWrap w:val="0"/>
              <w:spacing w:line="360" w:lineRule="auto"/>
              <w:ind w:left="-55" w:leftChars="-23" w:right="-74" w:rightChars="-31"/>
              <w:jc w:val="center"/>
            </w:pPr>
            <w:r>
              <w:rPr>
                <w:rFonts w:hint="eastAsia"/>
              </w:rPr>
              <w:t>3</w:t>
            </w:r>
          </w:p>
        </w:tc>
        <w:tc>
          <w:tcPr>
            <w:tcW w:w="1655" w:type="dxa"/>
            <w:noWrap w:val="0"/>
            <w:vAlign w:val="center"/>
          </w:tcPr>
          <w:p>
            <w:pPr>
              <w:wordWrap w:val="0"/>
              <w:spacing w:line="360" w:lineRule="auto"/>
              <w:ind w:left="-55" w:leftChars="-23" w:right="-74" w:rightChars="-31"/>
              <w:jc w:val="center"/>
            </w:pPr>
          </w:p>
        </w:tc>
        <w:tc>
          <w:tcPr>
            <w:tcW w:w="1111" w:type="dxa"/>
            <w:noWrap w:val="0"/>
            <w:vAlign w:val="center"/>
          </w:tcPr>
          <w:p>
            <w:pPr>
              <w:wordWrap w:val="0"/>
              <w:spacing w:line="360" w:lineRule="auto"/>
              <w:ind w:left="-55" w:leftChars="-23" w:right="-74" w:rightChars="-31"/>
              <w:jc w:val="left"/>
              <w:rPr>
                <w:rFonts w:cs="宋体"/>
                <w:szCs w:val="24"/>
              </w:rPr>
            </w:pPr>
          </w:p>
        </w:tc>
        <w:tc>
          <w:tcPr>
            <w:tcW w:w="699" w:type="dxa"/>
            <w:tcBorders>
              <w:right w:val="single" w:color="auto" w:sz="4" w:space="0"/>
            </w:tcBorders>
            <w:noWrap w:val="0"/>
            <w:vAlign w:val="center"/>
          </w:tcPr>
          <w:p>
            <w:pPr>
              <w:wordWrap w:val="0"/>
              <w:spacing w:line="360" w:lineRule="auto"/>
              <w:ind w:left="-55" w:leftChars="-23" w:right="-74" w:rightChars="-31"/>
              <w:jc w:val="center"/>
              <w:rPr>
                <w:rFonts w:cs="宋体"/>
                <w:szCs w:val="24"/>
              </w:rPr>
            </w:pPr>
          </w:p>
        </w:tc>
        <w:tc>
          <w:tcPr>
            <w:tcW w:w="699" w:type="dxa"/>
            <w:tcBorders>
              <w:left w:val="single" w:color="auto" w:sz="4" w:space="0"/>
            </w:tcBorders>
            <w:noWrap w:val="0"/>
            <w:vAlign w:val="center"/>
          </w:tcPr>
          <w:p>
            <w:pPr>
              <w:wordWrap w:val="0"/>
              <w:spacing w:line="360" w:lineRule="auto"/>
              <w:ind w:left="-55" w:leftChars="-23" w:right="-74" w:rightChars="-31"/>
              <w:jc w:val="center"/>
              <w:rPr>
                <w:rFonts w:cs="宋体"/>
                <w:szCs w:val="24"/>
              </w:rPr>
            </w:pPr>
          </w:p>
        </w:tc>
        <w:tc>
          <w:tcPr>
            <w:tcW w:w="913" w:type="dxa"/>
            <w:noWrap w:val="0"/>
            <w:vAlign w:val="center"/>
          </w:tcPr>
          <w:p>
            <w:pPr>
              <w:wordWrap w:val="0"/>
              <w:spacing w:line="360" w:lineRule="auto"/>
              <w:ind w:left="-55" w:leftChars="-23" w:right="-74" w:rightChars="-31"/>
              <w:jc w:val="center"/>
              <w:rPr>
                <w:rFonts w:cs="宋体"/>
                <w:szCs w:val="24"/>
              </w:rPr>
            </w:pPr>
          </w:p>
        </w:tc>
        <w:tc>
          <w:tcPr>
            <w:tcW w:w="1207" w:type="dxa"/>
            <w:noWrap w:val="0"/>
            <w:vAlign w:val="center"/>
          </w:tcPr>
          <w:p>
            <w:pPr>
              <w:wordWrap w:val="0"/>
              <w:spacing w:line="360" w:lineRule="auto"/>
              <w:ind w:left="-55" w:leftChars="-23" w:right="-74" w:rightChars="-31"/>
              <w:jc w:val="left"/>
              <w:rPr>
                <w:rFonts w:cs="宋体"/>
                <w:szCs w:val="24"/>
              </w:rPr>
            </w:pPr>
          </w:p>
        </w:tc>
        <w:tc>
          <w:tcPr>
            <w:tcW w:w="1394" w:type="dxa"/>
            <w:noWrap w:val="0"/>
            <w:vAlign w:val="center"/>
          </w:tcPr>
          <w:p>
            <w:pPr>
              <w:wordWrap w:val="0"/>
              <w:spacing w:line="360" w:lineRule="auto"/>
              <w:ind w:left="-55" w:leftChars="-23" w:right="-74" w:rightChars="-31"/>
              <w:jc w:val="center"/>
              <w:rPr>
                <w:rFonts w:cs="宋体"/>
                <w:szCs w:val="24"/>
              </w:rPr>
            </w:pPr>
          </w:p>
        </w:tc>
        <w:tc>
          <w:tcPr>
            <w:tcW w:w="1268" w:type="dxa"/>
            <w:noWrap w:val="0"/>
            <w:vAlign w:val="top"/>
          </w:tcPr>
          <w:p>
            <w:pPr>
              <w:wordWrap w:val="0"/>
              <w:spacing w:line="360" w:lineRule="auto"/>
              <w:ind w:left="-55" w:leftChars="-23" w:right="-74" w:rightChars="-31"/>
              <w:jc w:val="center"/>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570" w:hRule="atLeast"/>
          <w:jc w:val="center"/>
        </w:trPr>
        <w:tc>
          <w:tcPr>
            <w:tcW w:w="572" w:type="dxa"/>
            <w:noWrap w:val="0"/>
            <w:vAlign w:val="center"/>
          </w:tcPr>
          <w:p>
            <w:pPr>
              <w:wordWrap w:val="0"/>
              <w:spacing w:line="360" w:lineRule="auto"/>
              <w:ind w:left="-55" w:leftChars="-23" w:right="-74" w:rightChars="-31"/>
              <w:jc w:val="center"/>
            </w:pPr>
            <w:r>
              <w:rPr>
                <w:rFonts w:hint="eastAsia"/>
              </w:rPr>
              <w:t>…</w:t>
            </w:r>
          </w:p>
        </w:tc>
        <w:tc>
          <w:tcPr>
            <w:tcW w:w="1655" w:type="dxa"/>
            <w:noWrap w:val="0"/>
            <w:vAlign w:val="center"/>
          </w:tcPr>
          <w:p>
            <w:pPr>
              <w:wordWrap w:val="0"/>
              <w:spacing w:line="360" w:lineRule="auto"/>
              <w:ind w:left="-55" w:leftChars="-23" w:right="-74" w:rightChars="-31"/>
              <w:jc w:val="center"/>
              <w:rPr>
                <w:rFonts w:cs="宋体"/>
                <w:szCs w:val="24"/>
              </w:rPr>
            </w:pPr>
            <w:r>
              <w:rPr>
                <w:rFonts w:hint="eastAsia"/>
              </w:rPr>
              <w:t>……</w:t>
            </w:r>
          </w:p>
        </w:tc>
        <w:tc>
          <w:tcPr>
            <w:tcW w:w="1111" w:type="dxa"/>
            <w:noWrap w:val="0"/>
            <w:vAlign w:val="center"/>
          </w:tcPr>
          <w:p>
            <w:pPr>
              <w:wordWrap w:val="0"/>
              <w:spacing w:line="360" w:lineRule="auto"/>
              <w:ind w:left="-55" w:leftChars="-23" w:right="-74" w:rightChars="-31"/>
              <w:jc w:val="left"/>
              <w:rPr>
                <w:rFonts w:cs="宋体"/>
                <w:szCs w:val="24"/>
              </w:rPr>
            </w:pPr>
            <w:r>
              <w:rPr>
                <w:rFonts w:hint="eastAsia"/>
              </w:rPr>
              <w:t>…</w:t>
            </w:r>
          </w:p>
        </w:tc>
        <w:tc>
          <w:tcPr>
            <w:tcW w:w="699" w:type="dxa"/>
            <w:tcBorders>
              <w:right w:val="single" w:color="auto" w:sz="4" w:space="0"/>
            </w:tcBorders>
            <w:noWrap w:val="0"/>
            <w:vAlign w:val="center"/>
          </w:tcPr>
          <w:p>
            <w:pPr>
              <w:wordWrap w:val="0"/>
              <w:spacing w:line="360" w:lineRule="auto"/>
              <w:ind w:left="-55" w:leftChars="-23" w:right="-74" w:rightChars="-31"/>
              <w:jc w:val="center"/>
              <w:rPr>
                <w:rFonts w:cs="宋体"/>
                <w:szCs w:val="24"/>
              </w:rPr>
            </w:pPr>
            <w:r>
              <w:rPr>
                <w:rFonts w:hint="eastAsia"/>
              </w:rPr>
              <w:t>…</w:t>
            </w:r>
          </w:p>
        </w:tc>
        <w:tc>
          <w:tcPr>
            <w:tcW w:w="699" w:type="dxa"/>
            <w:tcBorders>
              <w:left w:val="single" w:color="auto" w:sz="4" w:space="0"/>
            </w:tcBorders>
            <w:noWrap w:val="0"/>
            <w:vAlign w:val="center"/>
          </w:tcPr>
          <w:p>
            <w:pPr>
              <w:wordWrap w:val="0"/>
              <w:spacing w:line="360" w:lineRule="auto"/>
              <w:ind w:left="-55" w:leftChars="-23" w:right="-74" w:rightChars="-31"/>
              <w:jc w:val="center"/>
              <w:rPr>
                <w:rFonts w:cs="宋体"/>
                <w:szCs w:val="24"/>
              </w:rPr>
            </w:pPr>
            <w:r>
              <w:rPr>
                <w:rFonts w:hint="eastAsia"/>
              </w:rPr>
              <w:t>…</w:t>
            </w:r>
          </w:p>
        </w:tc>
        <w:tc>
          <w:tcPr>
            <w:tcW w:w="913" w:type="dxa"/>
            <w:noWrap w:val="0"/>
            <w:vAlign w:val="center"/>
          </w:tcPr>
          <w:p>
            <w:pPr>
              <w:wordWrap w:val="0"/>
              <w:spacing w:line="360" w:lineRule="auto"/>
              <w:ind w:left="-55" w:leftChars="-23" w:right="-74" w:rightChars="-31"/>
              <w:jc w:val="center"/>
              <w:rPr>
                <w:rFonts w:cs="宋体"/>
                <w:szCs w:val="24"/>
              </w:rPr>
            </w:pPr>
            <w:r>
              <w:rPr>
                <w:rFonts w:hint="eastAsia"/>
              </w:rPr>
              <w:t>…</w:t>
            </w:r>
          </w:p>
        </w:tc>
        <w:tc>
          <w:tcPr>
            <w:tcW w:w="1207" w:type="dxa"/>
            <w:noWrap w:val="0"/>
            <w:vAlign w:val="center"/>
          </w:tcPr>
          <w:p>
            <w:pPr>
              <w:wordWrap w:val="0"/>
              <w:spacing w:line="360" w:lineRule="auto"/>
              <w:ind w:left="-55" w:leftChars="-23" w:right="-74" w:rightChars="-31"/>
              <w:jc w:val="left"/>
              <w:rPr>
                <w:rFonts w:cs="宋体"/>
                <w:szCs w:val="24"/>
              </w:rPr>
            </w:pPr>
            <w:r>
              <w:rPr>
                <w:rFonts w:hint="eastAsia"/>
              </w:rPr>
              <w:t>…</w:t>
            </w:r>
          </w:p>
        </w:tc>
        <w:tc>
          <w:tcPr>
            <w:tcW w:w="1394" w:type="dxa"/>
            <w:noWrap w:val="0"/>
            <w:vAlign w:val="center"/>
          </w:tcPr>
          <w:p>
            <w:pPr>
              <w:wordWrap w:val="0"/>
              <w:spacing w:line="360" w:lineRule="auto"/>
              <w:ind w:left="-55" w:leftChars="-23" w:right="-74" w:rightChars="-31"/>
              <w:jc w:val="center"/>
              <w:rPr>
                <w:rFonts w:cs="宋体"/>
                <w:szCs w:val="24"/>
              </w:rPr>
            </w:pPr>
            <w:r>
              <w:rPr>
                <w:rFonts w:hint="eastAsia"/>
              </w:rPr>
              <w:t>…</w:t>
            </w:r>
          </w:p>
        </w:tc>
        <w:tc>
          <w:tcPr>
            <w:tcW w:w="1268" w:type="dxa"/>
            <w:noWrap w:val="0"/>
            <w:vAlign w:val="top"/>
          </w:tcPr>
          <w:p>
            <w:pPr>
              <w:wordWrap w:val="0"/>
              <w:spacing w:line="360" w:lineRule="auto"/>
              <w:ind w:left="-55" w:leftChars="-23" w:right="-74" w:rightChars="-31"/>
              <w:jc w:val="cente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8" w:hRule="atLeast"/>
          <w:jc w:val="center"/>
        </w:trPr>
        <w:tc>
          <w:tcPr>
            <w:tcW w:w="5649" w:type="dxa"/>
            <w:gridSpan w:val="6"/>
            <w:noWrap w:val="0"/>
            <w:vAlign w:val="center"/>
          </w:tcPr>
          <w:p>
            <w:pPr>
              <w:wordWrap w:val="0"/>
              <w:spacing w:line="360" w:lineRule="auto"/>
              <w:ind w:left="-55" w:leftChars="-23" w:right="-74" w:rightChars="-31"/>
              <w:jc w:val="center"/>
              <w:rPr>
                <w:rFonts w:cs="宋体"/>
                <w:b/>
                <w:szCs w:val="24"/>
              </w:rPr>
            </w:pPr>
            <w:r>
              <w:rPr>
                <w:rFonts w:hint="eastAsia" w:cs="宋体"/>
                <w:b/>
                <w:szCs w:val="24"/>
              </w:rPr>
              <w:t>合  计</w:t>
            </w:r>
          </w:p>
        </w:tc>
        <w:tc>
          <w:tcPr>
            <w:tcW w:w="3869" w:type="dxa"/>
            <w:gridSpan w:val="3"/>
            <w:noWrap w:val="0"/>
            <w:vAlign w:val="center"/>
          </w:tcPr>
          <w:p>
            <w:pPr>
              <w:wordWrap w:val="0"/>
              <w:spacing w:line="360" w:lineRule="auto"/>
              <w:ind w:left="-55" w:leftChars="-23" w:right="-74" w:rightChars="-31"/>
              <w:jc w:val="left"/>
              <w:rPr>
                <w:rFonts w:cs="宋体"/>
                <w:szCs w:val="24"/>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trHeight w:val="704" w:hRule="atLeast"/>
          <w:jc w:val="center"/>
        </w:trPr>
        <w:tc>
          <w:tcPr>
            <w:tcW w:w="5649" w:type="dxa"/>
            <w:gridSpan w:val="6"/>
            <w:noWrap w:val="0"/>
            <w:vAlign w:val="center"/>
          </w:tcPr>
          <w:p>
            <w:pPr>
              <w:wordWrap w:val="0"/>
              <w:spacing w:line="360" w:lineRule="auto"/>
              <w:ind w:left="-55" w:leftChars="-23" w:right="-74" w:rightChars="-31"/>
              <w:jc w:val="center"/>
              <w:rPr>
                <w:rFonts w:cs="宋体"/>
                <w:b/>
                <w:szCs w:val="24"/>
              </w:rPr>
            </w:pPr>
            <w:r>
              <w:rPr>
                <w:rFonts w:hint="eastAsia" w:cs="宋体"/>
                <w:b/>
                <w:szCs w:val="24"/>
              </w:rPr>
              <w:t>占</w:t>
            </w:r>
            <w:r>
              <w:rPr>
                <w:rFonts w:cs="宋体"/>
                <w:b/>
                <w:szCs w:val="24"/>
              </w:rPr>
              <w:t>投标金额比例（</w:t>
            </w:r>
            <w:r>
              <w:rPr>
                <w:rFonts w:hint="eastAsia" w:cs="宋体"/>
                <w:b/>
                <w:szCs w:val="24"/>
              </w:rPr>
              <w:t>%）</w:t>
            </w:r>
          </w:p>
        </w:tc>
        <w:tc>
          <w:tcPr>
            <w:tcW w:w="3869" w:type="dxa"/>
            <w:gridSpan w:val="3"/>
            <w:noWrap w:val="0"/>
            <w:vAlign w:val="center"/>
          </w:tcPr>
          <w:p>
            <w:pPr>
              <w:wordWrap w:val="0"/>
              <w:spacing w:line="360" w:lineRule="auto"/>
              <w:ind w:left="-55" w:leftChars="-23" w:right="-74" w:rightChars="-31"/>
              <w:jc w:val="left"/>
              <w:rPr>
                <w:rFonts w:cs="宋体"/>
                <w:szCs w:val="24"/>
              </w:rPr>
            </w:pPr>
          </w:p>
        </w:tc>
      </w:tr>
    </w:tbl>
    <w:p>
      <w:pPr>
        <w:spacing w:line="360" w:lineRule="auto"/>
        <w:ind w:left="723" w:hanging="723" w:hangingChars="300"/>
        <w:rPr>
          <w:b/>
          <w:szCs w:val="24"/>
        </w:rPr>
      </w:pPr>
      <w:r>
        <w:rPr>
          <w:rFonts w:hint="eastAsia"/>
          <w:b/>
          <w:szCs w:val="24"/>
        </w:rPr>
        <w:t>说明：</w:t>
      </w:r>
      <w:r>
        <w:rPr>
          <w:rFonts w:hint="eastAsia"/>
          <w:szCs w:val="24"/>
        </w:rPr>
        <w:t>1、在“节能</w:t>
      </w:r>
      <w:r>
        <w:rPr>
          <w:szCs w:val="24"/>
        </w:rPr>
        <w:t>/环保/创新产品</w:t>
      </w:r>
      <w:r>
        <w:rPr>
          <w:rFonts w:hint="eastAsia"/>
          <w:szCs w:val="24"/>
        </w:rPr>
        <w:t>”栏中注明对应产品属于“节能或环保或创新”产品。</w:t>
      </w:r>
    </w:p>
    <w:p>
      <w:pPr>
        <w:spacing w:line="360" w:lineRule="auto"/>
        <w:ind w:left="1080" w:leftChars="300" w:hanging="360" w:hangingChars="150"/>
        <w:rPr>
          <w:szCs w:val="24"/>
        </w:rPr>
      </w:pPr>
      <w:r>
        <w:rPr>
          <w:rFonts w:hint="eastAsia"/>
          <w:szCs w:val="24"/>
        </w:rPr>
        <w:t>2、节能</w:t>
      </w:r>
      <w:r>
        <w:rPr>
          <w:szCs w:val="24"/>
        </w:rPr>
        <w:t>产品</w:t>
      </w:r>
      <w:r>
        <w:rPr>
          <w:rFonts w:hint="eastAsia"/>
          <w:szCs w:val="24"/>
        </w:rPr>
        <w:t>的应提供《节能产品政府采购品目清单》中</w:t>
      </w:r>
      <w:r>
        <w:rPr>
          <w:szCs w:val="24"/>
        </w:rPr>
        <w:t>相关</w:t>
      </w:r>
      <w:r>
        <w:rPr>
          <w:rFonts w:hint="eastAsia"/>
          <w:szCs w:val="24"/>
        </w:rPr>
        <w:t>产品（所投产品应与清单中产品规格型号一致）</w:t>
      </w:r>
      <w:r>
        <w:rPr>
          <w:szCs w:val="24"/>
        </w:rPr>
        <w:t>截图及</w:t>
      </w:r>
      <w:r>
        <w:rPr>
          <w:rFonts w:hint="eastAsia"/>
          <w:szCs w:val="24"/>
        </w:rPr>
        <w:t>节能</w:t>
      </w:r>
      <w:r>
        <w:rPr>
          <w:szCs w:val="24"/>
        </w:rPr>
        <w:t>产品认证证书复印件</w:t>
      </w:r>
      <w:r>
        <w:rPr>
          <w:rFonts w:hint="eastAsia"/>
          <w:szCs w:val="24"/>
        </w:rPr>
        <w:t>；环保</w:t>
      </w:r>
      <w:r>
        <w:rPr>
          <w:szCs w:val="24"/>
        </w:rPr>
        <w:t>产品</w:t>
      </w:r>
      <w:r>
        <w:rPr>
          <w:rFonts w:hint="eastAsia"/>
          <w:szCs w:val="24"/>
        </w:rPr>
        <w:t>的应提供《环境标志产品政府采购品目清单》中</w:t>
      </w:r>
      <w:r>
        <w:rPr>
          <w:szCs w:val="24"/>
        </w:rPr>
        <w:t>相关</w:t>
      </w:r>
      <w:r>
        <w:rPr>
          <w:rFonts w:hint="eastAsia"/>
          <w:szCs w:val="24"/>
        </w:rPr>
        <w:t>产品（所投产品应与清单中产品规格型号一致）</w:t>
      </w:r>
      <w:r>
        <w:rPr>
          <w:szCs w:val="24"/>
        </w:rPr>
        <w:t>截图及环境标志</w:t>
      </w:r>
      <w:r>
        <w:rPr>
          <w:rFonts w:hint="eastAsia"/>
          <w:szCs w:val="24"/>
        </w:rPr>
        <w:t>产品</w:t>
      </w:r>
      <w:r>
        <w:rPr>
          <w:szCs w:val="24"/>
        </w:rPr>
        <w:t>认证证书复</w:t>
      </w:r>
      <w:r>
        <w:rPr>
          <w:rFonts w:hint="eastAsia"/>
          <w:szCs w:val="24"/>
        </w:rPr>
        <w:t>印</w:t>
      </w:r>
      <w:r>
        <w:rPr>
          <w:szCs w:val="24"/>
        </w:rPr>
        <w:t>件；</w:t>
      </w:r>
      <w:r>
        <w:rPr>
          <w:rFonts w:hint="eastAsia"/>
          <w:szCs w:val="24"/>
        </w:rPr>
        <w:t>创新</w:t>
      </w:r>
      <w:r>
        <w:rPr>
          <w:szCs w:val="24"/>
        </w:rPr>
        <w:t>产品</w:t>
      </w:r>
      <w:r>
        <w:rPr>
          <w:rFonts w:hint="eastAsia"/>
          <w:szCs w:val="24"/>
        </w:rPr>
        <w:t>的应提供行政部门颁发的创新产品应用示范推荐目录（有效期内且所投产品应与清单中产品规格型号一致）。</w:t>
      </w:r>
    </w:p>
    <w:p>
      <w:pPr>
        <w:spacing w:line="360" w:lineRule="auto"/>
        <w:ind w:left="720" w:leftChars="300"/>
        <w:rPr>
          <w:szCs w:val="24"/>
        </w:rPr>
      </w:pPr>
      <w:r>
        <w:rPr>
          <w:rFonts w:hint="eastAsia" w:cs="Corbel"/>
          <w:szCs w:val="24"/>
        </w:rPr>
        <w:t>3、未按要求填写此表并</w:t>
      </w:r>
      <w:r>
        <w:rPr>
          <w:rFonts w:hint="eastAsia"/>
          <w:szCs w:val="24"/>
        </w:rPr>
        <w:t>附相关证明材料，导致的后果由投标人自行承担。</w:t>
      </w:r>
    </w:p>
    <w:p>
      <w:pPr>
        <w:wordWrap w:val="0"/>
        <w:spacing w:before="100" w:beforeAutospacing="1" w:after="100" w:afterAutospacing="1" w:line="360" w:lineRule="auto"/>
        <w:ind w:firstLine="3316" w:firstLineChars="1382"/>
        <w:rPr>
          <w:bCs/>
          <w:u w:val="single"/>
        </w:rPr>
      </w:pPr>
      <w:r>
        <w:rPr>
          <w:rFonts w:hint="eastAsia"/>
          <w:bCs/>
        </w:rPr>
        <w:t>投标人（公章）：</w:t>
      </w:r>
      <w:r>
        <w:rPr>
          <w:rFonts w:hint="eastAsia"/>
          <w:bCs/>
          <w:u w:val="single"/>
        </w:rPr>
        <w:t xml:space="preserve">                          </w:t>
      </w:r>
    </w:p>
    <w:p>
      <w:pPr>
        <w:wordWrap w:val="0"/>
        <w:spacing w:before="100" w:beforeAutospacing="1" w:after="100" w:afterAutospacing="1" w:line="360" w:lineRule="auto"/>
        <w:ind w:firstLine="3316" w:firstLineChars="1382"/>
        <w:rPr>
          <w:bCs/>
        </w:rPr>
      </w:pPr>
      <w:r>
        <w:rPr>
          <w:rFonts w:hint="eastAsia"/>
          <w:szCs w:val="24"/>
        </w:rPr>
        <w:t>日   期：</w:t>
      </w:r>
      <w:r>
        <w:rPr>
          <w:rFonts w:hint="eastAsia"/>
          <w:bCs/>
          <w:u w:val="single"/>
        </w:rPr>
        <w:t xml:space="preserve">                               </w:t>
      </w:r>
    </w:p>
    <w:p>
      <w:pPr>
        <w:widowControl/>
        <w:jc w:val="left"/>
        <w:rPr>
          <w:rFonts w:cs="Times New Roman"/>
          <w:b/>
          <w:bCs/>
          <w:szCs w:val="24"/>
        </w:rPr>
      </w:pPr>
      <w:r>
        <w:rPr>
          <w:szCs w:val="24"/>
        </w:rPr>
        <w:br w:type="page"/>
      </w:r>
    </w:p>
    <w:p>
      <w:pPr>
        <w:pStyle w:val="3"/>
        <w:numPr>
          <w:ilvl w:val="0"/>
          <w:numId w:val="63"/>
        </w:numPr>
        <w:tabs>
          <w:tab w:val="left" w:pos="567"/>
        </w:tabs>
        <w:spacing w:before="0" w:after="0" w:line="360" w:lineRule="auto"/>
        <w:ind w:left="482" w:hanging="482" w:hangingChars="200"/>
        <w:jc w:val="left"/>
        <w:rPr>
          <w:rFonts w:ascii="宋体" w:hAnsi="宋体" w:eastAsia="宋体"/>
          <w:sz w:val="24"/>
          <w:szCs w:val="24"/>
        </w:rPr>
      </w:pPr>
      <w:bookmarkStart w:id="647" w:name="_Toc15425"/>
      <w:r>
        <w:rPr>
          <w:rFonts w:hint="eastAsia" w:ascii="宋体" w:hAnsi="宋体" w:eastAsia="宋体"/>
          <w:sz w:val="24"/>
          <w:szCs w:val="24"/>
        </w:rPr>
        <w:t>享受价格扣除优惠政策应提供的材料</w:t>
      </w:r>
      <w:bookmarkEnd w:id="647"/>
    </w:p>
    <w:p>
      <w:pPr>
        <w:pStyle w:val="11"/>
        <w:spacing w:line="360" w:lineRule="auto"/>
        <w:ind w:firstLine="600" w:firstLineChars="250"/>
        <w:rPr>
          <w:rFonts w:ascii="楷体" w:hAnsi="楷体" w:eastAsia="楷体"/>
          <w:szCs w:val="24"/>
        </w:rPr>
      </w:pPr>
      <w:r>
        <w:rPr>
          <w:rFonts w:hint="eastAsia" w:ascii="楷体" w:hAnsi="楷体" w:eastAsia="楷体"/>
          <w:szCs w:val="24"/>
        </w:rPr>
        <w:t>（按投标人</w:t>
      </w:r>
      <w:r>
        <w:rPr>
          <w:rFonts w:hint="eastAsia" w:ascii="楷体" w:hAnsi="楷体" w:eastAsia="楷体"/>
        </w:rPr>
        <w:t>实际情况</w:t>
      </w:r>
      <w:r>
        <w:rPr>
          <w:rFonts w:hint="eastAsia" w:ascii="楷体" w:hAnsi="楷体" w:eastAsia="楷体"/>
          <w:szCs w:val="24"/>
        </w:rPr>
        <w:t>选择提供）</w:t>
      </w:r>
      <w:bookmarkEnd w:id="645"/>
      <w:bookmarkEnd w:id="646"/>
    </w:p>
    <w:p>
      <w:pPr>
        <w:pStyle w:val="54"/>
        <w:numPr>
          <w:ilvl w:val="0"/>
          <w:numId w:val="74"/>
        </w:numPr>
        <w:tabs>
          <w:tab w:val="left" w:pos="567"/>
        </w:tabs>
        <w:autoSpaceDE w:val="0"/>
        <w:autoSpaceDN w:val="0"/>
        <w:adjustRightInd w:val="0"/>
        <w:spacing w:line="360" w:lineRule="auto"/>
        <w:ind w:hanging="1130" w:firstLineChars="0"/>
        <w:outlineLvl w:val="2"/>
        <w:rPr>
          <w:szCs w:val="32"/>
        </w:rPr>
      </w:pPr>
      <w:r>
        <w:rPr>
          <w:rFonts w:hint="eastAsia"/>
          <w:b/>
          <w:szCs w:val="32"/>
        </w:rPr>
        <w:t>联合协议书（适用于联合体投标）</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w:t>
      </w:r>
      <w:r>
        <w:rPr>
          <w:rFonts w:hint="eastAsia" w:ascii="楷体" w:hAnsi="楷体" w:eastAsia="楷体"/>
        </w:rPr>
        <w:t>资格</w:t>
      </w:r>
      <w:r>
        <w:rPr>
          <w:rFonts w:ascii="楷体" w:hAnsi="楷体" w:eastAsia="楷体"/>
          <w:szCs w:val="32"/>
        </w:rPr>
        <w:t>证明文件</w:t>
      </w:r>
      <w:r>
        <w:rPr>
          <w:rFonts w:hint="eastAsia" w:ascii="楷体" w:hAnsi="楷体" w:eastAsia="楷体"/>
          <w:szCs w:val="32"/>
        </w:rPr>
        <w:t>6.1）</w:t>
      </w:r>
    </w:p>
    <w:p>
      <w:pPr>
        <w:pStyle w:val="54"/>
        <w:numPr>
          <w:ilvl w:val="0"/>
          <w:numId w:val="74"/>
        </w:numPr>
        <w:tabs>
          <w:tab w:val="left" w:pos="567"/>
        </w:tabs>
        <w:autoSpaceDE w:val="0"/>
        <w:autoSpaceDN w:val="0"/>
        <w:adjustRightInd w:val="0"/>
        <w:spacing w:line="360" w:lineRule="auto"/>
        <w:ind w:hanging="1130" w:firstLineChars="0"/>
        <w:outlineLvl w:val="2"/>
        <w:rPr>
          <w:szCs w:val="32"/>
        </w:rPr>
      </w:pPr>
      <w:r>
        <w:rPr>
          <w:rFonts w:hint="eastAsia"/>
          <w:b/>
          <w:szCs w:val="32"/>
        </w:rPr>
        <w:t>分包意向协议书（适用于中标后分包）</w:t>
      </w:r>
    </w:p>
    <w:p>
      <w:pPr>
        <w:pStyle w:val="11"/>
        <w:spacing w:line="360" w:lineRule="auto"/>
        <w:ind w:firstLine="600" w:firstLineChars="250"/>
        <w:rPr>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2</w:t>
      </w:r>
      <w:r>
        <w:rPr>
          <w:rFonts w:hint="eastAsia" w:ascii="楷体" w:hAnsi="楷体" w:eastAsia="楷体"/>
          <w:szCs w:val="32"/>
        </w:rPr>
        <w:t>）</w:t>
      </w:r>
    </w:p>
    <w:p>
      <w:pPr>
        <w:pStyle w:val="54"/>
        <w:numPr>
          <w:ilvl w:val="0"/>
          <w:numId w:val="74"/>
        </w:numPr>
        <w:tabs>
          <w:tab w:val="left" w:pos="567"/>
        </w:tabs>
        <w:autoSpaceDE w:val="0"/>
        <w:autoSpaceDN w:val="0"/>
        <w:adjustRightInd w:val="0"/>
        <w:spacing w:line="360" w:lineRule="auto"/>
        <w:ind w:hanging="1130" w:firstLineChars="0"/>
        <w:outlineLvl w:val="2"/>
        <w:rPr>
          <w:szCs w:val="32"/>
        </w:rPr>
      </w:pPr>
      <w:r>
        <w:rPr>
          <w:rFonts w:hint="eastAsia"/>
          <w:b/>
          <w:szCs w:val="32"/>
        </w:rPr>
        <w:t>中小企业声明函</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3</w:t>
      </w:r>
      <w:r>
        <w:rPr>
          <w:rFonts w:hint="eastAsia" w:ascii="楷体" w:hAnsi="楷体" w:eastAsia="楷体"/>
          <w:szCs w:val="32"/>
        </w:rPr>
        <w:t>）</w:t>
      </w:r>
    </w:p>
    <w:p>
      <w:pPr>
        <w:pStyle w:val="54"/>
        <w:numPr>
          <w:ilvl w:val="0"/>
          <w:numId w:val="74"/>
        </w:numPr>
        <w:tabs>
          <w:tab w:val="left" w:pos="567"/>
        </w:tabs>
        <w:autoSpaceDE w:val="0"/>
        <w:autoSpaceDN w:val="0"/>
        <w:adjustRightInd w:val="0"/>
        <w:spacing w:line="360" w:lineRule="auto"/>
        <w:ind w:hanging="1130" w:firstLineChars="0"/>
        <w:outlineLvl w:val="2"/>
        <w:rPr>
          <w:szCs w:val="32"/>
        </w:rPr>
      </w:pPr>
      <w:r>
        <w:rPr>
          <w:rFonts w:hint="eastAsia"/>
          <w:b/>
          <w:szCs w:val="32"/>
        </w:rPr>
        <w:t>监狱企业的证明文件（适用于监狱企业）</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4</w:t>
      </w:r>
      <w:r>
        <w:rPr>
          <w:rFonts w:hint="eastAsia" w:ascii="楷体" w:hAnsi="楷体" w:eastAsia="楷体"/>
          <w:szCs w:val="32"/>
        </w:rPr>
        <w:t>）</w:t>
      </w:r>
    </w:p>
    <w:p>
      <w:pPr>
        <w:pStyle w:val="54"/>
        <w:numPr>
          <w:ilvl w:val="0"/>
          <w:numId w:val="74"/>
        </w:numPr>
        <w:tabs>
          <w:tab w:val="left" w:pos="567"/>
        </w:tabs>
        <w:autoSpaceDE w:val="0"/>
        <w:autoSpaceDN w:val="0"/>
        <w:adjustRightInd w:val="0"/>
        <w:spacing w:line="360" w:lineRule="auto"/>
        <w:ind w:hanging="1130" w:firstLineChars="0"/>
        <w:outlineLvl w:val="2"/>
        <w:rPr>
          <w:szCs w:val="32"/>
        </w:rPr>
      </w:pPr>
      <w:r>
        <w:rPr>
          <w:rFonts w:hint="eastAsia"/>
          <w:b/>
          <w:szCs w:val="32"/>
        </w:rPr>
        <w:t>残疾人福利性单位声明函（适用于残疾人福利性单位）</w:t>
      </w:r>
    </w:p>
    <w:p>
      <w:pPr>
        <w:pStyle w:val="11"/>
        <w:spacing w:line="360" w:lineRule="auto"/>
        <w:ind w:firstLine="600" w:firstLineChars="250"/>
        <w:rPr>
          <w:rFonts w:ascii="楷体" w:hAnsi="楷体" w:eastAsia="楷体"/>
          <w:szCs w:val="32"/>
        </w:rPr>
      </w:pPr>
      <w:r>
        <w:rPr>
          <w:rFonts w:hint="eastAsia" w:ascii="楷体" w:hAnsi="楷体" w:eastAsia="楷体"/>
          <w:szCs w:val="32"/>
        </w:rPr>
        <w:t>（格式详见资格</w:t>
      </w:r>
      <w:r>
        <w:rPr>
          <w:rFonts w:ascii="楷体" w:hAnsi="楷体" w:eastAsia="楷体"/>
          <w:szCs w:val="32"/>
        </w:rPr>
        <w:t>证明文件</w:t>
      </w:r>
      <w:r>
        <w:rPr>
          <w:rFonts w:hint="eastAsia" w:ascii="楷体" w:hAnsi="楷体" w:eastAsia="楷体"/>
          <w:szCs w:val="32"/>
        </w:rPr>
        <w:t>6.</w:t>
      </w:r>
      <w:r>
        <w:rPr>
          <w:rFonts w:ascii="楷体" w:hAnsi="楷体" w:eastAsia="楷体"/>
          <w:szCs w:val="32"/>
        </w:rPr>
        <w:t>5</w:t>
      </w:r>
      <w:r>
        <w:rPr>
          <w:rFonts w:hint="eastAsia" w:ascii="楷体" w:hAnsi="楷体" w:eastAsia="楷体"/>
          <w:szCs w:val="32"/>
        </w:rPr>
        <w:t>）</w:t>
      </w:r>
    </w:p>
    <w:p>
      <w:pPr>
        <w:pStyle w:val="11"/>
        <w:spacing w:line="360" w:lineRule="auto"/>
        <w:ind w:firstLine="600" w:firstLineChars="250"/>
        <w:rPr>
          <w:rFonts w:ascii="楷体" w:hAnsi="楷体" w:eastAsia="楷体"/>
          <w:szCs w:val="32"/>
        </w:rPr>
      </w:pPr>
    </w:p>
    <w:p>
      <w:pPr>
        <w:pStyle w:val="11"/>
        <w:spacing w:line="360" w:lineRule="auto"/>
        <w:ind w:firstLine="600" w:firstLineChars="250"/>
        <w:rPr>
          <w:rFonts w:ascii="楷体" w:hAnsi="楷体" w:eastAsia="楷体"/>
          <w:szCs w:val="32"/>
        </w:rPr>
      </w:pPr>
    </w:p>
    <w:p>
      <w:pPr>
        <w:pStyle w:val="3"/>
        <w:numPr>
          <w:ilvl w:val="0"/>
          <w:numId w:val="63"/>
        </w:numPr>
        <w:tabs>
          <w:tab w:val="left" w:pos="567"/>
        </w:tabs>
        <w:spacing w:before="0" w:after="0" w:line="360" w:lineRule="auto"/>
        <w:jc w:val="left"/>
        <w:rPr>
          <w:rFonts w:ascii="宋体" w:hAnsi="宋体" w:eastAsia="宋体" w:cs="Times New Roman"/>
          <w:sz w:val="24"/>
          <w:szCs w:val="24"/>
        </w:rPr>
      </w:pPr>
      <w:bookmarkStart w:id="648" w:name="_Toc17788"/>
      <w:bookmarkStart w:id="649" w:name="_Toc117244399"/>
      <w:bookmarkStart w:id="650" w:name="_Toc117244514"/>
      <w:r>
        <w:rPr>
          <w:rFonts w:hint="eastAsia" w:ascii="宋体" w:hAnsi="宋体" w:eastAsia="宋体" w:cs="Times New Roman"/>
          <w:sz w:val="24"/>
          <w:szCs w:val="24"/>
        </w:rPr>
        <w:t>投标货物（或服务）介绍，项目建设（服务）方案</w:t>
      </w:r>
      <w:bookmarkEnd w:id="648"/>
    </w:p>
    <w:p>
      <w:pPr>
        <w:pStyle w:val="11"/>
        <w:spacing w:line="360" w:lineRule="auto"/>
        <w:ind w:firstLine="600" w:firstLineChars="250"/>
        <w:rPr>
          <w:rFonts w:ascii="楷体" w:hAnsi="楷体" w:eastAsia="楷体"/>
          <w:szCs w:val="24"/>
        </w:rPr>
      </w:pPr>
      <w:r>
        <w:rPr>
          <w:rFonts w:hint="eastAsia" w:ascii="楷体" w:hAnsi="楷体" w:eastAsia="楷体" w:cs="Courier New"/>
          <w:szCs w:val="24"/>
        </w:rPr>
        <w:t>（根据项目实际自行编写）</w:t>
      </w:r>
      <w:bookmarkEnd w:id="649"/>
      <w:bookmarkEnd w:id="650"/>
      <w:r>
        <w:rPr>
          <w:rFonts w:ascii="楷体" w:hAnsi="楷体" w:eastAsia="楷体"/>
          <w:szCs w:val="24"/>
        </w:rPr>
        <w:t xml:space="preserve"> </w:t>
      </w:r>
    </w:p>
    <w:p>
      <w:pPr>
        <w:spacing w:line="360" w:lineRule="auto"/>
      </w:pPr>
    </w:p>
    <w:p>
      <w:pPr>
        <w:pStyle w:val="11"/>
        <w:spacing w:line="360" w:lineRule="auto"/>
      </w:pPr>
    </w:p>
    <w:p>
      <w:pPr>
        <w:pStyle w:val="3"/>
        <w:numPr>
          <w:ilvl w:val="0"/>
          <w:numId w:val="63"/>
        </w:numPr>
        <w:tabs>
          <w:tab w:val="left" w:pos="567"/>
        </w:tabs>
        <w:spacing w:before="0" w:after="0" w:line="360" w:lineRule="auto"/>
        <w:jc w:val="left"/>
        <w:rPr>
          <w:rFonts w:ascii="宋体" w:hAnsi="宋体" w:eastAsia="宋体" w:cs="Times New Roman"/>
          <w:sz w:val="24"/>
          <w:szCs w:val="24"/>
        </w:rPr>
      </w:pPr>
      <w:bookmarkStart w:id="651" w:name="_Toc13032"/>
      <w:bookmarkStart w:id="652" w:name="_Toc117244400"/>
      <w:bookmarkStart w:id="653" w:name="_Toc117244515"/>
      <w:r>
        <w:rPr>
          <w:rFonts w:hint="eastAsia" w:ascii="宋体" w:hAnsi="宋体" w:eastAsia="宋体" w:cs="Times New Roman"/>
          <w:sz w:val="24"/>
          <w:szCs w:val="24"/>
        </w:rPr>
        <w:t>招标文件要求提供或投标人认为需提供的其它资料</w:t>
      </w:r>
      <w:bookmarkEnd w:id="651"/>
    </w:p>
    <w:p>
      <w:pPr>
        <w:pStyle w:val="11"/>
        <w:spacing w:line="360" w:lineRule="auto"/>
        <w:ind w:firstLine="600" w:firstLineChars="250"/>
        <w:rPr>
          <w:rFonts w:hint="eastAsia" w:ascii="楷体" w:hAnsi="楷体" w:eastAsia="楷体" w:cs="Courier New"/>
          <w:szCs w:val="24"/>
        </w:rPr>
        <w:sectPr>
          <w:pgSz w:w="11906" w:h="16838"/>
          <w:pgMar w:top="1134" w:right="1191" w:bottom="1134" w:left="1191" w:header="851" w:footer="992" w:gutter="0"/>
          <w:pgBorders>
            <w:top w:val="none" w:sz="0" w:space="0"/>
            <w:left w:val="none" w:sz="0" w:space="0"/>
            <w:bottom w:val="none" w:sz="0" w:space="0"/>
            <w:right w:val="none" w:sz="0" w:space="0"/>
          </w:pgBorders>
          <w:cols w:space="720" w:num="1"/>
          <w:docGrid w:type="lines" w:linePitch="312" w:charSpace="0"/>
        </w:sectPr>
      </w:pPr>
      <w:r>
        <w:rPr>
          <w:rFonts w:hint="eastAsia" w:ascii="楷体" w:hAnsi="楷体" w:eastAsia="楷体" w:cs="Courier New"/>
          <w:szCs w:val="24"/>
        </w:rPr>
        <w:t>（根据项目实际自行编写）</w:t>
      </w:r>
      <w:bookmarkEnd w:id="652"/>
      <w:bookmarkEnd w:id="653"/>
    </w:p>
    <w:p>
      <w:pPr>
        <w:jc w:val="center"/>
        <w:rPr>
          <w:rFonts w:hint="eastAsia" w:ascii="仿宋" w:hAnsi="仿宋" w:eastAsia="仿宋" w:cs="仿宋"/>
          <w:b/>
          <w:bCs/>
          <w:sz w:val="44"/>
          <w:szCs w:val="44"/>
          <w:lang w:eastAsia="zh-CN"/>
        </w:rPr>
      </w:pPr>
      <w:r>
        <w:rPr>
          <w:rFonts w:hint="eastAsia" w:ascii="仿宋" w:hAnsi="仿宋" w:eastAsia="仿宋" w:cs="仿宋"/>
          <w:b/>
          <w:bCs/>
          <w:sz w:val="44"/>
          <w:szCs w:val="44"/>
          <w:lang w:eastAsia="zh-CN"/>
        </w:rPr>
        <w:t>中标供应商融资提示</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为进一步优化黄冈市本级政府采购营商环境，缓解供应商融资难、融资贵的问题，按照“政府引导，银企自愿、风险自负、诚实信用”原则，中标供应商可以凭政府采购合同，向市本级政府采购合同融资线上合作银行申请融资。</w:t>
      </w:r>
    </w:p>
    <w:p>
      <w:p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sz w:val="24"/>
          <w:szCs w:val="24"/>
          <w:lang w:eastAsia="zh-CN"/>
        </w:rPr>
        <w:t>附：黄冈市本级政府采购合同融资线上合作银行、联系人及联系方式</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1、中国工商银行股份有限公司黄冈分行普惠金融部</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联系人：徐波,联系电话：13034466116  </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2、中国农业银行股份有限公司黄冈分行黄州支行</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联系人:贺林,联系电话：13476581567。</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3、中国建设银行股份有限公司黄冈知音支行</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联系人：胡桂根,联系电话：18972759460</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4、中国银行股份有限公司黄州支行</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联系人：杨浩，联系电话：18971709012</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5、中国交通银行股份有限公司黄冈分行营业部  </w:t>
      </w:r>
    </w:p>
    <w:p>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联系人：陈俊卿，联系电话：17671709372</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6、湖北黄冈农村商业银行股份有限公司小微金融部</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联系人：甘清泉,  联系电话：15971367189</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7、湖北银行股份有限公司黄冈分行营业部</w:t>
      </w:r>
    </w:p>
    <w:p>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联系人： 刘冲，联系电话：13092735161</w:t>
      </w:r>
    </w:p>
    <w:p>
      <w:pPr>
        <w:spacing w:line="360" w:lineRule="auto"/>
        <w:rPr>
          <w:rFonts w:hint="eastAsia" w:ascii="宋体" w:hAnsi="宋体" w:eastAsia="宋体" w:cs="宋体"/>
          <w:sz w:val="24"/>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
    <w:altName w:val="宋体"/>
    <w:panose1 w:val="00000000000000000000"/>
    <w:charset w:val="86"/>
    <w:family w:val="auto"/>
    <w:pitch w:val="default"/>
    <w:sig w:usb0="00000000" w:usb1="00000000" w:usb2="00000010" w:usb3="00000000" w:csb0="00040000" w:csb1="00000000"/>
  </w:font>
  <w:font w:name="华文楷体">
    <w:panose1 w:val="02010600040101010101"/>
    <w:charset w:val="86"/>
    <w:family w:val="auto"/>
    <w:pitch w:val="default"/>
    <w:sig w:usb0="00000287" w:usb1="080F0000" w:usb2="00000000" w:usb3="00000000" w:csb0="0004009F" w:csb1="DFD7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 w:name="Helvetica">
    <w:panose1 w:val="020B0504020202030204"/>
    <w:charset w:val="00"/>
    <w:family w:val="swiss"/>
    <w:pitch w:val="default"/>
    <w:sig w:usb0="00000007" w:usb1="00000000" w:usb2="00000000" w:usb3="00000000" w:csb0="00000093" w:csb1="00000000"/>
  </w:font>
  <w:font w:name="仿宋_GB2312">
    <w:altName w:val="仿宋"/>
    <w:panose1 w:val="02010609030101010101"/>
    <w:charset w:val="86"/>
    <w:family w:val="auto"/>
    <w:pitch w:val="default"/>
    <w:sig w:usb0="00000000" w:usb1="00000000" w:usb2="00000000" w:usb3="00000000" w:csb0="00040000" w:csb1="00000000"/>
  </w:font>
  <w:font w:name="Corbel">
    <w:panose1 w:val="020B0503020204020204"/>
    <w:charset w:val="00"/>
    <w:family w:val="swiss"/>
    <w:pitch w:val="default"/>
    <w:sig w:usb0="A00002EF" w:usb1="4000A44B"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top w:val="single" w:color="000000" w:sz="4" w:space="1"/>
      </w:pBdr>
      <w:tabs>
        <w:tab w:val="clear" w:pos="4153"/>
        <w:tab w:val="clear" w:pos="8306"/>
      </w:tabs>
      <w:ind w:right="-9"/>
      <w:rPr>
        <w:rFonts w:ascii="宋体" w:hAnsi="宋体"/>
        <w:b/>
        <w:sz w:val="20"/>
        <w:szCs w:val="20"/>
      </w:rPr>
    </w:pPr>
    <w:r>
      <w:rPr>
        <w:rFonts w:hint="eastAsia" w:ascii="宋体" w:hAnsi="宋体"/>
        <w:sz w:val="20"/>
        <w:szCs w:val="20"/>
        <w:lang w:val="en-US" w:eastAsia="zh-CN"/>
      </w:rPr>
      <w:t>湖北齐兴会计师事务有限公司</w:t>
    </w:r>
    <w:r>
      <w:rPr>
        <w:rFonts w:hint="eastAsia" w:ascii="宋体" w:hAnsi="宋体"/>
        <w:sz w:val="20"/>
        <w:szCs w:val="20"/>
      </w:rPr>
      <w:t>编制</w:t>
    </w:r>
    <w:r>
      <w:rPr>
        <w:rFonts w:ascii="宋体" w:hAnsi="宋体"/>
        <w:sz w:val="20"/>
        <w:szCs w:val="20"/>
      </w:rPr>
      <w:t xml:space="preserve"> </w:t>
    </w:r>
    <w:r>
      <w:rPr>
        <w:rFonts w:hint="eastAsia" w:ascii="宋体" w:hAnsi="宋体"/>
        <w:sz w:val="20"/>
        <w:szCs w:val="20"/>
      </w:rPr>
      <w:t xml:space="preserve">                  </w:t>
    </w:r>
    <w:r>
      <w:rPr>
        <w:rFonts w:ascii="宋体" w:hAnsi="宋体"/>
        <w:sz w:val="20"/>
        <w:szCs w:val="20"/>
      </w:rPr>
      <w:t xml:space="preserve">    </w:t>
    </w:r>
    <w:r>
      <w:rPr>
        <w:rFonts w:hint="eastAsia" w:ascii="宋体" w:hAnsi="宋体"/>
        <w:sz w:val="20"/>
        <w:szCs w:val="20"/>
      </w:rPr>
      <w:t xml:space="preserve">                       </w:t>
    </w:r>
    <w:r>
      <w:rPr>
        <w:rFonts w:hint="eastAsia" w:ascii="宋体" w:hAnsi="宋体"/>
        <w:sz w:val="20"/>
        <w:szCs w:val="20"/>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pBdr>
        <w:top w:val="single" w:color="000000" w:sz="4" w:space="1"/>
      </w:pBdr>
      <w:tabs>
        <w:tab w:val="clear" w:pos="4153"/>
        <w:tab w:val="clear" w:pos="8306"/>
      </w:tabs>
      <w:ind w:right="-9"/>
      <w:rPr>
        <w:rFonts w:ascii="宋体" w:hAnsi="宋体"/>
        <w:sz w:val="20"/>
        <w:szCs w:val="20"/>
      </w:rPr>
    </w:pPr>
    <w:r>
      <w:rPr>
        <w:rFonts w:hint="eastAsia"/>
        <w:bCs/>
        <w:sz w:val="20"/>
        <w:szCs w:val="20"/>
        <w:lang w:val="en-US" w:eastAsia="zh-CN"/>
      </w:rPr>
      <w:t>湖北齐兴会计事务有限公司</w:t>
    </w:r>
    <w:r>
      <w:rPr>
        <w:rFonts w:hint="eastAsia"/>
        <w:bCs/>
        <w:sz w:val="20"/>
        <w:szCs w:val="20"/>
      </w:rPr>
      <w:t xml:space="preserve">编制 </w:t>
    </w:r>
    <w:r>
      <w:rPr>
        <w:bCs/>
        <w:sz w:val="20"/>
        <w:szCs w:val="20"/>
      </w:rPr>
      <w:t xml:space="preserve">                  </w:t>
    </w:r>
    <w:r>
      <w:rPr>
        <w:bCs/>
        <w:sz w:val="20"/>
        <w:szCs w:val="20"/>
      </w:rPr>
      <w:fldChar w:fldCharType="begin"/>
    </w:r>
    <w:r>
      <w:rPr>
        <w:bCs/>
        <w:sz w:val="20"/>
        <w:szCs w:val="20"/>
      </w:rPr>
      <w:instrText xml:space="preserve">PAGE</w:instrText>
    </w:r>
    <w:r>
      <w:rPr>
        <w:bCs/>
        <w:sz w:val="20"/>
        <w:szCs w:val="20"/>
      </w:rPr>
      <w:fldChar w:fldCharType="separate"/>
    </w:r>
    <w:r>
      <w:rPr>
        <w:bCs/>
        <w:sz w:val="20"/>
        <w:szCs w:val="20"/>
      </w:rPr>
      <w:t>7</w:t>
    </w:r>
    <w:r>
      <w:rPr>
        <w:bCs/>
        <w:sz w:val="20"/>
        <w:szCs w:val="20"/>
      </w:rPr>
      <w:fldChar w:fldCharType="end"/>
    </w:r>
    <w:r>
      <w:rPr>
        <w:sz w:val="20"/>
        <w:szCs w:val="20"/>
        <w:lang w:val="zh-CN"/>
      </w:rPr>
      <w:t xml:space="preserve"> /</w:t>
    </w:r>
    <w:r>
      <w:rPr>
        <w:sz w:val="20"/>
        <w:szCs w:val="20"/>
        <w:lang w:val="zh-CN"/>
      </w:rPr>
      <w:fldChar w:fldCharType="begin"/>
    </w:r>
    <w:r>
      <w:rPr>
        <w:sz w:val="20"/>
        <w:szCs w:val="20"/>
        <w:lang w:val="zh-CN"/>
      </w:rPr>
      <w:instrText xml:space="preserve">=</w:instrText>
    </w:r>
    <w:r>
      <w:rPr>
        <w:bCs/>
        <w:sz w:val="20"/>
        <w:szCs w:val="20"/>
      </w:rPr>
      <w:fldChar w:fldCharType="begin"/>
    </w:r>
    <w:r>
      <w:rPr>
        <w:bCs/>
        <w:sz w:val="20"/>
        <w:szCs w:val="20"/>
      </w:rPr>
      <w:instrText xml:space="preserve">NUMPAGES</w:instrText>
    </w:r>
    <w:r>
      <w:rPr>
        <w:bCs/>
        <w:sz w:val="20"/>
        <w:szCs w:val="20"/>
      </w:rPr>
      <w:fldChar w:fldCharType="separate"/>
    </w:r>
    <w:r>
      <w:rPr>
        <w:bCs/>
        <w:sz w:val="20"/>
        <w:szCs w:val="20"/>
      </w:rPr>
      <w:instrText xml:space="preserve">70</w:instrText>
    </w:r>
    <w:r>
      <w:rPr>
        <w:bCs/>
        <w:sz w:val="20"/>
        <w:szCs w:val="20"/>
      </w:rPr>
      <w:fldChar w:fldCharType="end"/>
    </w:r>
    <w:r>
      <w:rPr>
        <w:bCs/>
        <w:sz w:val="20"/>
        <w:szCs w:val="20"/>
      </w:rPr>
      <w:instrText xml:space="preserve">-6</w:instrText>
    </w:r>
    <w:r>
      <w:rPr>
        <w:sz w:val="20"/>
        <w:szCs w:val="20"/>
        <w:lang w:val="zh-CN"/>
      </w:rPr>
      <w:fldChar w:fldCharType="separate"/>
    </w:r>
    <w:r>
      <w:rPr>
        <w:sz w:val="20"/>
        <w:szCs w:val="20"/>
        <w:lang w:val="zh-CN"/>
      </w:rPr>
      <w:t>64</w:t>
    </w:r>
    <w:r>
      <w:rPr>
        <w:sz w:val="20"/>
        <w:szCs w:val="20"/>
        <w:lang w:val="zh-CN"/>
      </w:rPr>
      <w:fldChar w:fldCharType="end"/>
    </w:r>
    <w:r>
      <w:rPr>
        <w:sz w:val="20"/>
        <w:szCs w:val="20"/>
        <w:lang w:val="zh-CN"/>
      </w:rPr>
      <w:t xml:space="preserve"> </w:t>
    </w:r>
    <w:r>
      <w:rPr>
        <w:bCs/>
        <w:sz w:val="20"/>
        <w:szCs w:val="20"/>
      </w:rPr>
      <w:t xml:space="preserve">         </w:t>
    </w:r>
    <w:r>
      <w:rPr>
        <w:rFonts w:hint="eastAsia"/>
        <w:bCs/>
        <w:sz w:val="20"/>
        <w:szCs w:val="20"/>
        <w:lang w:val="en-US" w:eastAsia="zh-CN"/>
      </w:rPr>
      <w:t xml:space="preserve">    </w:t>
    </w:r>
    <w:r>
      <w:rPr>
        <w:bCs/>
        <w:sz w:val="20"/>
        <w:szCs w:val="20"/>
      </w:rPr>
      <w:t xml:space="preserve">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rPr>
        <w:sz w:val="20"/>
        <w:szCs w:val="20"/>
        <w:u w:val="single"/>
      </w:rPr>
    </w:pPr>
    <w:r>
      <w:rPr>
        <w:sz w:val="21"/>
        <w:szCs w:val="21"/>
        <w:u w:val="single"/>
      </w:rPr>
      <w:t xml:space="preserve">   </w:t>
    </w:r>
    <w:r>
      <w:rPr>
        <w:rFonts w:hint="eastAsia"/>
        <w:sz w:val="21"/>
        <w:szCs w:val="21"/>
        <w:u w:val="single"/>
      </w:rPr>
      <w:t xml:space="preserve">                        </w:t>
    </w:r>
    <w:r>
      <w:rPr>
        <w:sz w:val="21"/>
        <w:szCs w:val="21"/>
        <w:u w:val="single"/>
      </w:rPr>
      <w:t xml:space="preserve">  </w:t>
    </w:r>
    <w:r>
      <w:rPr>
        <w:rFonts w:hint="eastAsia"/>
        <w:sz w:val="21"/>
        <w:szCs w:val="21"/>
        <w:u w:val="single"/>
      </w:rPr>
      <w:t xml:space="preserve">                                 </w:t>
    </w:r>
    <w:r>
      <w:rPr>
        <w:rFonts w:hint="eastAsia"/>
        <w:sz w:val="21"/>
        <w:szCs w:val="21"/>
        <w:u w:val="single"/>
        <w:lang w:val="en-US" w:eastAsia="zh-CN"/>
      </w:rPr>
      <w:t xml:space="preserve">            </w:t>
    </w:r>
    <w:r>
      <w:rPr>
        <w:rFonts w:hint="eastAsia"/>
        <w:sz w:val="20"/>
        <w:szCs w:val="20"/>
        <w:u w:val="single"/>
        <w:lang w:eastAsia="zh-CN"/>
      </w:rPr>
      <w:t>黄冈市</w:t>
    </w:r>
    <w:r>
      <w:rPr>
        <w:rFonts w:hint="eastAsia"/>
        <w:sz w:val="20"/>
        <w:szCs w:val="20"/>
        <w:u w:val="single"/>
      </w:rPr>
      <w:t>政府采购</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0EAED37"/>
    <w:multiLevelType w:val="multilevel"/>
    <w:tmpl w:val="80EAED37"/>
    <w:lvl w:ilvl="0" w:tentative="0">
      <w:start w:val="1"/>
      <w:numFmt w:val="decimal"/>
      <w:lvlText w:val="2.%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872FC132"/>
    <w:multiLevelType w:val="multilevel"/>
    <w:tmpl w:val="872FC132"/>
    <w:lvl w:ilvl="0" w:tentative="0">
      <w:start w:val="1"/>
      <w:numFmt w:val="decimal"/>
      <w:lvlText w:val="42.%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8741AB5F"/>
    <w:multiLevelType w:val="multilevel"/>
    <w:tmpl w:val="8741AB5F"/>
    <w:lvl w:ilvl="0" w:tentative="0">
      <w:start w:val="1"/>
      <w:numFmt w:val="decimal"/>
      <w:lvlText w:val="11.%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8F3068E4"/>
    <w:multiLevelType w:val="multilevel"/>
    <w:tmpl w:val="8F3068E4"/>
    <w:lvl w:ilvl="0" w:tentative="0">
      <w:start w:val="1"/>
      <w:numFmt w:val="decimal"/>
      <w:suff w:val="nothing"/>
      <w:lvlText w:val="%1."/>
      <w:lvlJc w:val="left"/>
      <w:pPr>
        <w:tabs>
          <w:tab w:val="left" w:pos="420"/>
        </w:tabs>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4">
    <w:nsid w:val="925CB7A7"/>
    <w:multiLevelType w:val="multilevel"/>
    <w:tmpl w:val="925CB7A7"/>
    <w:lvl w:ilvl="0" w:tentative="0">
      <w:start w:val="1"/>
      <w:numFmt w:val="decimal"/>
      <w:lvlText w:val="4.%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
    <w:nsid w:val="97FB681D"/>
    <w:multiLevelType w:val="multilevel"/>
    <w:tmpl w:val="97FB681D"/>
    <w:lvl w:ilvl="0" w:tentative="0">
      <w:start w:val="1"/>
      <w:numFmt w:val="decimal"/>
      <w:lvlText w:val="25.%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9C5F4B62"/>
    <w:multiLevelType w:val="multilevel"/>
    <w:tmpl w:val="9C5F4B62"/>
    <w:lvl w:ilvl="0" w:tentative="0">
      <w:start w:val="1"/>
      <w:numFmt w:val="decimal"/>
      <w:suff w:val="nothing"/>
      <w:lvlText w:val="%1."/>
      <w:lvlJc w:val="left"/>
      <w:pPr>
        <w:tabs>
          <w:tab w:val="left" w:pos="420"/>
        </w:tabs>
        <w:ind w:left="902" w:hanging="420"/>
      </w:pPr>
      <w:rPr>
        <w:rFonts w:hint="default" w:ascii="宋体" w:hAnsi="宋体" w:eastAsia="宋体"/>
        <w:b w:val="0"/>
        <w:color w:val="auto"/>
        <w:sz w:val="24"/>
        <w:szCs w:val="24"/>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7">
    <w:nsid w:val="A19B6980"/>
    <w:multiLevelType w:val="multilevel"/>
    <w:tmpl w:val="A19B6980"/>
    <w:lvl w:ilvl="0" w:tentative="0">
      <w:start w:val="1"/>
      <w:numFmt w:val="decimal"/>
      <w:lvlText w:val="12.%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ADFE80A9"/>
    <w:multiLevelType w:val="multilevel"/>
    <w:tmpl w:val="ADFE80A9"/>
    <w:lvl w:ilvl="0" w:tentative="0">
      <w:start w:val="1"/>
      <w:numFmt w:val="decimal"/>
      <w:suff w:val="space"/>
      <w:lvlText w:val="2.%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9">
    <w:nsid w:val="B12B9D01"/>
    <w:multiLevelType w:val="multilevel"/>
    <w:tmpl w:val="B12B9D01"/>
    <w:lvl w:ilvl="0" w:tentative="0">
      <w:start w:val="1"/>
      <w:numFmt w:val="decimal"/>
      <w:suff w:val="space"/>
      <w:lvlText w:val="8.%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BE9980CE"/>
    <w:multiLevelType w:val="multilevel"/>
    <w:tmpl w:val="BE9980CE"/>
    <w:lvl w:ilvl="0" w:tentative="0">
      <w:start w:val="1"/>
      <w:numFmt w:val="decimal"/>
      <w:lvlText w:val="17.%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C34BA289"/>
    <w:multiLevelType w:val="multilevel"/>
    <w:tmpl w:val="C34BA289"/>
    <w:lvl w:ilvl="0" w:tentative="0">
      <w:start w:val="1"/>
      <w:numFmt w:val="decimal"/>
      <w:lvlText w:val="14.%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2">
    <w:nsid w:val="CD5C3757"/>
    <w:multiLevelType w:val="multilevel"/>
    <w:tmpl w:val="CD5C3757"/>
    <w:lvl w:ilvl="0" w:tentative="0">
      <w:start w:val="1"/>
      <w:numFmt w:val="decimal"/>
      <w:lvlText w:val="24.%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3">
    <w:nsid w:val="CDC31D64"/>
    <w:multiLevelType w:val="multilevel"/>
    <w:tmpl w:val="CDC31D64"/>
    <w:lvl w:ilvl="0" w:tentative="0">
      <w:start w:val="1"/>
      <w:numFmt w:val="decimal"/>
      <w:lvlText w:val="38.%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4">
    <w:nsid w:val="D19FA298"/>
    <w:multiLevelType w:val="multilevel"/>
    <w:tmpl w:val="D19FA298"/>
    <w:lvl w:ilvl="0" w:tentative="0">
      <w:start w:val="1"/>
      <w:numFmt w:val="decimal"/>
      <w:lvlText w:val="3.%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5">
    <w:nsid w:val="D1CA9CFC"/>
    <w:multiLevelType w:val="multilevel"/>
    <w:tmpl w:val="D1CA9CFC"/>
    <w:lvl w:ilvl="0" w:tentative="0">
      <w:start w:val="1"/>
      <w:numFmt w:val="decimal"/>
      <w:suff w:val="space"/>
      <w:lvlText w:val="7.%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6">
    <w:nsid w:val="D5522B63"/>
    <w:multiLevelType w:val="multilevel"/>
    <w:tmpl w:val="D5522B63"/>
    <w:lvl w:ilvl="0" w:tentative="0">
      <w:start w:val="1"/>
      <w:numFmt w:val="decimal"/>
      <w:suff w:val="space"/>
      <w:lvlText w:val="6.%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7">
    <w:nsid w:val="D846646B"/>
    <w:multiLevelType w:val="multilevel"/>
    <w:tmpl w:val="D846646B"/>
    <w:lvl w:ilvl="0" w:tentative="0">
      <w:start w:val="1"/>
      <w:numFmt w:val="decimal"/>
      <w:lvlText w:val="41.%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8">
    <w:nsid w:val="E1E95C70"/>
    <w:multiLevelType w:val="multilevel"/>
    <w:tmpl w:val="E1E95C70"/>
    <w:lvl w:ilvl="0" w:tentative="0">
      <w:start w:val="1"/>
      <w:numFmt w:val="decimal"/>
      <w:lvlText w:val="30.%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9">
    <w:nsid w:val="E25C67D6"/>
    <w:multiLevelType w:val="multilevel"/>
    <w:tmpl w:val="E25C67D6"/>
    <w:lvl w:ilvl="0" w:tentative="0">
      <w:start w:val="1"/>
      <w:numFmt w:val="decimal"/>
      <w:suff w:val="space"/>
      <w:lvlText w:val="10.%1"/>
      <w:lvlJc w:val="left"/>
      <w:pPr>
        <w:tabs>
          <w:tab w:val="left" w:pos="420"/>
        </w:tabs>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0">
    <w:nsid w:val="E3674F76"/>
    <w:multiLevelType w:val="multilevel"/>
    <w:tmpl w:val="E3674F76"/>
    <w:lvl w:ilvl="0" w:tentative="0">
      <w:start w:val="1"/>
      <w:numFmt w:val="decimal"/>
      <w:lvlText w:val="13.%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1">
    <w:nsid w:val="E5763B74"/>
    <w:multiLevelType w:val="multilevel"/>
    <w:tmpl w:val="E5763B74"/>
    <w:lvl w:ilvl="0" w:tentative="0">
      <w:start w:val="1"/>
      <w:numFmt w:val="decimal"/>
      <w:lvlText w:val="28.%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2">
    <w:nsid w:val="F5180CC5"/>
    <w:multiLevelType w:val="multilevel"/>
    <w:tmpl w:val="F5180CC5"/>
    <w:lvl w:ilvl="0" w:tentative="0">
      <w:start w:val="1"/>
      <w:numFmt w:val="decimal"/>
      <w:suff w:val="nothing"/>
      <w:lvlText w:val="%1."/>
      <w:lvlJc w:val="left"/>
      <w:pPr>
        <w:tabs>
          <w:tab w:val="left" w:pos="420"/>
        </w:tabs>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3">
    <w:nsid w:val="F8F396BA"/>
    <w:multiLevelType w:val="multilevel"/>
    <w:tmpl w:val="F8F396BA"/>
    <w:lvl w:ilvl="0" w:tentative="0">
      <w:start w:val="1"/>
      <w:numFmt w:val="decimal"/>
      <w:suff w:val="space"/>
      <w:lvlText w:val="5.%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4">
    <w:nsid w:val="FCE33EAC"/>
    <w:multiLevelType w:val="multilevel"/>
    <w:tmpl w:val="FCE33EAC"/>
    <w:lvl w:ilvl="0" w:tentative="0">
      <w:start w:val="1"/>
      <w:numFmt w:val="decimal"/>
      <w:suff w:val="space"/>
      <w:lvlText w:val="2.%1"/>
      <w:lvlJc w:val="left"/>
      <w:pPr>
        <w:tabs>
          <w:tab w:val="left" w:pos="420"/>
        </w:tabs>
        <w:ind w:left="704"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5">
    <w:nsid w:val="03226416"/>
    <w:multiLevelType w:val="multilevel"/>
    <w:tmpl w:val="03226416"/>
    <w:lvl w:ilvl="0" w:tentative="0">
      <w:start w:val="1"/>
      <w:numFmt w:val="chineseCountingThousand"/>
      <w:lvlText w:val="%1、"/>
      <w:lvlJc w:val="left"/>
      <w:pPr>
        <w:ind w:left="420" w:hanging="420"/>
      </w:pPr>
      <w:rPr>
        <w:rFonts w:hint="eastAsia" w:ascii="宋体" w:hAnsi="宋体" w:eastAsia="宋体" w:cs="宋体"/>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6">
    <w:nsid w:val="038000C8"/>
    <w:multiLevelType w:val="multilevel"/>
    <w:tmpl w:val="038000C8"/>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058E3E14"/>
    <w:multiLevelType w:val="multilevel"/>
    <w:tmpl w:val="058E3E14"/>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28">
    <w:nsid w:val="0A0171EC"/>
    <w:multiLevelType w:val="multilevel"/>
    <w:tmpl w:val="0A0171EC"/>
    <w:lvl w:ilvl="0" w:tentative="0">
      <w:start w:val="1"/>
      <w:numFmt w:val="chineseCountingThousand"/>
      <w:lvlText w:val="%1、"/>
      <w:lvlJc w:val="left"/>
      <w:pPr>
        <w:ind w:left="420" w:hanging="420"/>
      </w:pPr>
      <w:rPr>
        <w:rFonts w:hint="eastAsia"/>
        <w:b/>
        <w:strike w:val="0"/>
        <w:color w:val="auto"/>
        <w:sz w:val="24"/>
        <w:szCs w:val="24"/>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29">
    <w:nsid w:val="0D07917C"/>
    <w:multiLevelType w:val="multilevel"/>
    <w:tmpl w:val="0D07917C"/>
    <w:lvl w:ilvl="0" w:tentative="0">
      <w:start w:val="1"/>
      <w:numFmt w:val="decimal"/>
      <w:lvlText w:val="26.%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0">
    <w:nsid w:val="128C46AF"/>
    <w:multiLevelType w:val="multilevel"/>
    <w:tmpl w:val="128C46AF"/>
    <w:lvl w:ilvl="0" w:tentative="0">
      <w:start w:val="1"/>
      <w:numFmt w:val="decimal"/>
      <w:lvlText w:val="%1."/>
      <w:lvlJc w:val="left"/>
      <w:pPr>
        <w:ind w:left="420" w:hanging="420"/>
      </w:pPr>
      <w:rPr>
        <w:rFonts w:hint="default"/>
        <w:strike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1">
    <w:nsid w:val="132D68A0"/>
    <w:multiLevelType w:val="multilevel"/>
    <w:tmpl w:val="132D68A0"/>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2">
    <w:nsid w:val="1433242D"/>
    <w:multiLevelType w:val="multilevel"/>
    <w:tmpl w:val="1433242D"/>
    <w:lvl w:ilvl="0" w:tentative="0">
      <w:start w:val="1"/>
      <w:numFmt w:val="decimal"/>
      <w:lvlText w:val="%1）"/>
      <w:lvlJc w:val="left"/>
      <w:pPr>
        <w:ind w:left="906" w:hanging="420"/>
      </w:pPr>
      <w:rPr>
        <w:rFonts w:hint="eastAsia"/>
      </w:rPr>
    </w:lvl>
    <w:lvl w:ilvl="1" w:tentative="0">
      <w:start w:val="1"/>
      <w:numFmt w:val="lowerLetter"/>
      <w:lvlText w:val="%2)"/>
      <w:lvlJc w:val="left"/>
      <w:pPr>
        <w:ind w:left="1326" w:hanging="420"/>
      </w:pPr>
    </w:lvl>
    <w:lvl w:ilvl="2" w:tentative="0">
      <w:start w:val="1"/>
      <w:numFmt w:val="lowerRoman"/>
      <w:lvlText w:val="%3."/>
      <w:lvlJc w:val="right"/>
      <w:pPr>
        <w:ind w:left="1746" w:hanging="420"/>
      </w:pPr>
    </w:lvl>
    <w:lvl w:ilvl="3" w:tentative="0">
      <w:start w:val="1"/>
      <w:numFmt w:val="decimal"/>
      <w:lvlText w:val="%4."/>
      <w:lvlJc w:val="left"/>
      <w:pPr>
        <w:ind w:left="2166" w:hanging="420"/>
      </w:pPr>
    </w:lvl>
    <w:lvl w:ilvl="4" w:tentative="0">
      <w:start w:val="1"/>
      <w:numFmt w:val="lowerLetter"/>
      <w:lvlText w:val="%5)"/>
      <w:lvlJc w:val="left"/>
      <w:pPr>
        <w:ind w:left="2586" w:hanging="420"/>
      </w:pPr>
    </w:lvl>
    <w:lvl w:ilvl="5" w:tentative="0">
      <w:start w:val="1"/>
      <w:numFmt w:val="lowerRoman"/>
      <w:lvlText w:val="%6."/>
      <w:lvlJc w:val="right"/>
      <w:pPr>
        <w:ind w:left="3006" w:hanging="420"/>
      </w:pPr>
    </w:lvl>
    <w:lvl w:ilvl="6" w:tentative="0">
      <w:start w:val="1"/>
      <w:numFmt w:val="decimal"/>
      <w:lvlText w:val="%7."/>
      <w:lvlJc w:val="left"/>
      <w:pPr>
        <w:ind w:left="3426" w:hanging="420"/>
      </w:pPr>
    </w:lvl>
    <w:lvl w:ilvl="7" w:tentative="0">
      <w:start w:val="1"/>
      <w:numFmt w:val="lowerLetter"/>
      <w:lvlText w:val="%8)"/>
      <w:lvlJc w:val="left"/>
      <w:pPr>
        <w:ind w:left="3846" w:hanging="420"/>
      </w:pPr>
    </w:lvl>
    <w:lvl w:ilvl="8" w:tentative="0">
      <w:start w:val="1"/>
      <w:numFmt w:val="lowerRoman"/>
      <w:lvlText w:val="%9."/>
      <w:lvlJc w:val="right"/>
      <w:pPr>
        <w:ind w:left="4266" w:hanging="420"/>
      </w:pPr>
    </w:lvl>
  </w:abstractNum>
  <w:abstractNum w:abstractNumId="33">
    <w:nsid w:val="153A09A1"/>
    <w:multiLevelType w:val="multilevel"/>
    <w:tmpl w:val="153A09A1"/>
    <w:lvl w:ilvl="0" w:tentative="0">
      <w:start w:val="1"/>
      <w:numFmt w:val="decimal"/>
      <w:lvlText w:val="27.%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4">
    <w:nsid w:val="1636573F"/>
    <w:multiLevelType w:val="multilevel"/>
    <w:tmpl w:val="1636573F"/>
    <w:lvl w:ilvl="0" w:tentative="0">
      <w:start w:val="1"/>
      <w:numFmt w:val="decimal"/>
      <w:lvlText w:val="2.%1"/>
      <w:lvlJc w:val="left"/>
      <w:pPr>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5">
    <w:nsid w:val="16505C31"/>
    <w:multiLevelType w:val="multilevel"/>
    <w:tmpl w:val="16505C31"/>
    <w:lvl w:ilvl="0" w:tentative="0">
      <w:start w:val="1"/>
      <w:numFmt w:val="decimal"/>
      <w:lvlText w:val="18.%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6">
    <w:nsid w:val="16DA66E0"/>
    <w:multiLevelType w:val="multilevel"/>
    <w:tmpl w:val="16DA66E0"/>
    <w:lvl w:ilvl="0" w:tentative="0">
      <w:start w:val="1"/>
      <w:numFmt w:val="decimal"/>
      <w:lvlText w:val="%1"/>
      <w:lvlJc w:val="center"/>
      <w:pPr>
        <w:ind w:left="704"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7">
    <w:nsid w:val="1A130721"/>
    <w:multiLevelType w:val="multilevel"/>
    <w:tmpl w:val="1A130721"/>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8">
    <w:nsid w:val="1CE5A036"/>
    <w:multiLevelType w:val="multilevel"/>
    <w:tmpl w:val="1CE5A036"/>
    <w:lvl w:ilvl="0" w:tentative="0">
      <w:start w:val="1"/>
      <w:numFmt w:val="decimal"/>
      <w:lvlText w:val="15.%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9">
    <w:nsid w:val="1F7B6D51"/>
    <w:multiLevelType w:val="multilevel"/>
    <w:tmpl w:val="1F7B6D51"/>
    <w:lvl w:ilvl="0" w:tentative="0">
      <w:start w:val="1"/>
      <w:numFmt w:val="decimal"/>
      <w:lvlText w:val="1.%1"/>
      <w:lvlJc w:val="left"/>
      <w:pPr>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0">
    <w:nsid w:val="2074378A"/>
    <w:multiLevelType w:val="multilevel"/>
    <w:tmpl w:val="2074378A"/>
    <w:lvl w:ilvl="0" w:tentative="0">
      <w:start w:val="1"/>
      <w:numFmt w:val="decimal"/>
      <w:lvlText w:val="43.%1"/>
      <w:lvlJc w:val="left"/>
      <w:pPr>
        <w:ind w:left="562"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41">
    <w:nsid w:val="21C23901"/>
    <w:multiLevelType w:val="multilevel"/>
    <w:tmpl w:val="21C23901"/>
    <w:lvl w:ilvl="0" w:tentative="0">
      <w:start w:val="1"/>
      <w:numFmt w:val="decimal"/>
      <w:lvlText w:val="6.%1"/>
      <w:lvlJc w:val="left"/>
      <w:pPr>
        <w:ind w:left="420" w:hanging="420"/>
      </w:pPr>
      <w:rPr>
        <w:rFonts w:hint="default" w:ascii="宋体" w:hAnsi="宋体" w:eastAsia="宋体" w:cs="宋体"/>
        <w:strike w:val="0"/>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2">
    <w:nsid w:val="2338450D"/>
    <w:multiLevelType w:val="multilevel"/>
    <w:tmpl w:val="2338450D"/>
    <w:lvl w:ilvl="0" w:tentative="0">
      <w:start w:val="1"/>
      <w:numFmt w:val="decimal"/>
      <w:lvlText w:val="5.%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3">
    <w:nsid w:val="253A1E5D"/>
    <w:multiLevelType w:val="multilevel"/>
    <w:tmpl w:val="253A1E5D"/>
    <w:lvl w:ilvl="0" w:tentative="0">
      <w:start w:val="1"/>
      <w:numFmt w:val="decimal"/>
      <w:lvlText w:val="9.%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4">
    <w:nsid w:val="2BDBD41B"/>
    <w:multiLevelType w:val="multilevel"/>
    <w:tmpl w:val="2BDBD41B"/>
    <w:lvl w:ilvl="0" w:tentative="0">
      <w:start w:val="1"/>
      <w:numFmt w:val="decimal"/>
      <w:lvlText w:val="19.%1 "/>
      <w:lvlJc w:val="left"/>
      <w:pPr>
        <w:ind w:left="1697"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5">
    <w:nsid w:val="2E825AFA"/>
    <w:multiLevelType w:val="multilevel"/>
    <w:tmpl w:val="2E825AFA"/>
    <w:lvl w:ilvl="0" w:tentative="0">
      <w:start w:val="1"/>
      <w:numFmt w:val="decimal"/>
      <w:lvlText w:val="3.%1"/>
      <w:lvlJc w:val="left"/>
      <w:pPr>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6">
    <w:nsid w:val="30140915"/>
    <w:multiLevelType w:val="multilevel"/>
    <w:tmpl w:val="30140915"/>
    <w:lvl w:ilvl="0" w:tentative="0">
      <w:start w:val="1"/>
      <w:numFmt w:val="decimal"/>
      <w:lvlText w:val="16.%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7">
    <w:nsid w:val="36794E28"/>
    <w:multiLevelType w:val="multilevel"/>
    <w:tmpl w:val="36794E28"/>
    <w:lvl w:ilvl="0" w:tentative="0">
      <w:start w:val="1"/>
      <w:numFmt w:val="decimal"/>
      <w:suff w:val="space"/>
      <w:lvlText w:val="4.%1"/>
      <w:lvlJc w:val="left"/>
      <w:pPr>
        <w:tabs>
          <w:tab w:val="left" w:pos="420"/>
        </w:tabs>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8">
    <w:nsid w:val="37434FB1"/>
    <w:multiLevelType w:val="multilevel"/>
    <w:tmpl w:val="37434FB1"/>
    <w:lvl w:ilvl="0" w:tentative="0">
      <w:start w:val="1"/>
      <w:numFmt w:val="decimal"/>
      <w:lvlText w:val="%1"/>
      <w:lvlJc w:val="center"/>
      <w:pPr>
        <w:ind w:left="846"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9">
    <w:nsid w:val="376FAD0F"/>
    <w:multiLevelType w:val="multilevel"/>
    <w:tmpl w:val="376FAD0F"/>
    <w:lvl w:ilvl="0" w:tentative="0">
      <w:start w:val="1"/>
      <w:numFmt w:val="decimal"/>
      <w:suff w:val="nothing"/>
      <w:lvlText w:val="%1."/>
      <w:lvlJc w:val="left"/>
      <w:pPr>
        <w:tabs>
          <w:tab w:val="left" w:pos="420"/>
        </w:tabs>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50">
    <w:nsid w:val="38453A76"/>
    <w:multiLevelType w:val="multilevel"/>
    <w:tmpl w:val="38453A76"/>
    <w:lvl w:ilvl="0" w:tentative="0">
      <w:start w:val="1"/>
      <w:numFmt w:val="decimal"/>
      <w:lvlText w:val="39.%1"/>
      <w:lvlJc w:val="left"/>
      <w:pPr>
        <w:ind w:left="420"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1">
    <w:nsid w:val="38F606C2"/>
    <w:multiLevelType w:val="multilevel"/>
    <w:tmpl w:val="38F606C2"/>
    <w:lvl w:ilvl="0" w:tentative="0">
      <w:start w:val="1"/>
      <w:numFmt w:val="chineseCountingThousand"/>
      <w:lvlText w:val="%1、"/>
      <w:lvlJc w:val="left"/>
      <w:pPr>
        <w:ind w:left="420" w:hanging="420"/>
      </w:pPr>
      <w:rPr>
        <w:rFonts w:hint="eastAsia"/>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2">
    <w:nsid w:val="392FD320"/>
    <w:multiLevelType w:val="multilevel"/>
    <w:tmpl w:val="392FD320"/>
    <w:lvl w:ilvl="0" w:tentative="0">
      <w:start w:val="1"/>
      <w:numFmt w:val="decimal"/>
      <w:lvlText w:val="29.%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3">
    <w:nsid w:val="40AA025A"/>
    <w:multiLevelType w:val="multilevel"/>
    <w:tmpl w:val="40AA025A"/>
    <w:lvl w:ilvl="0" w:tentative="0">
      <w:start w:val="1"/>
      <w:numFmt w:val="decimal"/>
      <w:lvlText w:val="35.%1"/>
      <w:lvlJc w:val="left"/>
      <w:pPr>
        <w:ind w:left="420"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4">
    <w:nsid w:val="41E4176E"/>
    <w:multiLevelType w:val="multilevel"/>
    <w:tmpl w:val="41E4176E"/>
    <w:lvl w:ilvl="0" w:tentative="0">
      <w:start w:val="1"/>
      <w:numFmt w:val="decimal"/>
      <w:lvlText w:val="36.%1"/>
      <w:lvlJc w:val="left"/>
      <w:pPr>
        <w:ind w:left="420"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5">
    <w:nsid w:val="45CC1969"/>
    <w:multiLevelType w:val="multilevel"/>
    <w:tmpl w:val="45CC1969"/>
    <w:lvl w:ilvl="0" w:tentative="0">
      <w:start w:val="1"/>
      <w:numFmt w:val="decimal"/>
      <w:lvlText w:val="23.%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6">
    <w:nsid w:val="4687CD71"/>
    <w:multiLevelType w:val="multilevel"/>
    <w:tmpl w:val="4687CD71"/>
    <w:lvl w:ilvl="0" w:tentative="0">
      <w:start w:val="1"/>
      <w:numFmt w:val="decimal"/>
      <w:lvlText w:val="21.%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57">
    <w:nsid w:val="4E8D3DE0"/>
    <w:multiLevelType w:val="multilevel"/>
    <w:tmpl w:val="4E8D3DE0"/>
    <w:lvl w:ilvl="0" w:tentative="0">
      <w:start w:val="1"/>
      <w:numFmt w:val="chineseCountingThousand"/>
      <w:lvlText w:val="%1、"/>
      <w:lvlJc w:val="left"/>
      <w:pPr>
        <w:ind w:left="420" w:hanging="420"/>
      </w:pPr>
      <w:rPr>
        <w:rFonts w:hint="eastAsia"/>
        <w:b/>
        <w:strike w:val="0"/>
        <w:color w:val="auto"/>
        <w:sz w:val="24"/>
        <w:szCs w:val="24"/>
      </w:rPr>
    </w:lvl>
    <w:lvl w:ilvl="1" w:tentative="0">
      <w:start w:val="1"/>
      <w:numFmt w:val="lowerLetter"/>
      <w:lvlText w:val="%2)"/>
      <w:lvlJc w:val="left"/>
      <w:pPr>
        <w:ind w:left="1124" w:hanging="420"/>
      </w:pPr>
      <w:rPr>
        <w:rFonts w:hint="eastAsia"/>
      </w:rPr>
    </w:lvl>
    <w:lvl w:ilvl="2" w:tentative="0">
      <w:start w:val="1"/>
      <w:numFmt w:val="lowerRoman"/>
      <w:lvlText w:val="%3."/>
      <w:lvlJc w:val="right"/>
      <w:pPr>
        <w:ind w:left="1544" w:hanging="420"/>
      </w:pPr>
      <w:rPr>
        <w:rFonts w:hint="eastAsia"/>
      </w:rPr>
    </w:lvl>
    <w:lvl w:ilvl="3" w:tentative="0">
      <w:start w:val="1"/>
      <w:numFmt w:val="decimal"/>
      <w:lvlText w:val="%4."/>
      <w:lvlJc w:val="left"/>
      <w:pPr>
        <w:ind w:left="1964" w:hanging="420"/>
      </w:pPr>
      <w:rPr>
        <w:rFonts w:hint="eastAsia"/>
      </w:rPr>
    </w:lvl>
    <w:lvl w:ilvl="4" w:tentative="0">
      <w:start w:val="1"/>
      <w:numFmt w:val="lowerLetter"/>
      <w:lvlText w:val="%5)"/>
      <w:lvlJc w:val="left"/>
      <w:pPr>
        <w:ind w:left="2384" w:hanging="420"/>
      </w:pPr>
      <w:rPr>
        <w:rFonts w:hint="eastAsia"/>
      </w:rPr>
    </w:lvl>
    <w:lvl w:ilvl="5" w:tentative="0">
      <w:start w:val="1"/>
      <w:numFmt w:val="lowerRoman"/>
      <w:lvlText w:val="%6."/>
      <w:lvlJc w:val="right"/>
      <w:pPr>
        <w:ind w:left="2804" w:hanging="420"/>
      </w:pPr>
      <w:rPr>
        <w:rFonts w:hint="eastAsia"/>
      </w:rPr>
    </w:lvl>
    <w:lvl w:ilvl="6" w:tentative="0">
      <w:start w:val="1"/>
      <w:numFmt w:val="decimal"/>
      <w:lvlText w:val="%7."/>
      <w:lvlJc w:val="left"/>
      <w:pPr>
        <w:ind w:left="3224" w:hanging="420"/>
      </w:pPr>
      <w:rPr>
        <w:rFonts w:hint="eastAsia"/>
      </w:rPr>
    </w:lvl>
    <w:lvl w:ilvl="7" w:tentative="0">
      <w:start w:val="1"/>
      <w:numFmt w:val="lowerLetter"/>
      <w:lvlText w:val="%8)"/>
      <w:lvlJc w:val="left"/>
      <w:pPr>
        <w:ind w:left="3644" w:hanging="420"/>
      </w:pPr>
      <w:rPr>
        <w:rFonts w:hint="eastAsia"/>
      </w:rPr>
    </w:lvl>
    <w:lvl w:ilvl="8" w:tentative="0">
      <w:start w:val="1"/>
      <w:numFmt w:val="lowerRoman"/>
      <w:lvlText w:val="%9."/>
      <w:lvlJc w:val="right"/>
      <w:pPr>
        <w:ind w:left="4064" w:hanging="420"/>
      </w:pPr>
      <w:rPr>
        <w:rFonts w:hint="eastAsia"/>
      </w:rPr>
    </w:lvl>
  </w:abstractNum>
  <w:abstractNum w:abstractNumId="58">
    <w:nsid w:val="4EAF5455"/>
    <w:multiLevelType w:val="multilevel"/>
    <w:tmpl w:val="4EAF5455"/>
    <w:lvl w:ilvl="0" w:tentative="0">
      <w:start w:val="1"/>
      <w:numFmt w:val="chineseCountingThousand"/>
      <w:lvlText w:val="第%1章 "/>
      <w:lvlJc w:val="left"/>
      <w:pPr>
        <w:ind w:left="4957" w:hanging="420"/>
      </w:pPr>
      <w:rPr>
        <w:rFonts w:hint="eastAsia"/>
        <w:sz w:val="36"/>
        <w:szCs w:val="36"/>
      </w:rPr>
    </w:lvl>
    <w:lvl w:ilvl="1" w:tentative="0">
      <w:start w:val="1"/>
      <w:numFmt w:val="lowerLetter"/>
      <w:lvlText w:val="%2)"/>
      <w:lvlJc w:val="left"/>
      <w:pPr>
        <w:ind w:left="1124" w:hanging="420"/>
      </w:pPr>
    </w:lvl>
    <w:lvl w:ilvl="2" w:tentative="0">
      <w:start w:val="1"/>
      <w:numFmt w:val="lowerRoman"/>
      <w:lvlText w:val="%3."/>
      <w:lvlJc w:val="right"/>
      <w:pPr>
        <w:ind w:left="1544" w:hanging="420"/>
      </w:pPr>
    </w:lvl>
    <w:lvl w:ilvl="3" w:tentative="0">
      <w:start w:val="1"/>
      <w:numFmt w:val="decimal"/>
      <w:lvlText w:val="%4."/>
      <w:lvlJc w:val="left"/>
      <w:pPr>
        <w:ind w:left="1964" w:hanging="420"/>
      </w:pPr>
    </w:lvl>
    <w:lvl w:ilvl="4" w:tentative="0">
      <w:start w:val="1"/>
      <w:numFmt w:val="lowerLetter"/>
      <w:lvlText w:val="%5)"/>
      <w:lvlJc w:val="left"/>
      <w:pPr>
        <w:ind w:left="2384" w:hanging="420"/>
      </w:pPr>
    </w:lvl>
    <w:lvl w:ilvl="5" w:tentative="0">
      <w:start w:val="1"/>
      <w:numFmt w:val="lowerRoman"/>
      <w:lvlText w:val="%6."/>
      <w:lvlJc w:val="right"/>
      <w:pPr>
        <w:ind w:left="2804" w:hanging="420"/>
      </w:pPr>
    </w:lvl>
    <w:lvl w:ilvl="6" w:tentative="0">
      <w:start w:val="1"/>
      <w:numFmt w:val="decimal"/>
      <w:lvlText w:val="%7."/>
      <w:lvlJc w:val="left"/>
      <w:pPr>
        <w:ind w:left="3224" w:hanging="420"/>
      </w:pPr>
    </w:lvl>
    <w:lvl w:ilvl="7" w:tentative="0">
      <w:start w:val="1"/>
      <w:numFmt w:val="lowerLetter"/>
      <w:lvlText w:val="%8)"/>
      <w:lvlJc w:val="left"/>
      <w:pPr>
        <w:ind w:left="3644" w:hanging="420"/>
      </w:pPr>
    </w:lvl>
    <w:lvl w:ilvl="8" w:tentative="0">
      <w:start w:val="1"/>
      <w:numFmt w:val="lowerRoman"/>
      <w:lvlText w:val="%9."/>
      <w:lvlJc w:val="right"/>
      <w:pPr>
        <w:ind w:left="4064" w:hanging="420"/>
      </w:pPr>
    </w:lvl>
  </w:abstractNum>
  <w:abstractNum w:abstractNumId="59">
    <w:nsid w:val="4ECE89D1"/>
    <w:multiLevelType w:val="multilevel"/>
    <w:tmpl w:val="4ECE89D1"/>
    <w:lvl w:ilvl="0" w:tentative="0">
      <w:start w:val="1"/>
      <w:numFmt w:val="decimal"/>
      <w:suff w:val="space"/>
      <w:lvlText w:val="3.%1"/>
      <w:lvlJc w:val="left"/>
      <w:pPr>
        <w:tabs>
          <w:tab w:val="left" w:pos="420"/>
        </w:tabs>
        <w:ind w:left="420" w:hanging="420"/>
      </w:pPr>
      <w:rPr>
        <w:rFonts w:hint="default" w:ascii="宋体" w:hAnsi="宋体" w:eastAsia="宋体" w:cs="宋体"/>
        <w:b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0">
    <w:nsid w:val="53FC3277"/>
    <w:multiLevelType w:val="multilevel"/>
    <w:tmpl w:val="53FC3277"/>
    <w:lvl w:ilvl="0" w:tentative="0">
      <w:start w:val="1"/>
      <w:numFmt w:val="decimal"/>
      <w:lvlText w:val="%1. "/>
      <w:lvlJc w:val="left"/>
      <w:pPr>
        <w:ind w:left="1130" w:hanging="420"/>
      </w:pPr>
      <w:rPr>
        <w:rFonts w:hint="default" w:ascii="宋体" w:hAnsi="宋体" w:eastAsia="宋体"/>
        <w:b w:val="0"/>
        <w:strike w:val="0"/>
        <w:color w:val="auto"/>
        <w:sz w:val="24"/>
        <w:szCs w:val="24"/>
      </w:r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abstractNum w:abstractNumId="61">
    <w:nsid w:val="577C0B87"/>
    <w:multiLevelType w:val="multilevel"/>
    <w:tmpl w:val="577C0B87"/>
    <w:lvl w:ilvl="0" w:tentative="0">
      <w:start w:val="1"/>
      <w:numFmt w:val="chineseCountingThousand"/>
      <w:lvlText w:val="%1、"/>
      <w:lvlJc w:val="left"/>
      <w:pPr>
        <w:ind w:left="420" w:hanging="420"/>
      </w:pPr>
      <w:rPr>
        <w:rFonts w:hint="eastAsia"/>
        <w:sz w:val="28"/>
        <w:szCs w:val="28"/>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2">
    <w:nsid w:val="57EC4B70"/>
    <w:multiLevelType w:val="multilevel"/>
    <w:tmpl w:val="57EC4B70"/>
    <w:lvl w:ilvl="0" w:tentative="0">
      <w:start w:val="1"/>
      <w:numFmt w:val="decimal"/>
      <w:lvlText w:val="%1."/>
      <w:lvlJc w:val="left"/>
      <w:pPr>
        <w:ind w:left="420" w:hanging="420"/>
      </w:pPr>
      <w:rPr>
        <w:rFonts w:hint="default"/>
        <w:strike w:val="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3">
    <w:nsid w:val="5AC6264A"/>
    <w:multiLevelType w:val="multilevel"/>
    <w:tmpl w:val="5AC6264A"/>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64">
    <w:nsid w:val="5E7448BA"/>
    <w:multiLevelType w:val="multilevel"/>
    <w:tmpl w:val="5E7448BA"/>
    <w:lvl w:ilvl="0" w:tentative="0">
      <w:start w:val="1"/>
      <w:numFmt w:val="chineseCountingThousand"/>
      <w:lvlText w:val="附件%1："/>
      <w:lvlJc w:val="left"/>
      <w:pPr>
        <w:ind w:left="420" w:hanging="420"/>
      </w:pPr>
      <w:rPr>
        <w:rFonts w:hint="eastAsia"/>
        <w:sz w:val="32"/>
        <w:szCs w:val="3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5">
    <w:nsid w:val="5F0B61C6"/>
    <w:multiLevelType w:val="multilevel"/>
    <w:tmpl w:val="5F0B61C6"/>
    <w:lvl w:ilvl="0" w:tentative="0">
      <w:start w:val="1"/>
      <w:numFmt w:val="decimal"/>
      <w:lvlText w:val="1.%1"/>
      <w:lvlJc w:val="left"/>
      <w:pPr>
        <w:ind w:left="420" w:hanging="420"/>
      </w:pPr>
      <w:rPr>
        <w:rFonts w:hint="default" w:ascii="宋体" w:hAnsi="宋体" w:eastAsia="宋体" w:cs="宋体"/>
        <w:b w:val="0"/>
        <w:i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6">
    <w:nsid w:val="61D74F1B"/>
    <w:multiLevelType w:val="multilevel"/>
    <w:tmpl w:val="61D74F1B"/>
    <w:lvl w:ilvl="0" w:tentative="0">
      <w:start w:val="1"/>
      <w:numFmt w:val="decimal"/>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7">
    <w:nsid w:val="61F95093"/>
    <w:multiLevelType w:val="multilevel"/>
    <w:tmpl w:val="61F95093"/>
    <w:lvl w:ilvl="0" w:tentative="0">
      <w:start w:val="1"/>
      <w:numFmt w:val="decimal"/>
      <w:lvlText w:val="34.%1"/>
      <w:lvlJc w:val="left"/>
      <w:pPr>
        <w:ind w:left="420" w:hanging="420"/>
      </w:pPr>
      <w:rPr>
        <w:rFonts w:hint="default" w:ascii="宋体" w:hAnsi="宋体" w:eastAsia="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8">
    <w:nsid w:val="630C18EE"/>
    <w:multiLevelType w:val="multilevel"/>
    <w:tmpl w:val="630C18EE"/>
    <w:lvl w:ilvl="0" w:tentative="0">
      <w:start w:val="1"/>
      <w:numFmt w:val="decimal"/>
      <w:lvlText w:val="%1"/>
      <w:lvlJc w:val="center"/>
      <w:pPr>
        <w:ind w:left="420" w:hanging="420"/>
      </w:pPr>
      <w:rPr>
        <w:rFonts w:hint="eastAsia"/>
        <w:b w:val="0"/>
        <w:i w:val="0"/>
        <w:color w:val="auto"/>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9">
    <w:nsid w:val="6CA51B1C"/>
    <w:multiLevelType w:val="multilevel"/>
    <w:tmpl w:val="6CA51B1C"/>
    <w:lvl w:ilvl="0" w:tentative="0">
      <w:start w:val="1"/>
      <w:numFmt w:val="decimal"/>
      <w:lvlText w:val="31.%1 "/>
      <w:lvlJc w:val="left"/>
      <w:pPr>
        <w:ind w:left="1697" w:hanging="420"/>
      </w:pPr>
      <w:rPr>
        <w:rFonts w:hint="default" w:ascii="宋体" w:hAnsi="宋体" w:eastAsia="宋体" w:cs="宋体"/>
        <w:b w:val="0"/>
        <w:strike w:val="0"/>
        <w:color w:val="auto"/>
        <w:sz w:val="24"/>
        <w:szCs w:val="24"/>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0">
    <w:nsid w:val="6DB05059"/>
    <w:multiLevelType w:val="multilevel"/>
    <w:tmpl w:val="6DB05059"/>
    <w:lvl w:ilvl="0" w:tentative="0">
      <w:start w:val="1"/>
      <w:numFmt w:val="decimal"/>
      <w:lvlText w:val="15.%1"/>
      <w:lvlJc w:val="left"/>
      <w:pPr>
        <w:ind w:left="1130" w:hanging="420"/>
      </w:pPr>
      <w:rPr>
        <w:rFonts w:hint="default" w:ascii="宋体" w:hAnsi="宋体" w:eastAsia="宋体" w:cs="宋体"/>
        <w:b/>
        <w:strike w:val="0"/>
        <w:sz w:val="24"/>
        <w:szCs w:val="24"/>
      </w:rPr>
    </w:lvl>
    <w:lvl w:ilvl="1" w:tentative="0">
      <w:start w:val="1"/>
      <w:numFmt w:val="lowerLetter"/>
      <w:lvlText w:val="%2)"/>
      <w:lvlJc w:val="left"/>
      <w:pPr>
        <w:ind w:left="1550" w:hanging="420"/>
      </w:pPr>
    </w:lvl>
    <w:lvl w:ilvl="2" w:tentative="0">
      <w:start w:val="1"/>
      <w:numFmt w:val="lowerRoman"/>
      <w:lvlText w:val="%3."/>
      <w:lvlJc w:val="right"/>
      <w:pPr>
        <w:ind w:left="1970" w:hanging="420"/>
      </w:pPr>
    </w:lvl>
    <w:lvl w:ilvl="3" w:tentative="0">
      <w:start w:val="1"/>
      <w:numFmt w:val="decimal"/>
      <w:lvlText w:val="%4."/>
      <w:lvlJc w:val="left"/>
      <w:pPr>
        <w:ind w:left="2390" w:hanging="420"/>
      </w:pPr>
    </w:lvl>
    <w:lvl w:ilvl="4" w:tentative="0">
      <w:start w:val="1"/>
      <w:numFmt w:val="lowerLetter"/>
      <w:lvlText w:val="%5)"/>
      <w:lvlJc w:val="left"/>
      <w:pPr>
        <w:ind w:left="2810" w:hanging="420"/>
      </w:pPr>
    </w:lvl>
    <w:lvl w:ilvl="5" w:tentative="0">
      <w:start w:val="1"/>
      <w:numFmt w:val="lowerRoman"/>
      <w:lvlText w:val="%6."/>
      <w:lvlJc w:val="right"/>
      <w:pPr>
        <w:ind w:left="3230" w:hanging="420"/>
      </w:pPr>
    </w:lvl>
    <w:lvl w:ilvl="6" w:tentative="0">
      <w:start w:val="1"/>
      <w:numFmt w:val="decimal"/>
      <w:lvlText w:val="%7."/>
      <w:lvlJc w:val="left"/>
      <w:pPr>
        <w:ind w:left="3650" w:hanging="420"/>
      </w:pPr>
    </w:lvl>
    <w:lvl w:ilvl="7" w:tentative="0">
      <w:start w:val="1"/>
      <w:numFmt w:val="lowerLetter"/>
      <w:lvlText w:val="%8)"/>
      <w:lvlJc w:val="left"/>
      <w:pPr>
        <w:ind w:left="4070" w:hanging="420"/>
      </w:pPr>
    </w:lvl>
    <w:lvl w:ilvl="8" w:tentative="0">
      <w:start w:val="1"/>
      <w:numFmt w:val="lowerRoman"/>
      <w:lvlText w:val="%9."/>
      <w:lvlJc w:val="right"/>
      <w:pPr>
        <w:ind w:left="4490" w:hanging="420"/>
      </w:pPr>
    </w:lvl>
  </w:abstractNum>
  <w:abstractNum w:abstractNumId="71">
    <w:nsid w:val="769621F4"/>
    <w:multiLevelType w:val="multilevel"/>
    <w:tmpl w:val="769621F4"/>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abstractNum w:abstractNumId="72">
    <w:nsid w:val="77BA7793"/>
    <w:multiLevelType w:val="multilevel"/>
    <w:tmpl w:val="77BA7793"/>
    <w:lvl w:ilvl="0" w:tentative="0">
      <w:start w:val="1"/>
      <w:numFmt w:val="japaneseCounting"/>
      <w:lvlText w:val="%1、"/>
      <w:lvlJc w:val="left"/>
      <w:pPr>
        <w:ind w:left="1200" w:hanging="720"/>
      </w:pPr>
      <w:rPr>
        <w:rFonts w:hint="eastAsia"/>
        <w:b/>
        <w:bCs w:val="0"/>
        <w:i w:val="0"/>
        <w:iCs w:val="0"/>
        <w:strike w:val="0"/>
        <w:dstrike w:val="0"/>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73">
    <w:nsid w:val="780F35E0"/>
    <w:multiLevelType w:val="multilevel"/>
    <w:tmpl w:val="780F35E0"/>
    <w:lvl w:ilvl="0" w:tentative="0">
      <w:start w:val="1"/>
      <w:numFmt w:val="decimal"/>
      <w:lvlText w:val="%1."/>
      <w:lvlJc w:val="left"/>
      <w:pPr>
        <w:ind w:left="902" w:hanging="420"/>
      </w:pPr>
      <w:rPr>
        <w:rFonts w:hint="default" w:ascii="宋体" w:hAnsi="宋体" w:eastAsia="宋体"/>
        <w:b w:val="0"/>
        <w:color w:val="auto"/>
      </w:rPr>
    </w:lvl>
    <w:lvl w:ilvl="1" w:tentative="0">
      <w:start w:val="1"/>
      <w:numFmt w:val="lowerLetter"/>
      <w:lvlText w:val="%2)"/>
      <w:lvlJc w:val="left"/>
      <w:pPr>
        <w:ind w:left="1322" w:hanging="420"/>
      </w:pPr>
    </w:lvl>
    <w:lvl w:ilvl="2" w:tentative="0">
      <w:start w:val="1"/>
      <w:numFmt w:val="lowerRoman"/>
      <w:lvlText w:val="%3."/>
      <w:lvlJc w:val="right"/>
      <w:pPr>
        <w:ind w:left="1742" w:hanging="420"/>
      </w:pPr>
    </w:lvl>
    <w:lvl w:ilvl="3" w:tentative="0">
      <w:start w:val="1"/>
      <w:numFmt w:val="decimal"/>
      <w:lvlText w:val="%4."/>
      <w:lvlJc w:val="left"/>
      <w:pPr>
        <w:ind w:left="2162" w:hanging="420"/>
      </w:pPr>
    </w:lvl>
    <w:lvl w:ilvl="4" w:tentative="0">
      <w:start w:val="1"/>
      <w:numFmt w:val="lowerLetter"/>
      <w:lvlText w:val="%5)"/>
      <w:lvlJc w:val="left"/>
      <w:pPr>
        <w:ind w:left="2582" w:hanging="420"/>
      </w:pPr>
    </w:lvl>
    <w:lvl w:ilvl="5" w:tentative="0">
      <w:start w:val="1"/>
      <w:numFmt w:val="lowerRoman"/>
      <w:lvlText w:val="%6."/>
      <w:lvlJc w:val="right"/>
      <w:pPr>
        <w:ind w:left="3002" w:hanging="420"/>
      </w:pPr>
    </w:lvl>
    <w:lvl w:ilvl="6" w:tentative="0">
      <w:start w:val="1"/>
      <w:numFmt w:val="decimal"/>
      <w:lvlText w:val="%7."/>
      <w:lvlJc w:val="left"/>
      <w:pPr>
        <w:ind w:left="3422" w:hanging="420"/>
      </w:pPr>
    </w:lvl>
    <w:lvl w:ilvl="7" w:tentative="0">
      <w:start w:val="1"/>
      <w:numFmt w:val="lowerLetter"/>
      <w:lvlText w:val="%8)"/>
      <w:lvlJc w:val="left"/>
      <w:pPr>
        <w:ind w:left="3842" w:hanging="420"/>
      </w:pPr>
    </w:lvl>
    <w:lvl w:ilvl="8" w:tentative="0">
      <w:start w:val="1"/>
      <w:numFmt w:val="lowerRoman"/>
      <w:lvlText w:val="%9."/>
      <w:lvlJc w:val="right"/>
      <w:pPr>
        <w:ind w:left="4262" w:hanging="420"/>
      </w:pPr>
    </w:lvl>
  </w:abstractNum>
  <w:num w:numId="1">
    <w:abstractNumId w:val="58"/>
  </w:num>
  <w:num w:numId="2">
    <w:abstractNumId w:val="6"/>
  </w:num>
  <w:num w:numId="3">
    <w:abstractNumId w:val="49"/>
  </w:num>
  <w:num w:numId="4">
    <w:abstractNumId w:val="3"/>
  </w:num>
  <w:num w:numId="5">
    <w:abstractNumId w:val="22"/>
  </w:num>
  <w:num w:numId="6">
    <w:abstractNumId w:val="27"/>
  </w:num>
  <w:num w:numId="7">
    <w:abstractNumId w:val="25"/>
  </w:num>
  <w:num w:numId="8">
    <w:abstractNumId w:val="37"/>
  </w:num>
  <w:num w:numId="9">
    <w:abstractNumId w:val="0"/>
  </w:num>
  <w:num w:numId="10">
    <w:abstractNumId w:val="14"/>
  </w:num>
  <w:num w:numId="11">
    <w:abstractNumId w:val="4"/>
  </w:num>
  <w:num w:numId="12">
    <w:abstractNumId w:val="42"/>
  </w:num>
  <w:num w:numId="13">
    <w:abstractNumId w:val="43"/>
  </w:num>
  <w:num w:numId="14">
    <w:abstractNumId w:val="19"/>
  </w:num>
  <w:num w:numId="15">
    <w:abstractNumId w:val="2"/>
  </w:num>
  <w:num w:numId="16">
    <w:abstractNumId w:val="7"/>
  </w:num>
  <w:num w:numId="17">
    <w:abstractNumId w:val="20"/>
  </w:num>
  <w:num w:numId="18">
    <w:abstractNumId w:val="11"/>
  </w:num>
  <w:num w:numId="19">
    <w:abstractNumId w:val="38"/>
  </w:num>
  <w:num w:numId="20">
    <w:abstractNumId w:val="46"/>
  </w:num>
  <w:num w:numId="21">
    <w:abstractNumId w:val="10"/>
  </w:num>
  <w:num w:numId="22">
    <w:abstractNumId w:val="35"/>
  </w:num>
  <w:num w:numId="23">
    <w:abstractNumId w:val="44"/>
  </w:num>
  <w:num w:numId="24">
    <w:abstractNumId w:val="56"/>
  </w:num>
  <w:num w:numId="25">
    <w:abstractNumId w:val="55"/>
  </w:num>
  <w:num w:numId="26">
    <w:abstractNumId w:val="12"/>
  </w:num>
  <w:num w:numId="27">
    <w:abstractNumId w:val="5"/>
  </w:num>
  <w:num w:numId="28">
    <w:abstractNumId w:val="29"/>
  </w:num>
  <w:num w:numId="29">
    <w:abstractNumId w:val="33"/>
  </w:num>
  <w:num w:numId="30">
    <w:abstractNumId w:val="21"/>
  </w:num>
  <w:num w:numId="31">
    <w:abstractNumId w:val="52"/>
  </w:num>
  <w:num w:numId="32">
    <w:abstractNumId w:val="18"/>
  </w:num>
  <w:num w:numId="33">
    <w:abstractNumId w:val="69"/>
  </w:num>
  <w:num w:numId="34">
    <w:abstractNumId w:val="67"/>
  </w:num>
  <w:num w:numId="35">
    <w:abstractNumId w:val="53"/>
  </w:num>
  <w:num w:numId="36">
    <w:abstractNumId w:val="54"/>
  </w:num>
  <w:num w:numId="37">
    <w:abstractNumId w:val="13"/>
  </w:num>
  <w:num w:numId="38">
    <w:abstractNumId w:val="50"/>
  </w:num>
  <w:num w:numId="39">
    <w:abstractNumId w:val="17"/>
  </w:num>
  <w:num w:numId="40">
    <w:abstractNumId w:val="1"/>
  </w:num>
  <w:num w:numId="41">
    <w:abstractNumId w:val="40"/>
  </w:num>
  <w:num w:numId="42">
    <w:abstractNumId w:val="61"/>
  </w:num>
  <w:num w:numId="43">
    <w:abstractNumId w:val="66"/>
  </w:num>
  <w:num w:numId="44">
    <w:abstractNumId w:val="24"/>
  </w:num>
  <w:num w:numId="45">
    <w:abstractNumId w:val="59"/>
  </w:num>
  <w:num w:numId="46">
    <w:abstractNumId w:val="51"/>
  </w:num>
  <w:num w:numId="47">
    <w:abstractNumId w:val="62"/>
  </w:num>
  <w:num w:numId="48">
    <w:abstractNumId w:val="8"/>
  </w:num>
  <w:num w:numId="49">
    <w:abstractNumId w:val="47"/>
  </w:num>
  <w:num w:numId="50">
    <w:abstractNumId w:val="23"/>
  </w:num>
  <w:num w:numId="51">
    <w:abstractNumId w:val="16"/>
  </w:num>
  <w:num w:numId="52">
    <w:abstractNumId w:val="15"/>
  </w:num>
  <w:num w:numId="53">
    <w:abstractNumId w:val="9"/>
  </w:num>
  <w:num w:numId="54">
    <w:abstractNumId w:val="30"/>
  </w:num>
  <w:num w:numId="55">
    <w:abstractNumId w:val="39"/>
  </w:num>
  <w:num w:numId="56">
    <w:abstractNumId w:val="72"/>
  </w:num>
  <w:num w:numId="57">
    <w:abstractNumId w:val="28"/>
  </w:num>
  <w:num w:numId="58">
    <w:abstractNumId w:val="36"/>
  </w:num>
  <w:num w:numId="59">
    <w:abstractNumId w:val="71"/>
  </w:num>
  <w:num w:numId="60">
    <w:abstractNumId w:val="63"/>
  </w:num>
  <w:num w:numId="61">
    <w:abstractNumId w:val="73"/>
  </w:num>
  <w:num w:numId="62">
    <w:abstractNumId w:val="41"/>
  </w:num>
  <w:num w:numId="63">
    <w:abstractNumId w:val="57"/>
  </w:num>
  <w:num w:numId="64">
    <w:abstractNumId w:val="65"/>
  </w:num>
  <w:num w:numId="65">
    <w:abstractNumId w:val="64"/>
  </w:num>
  <w:num w:numId="66">
    <w:abstractNumId w:val="68"/>
  </w:num>
  <w:num w:numId="67">
    <w:abstractNumId w:val="31"/>
  </w:num>
  <w:num w:numId="68">
    <w:abstractNumId w:val="34"/>
  </w:num>
  <w:num w:numId="69">
    <w:abstractNumId w:val="45"/>
  </w:num>
  <w:num w:numId="70">
    <w:abstractNumId w:val="60"/>
  </w:num>
  <w:num w:numId="71">
    <w:abstractNumId w:val="32"/>
  </w:num>
  <w:num w:numId="72">
    <w:abstractNumId w:val="26"/>
  </w:num>
  <w:num w:numId="73">
    <w:abstractNumId w:val="48"/>
  </w:num>
  <w:num w:numId="74">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0"/>
  <w:hyphenationZone w:val="36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JhYjlkMDU3MjI5ODg5MzIxMTIzMGUxNTFhNjg2YmYifQ=="/>
  </w:docVars>
  <w:rsids>
    <w:rsidRoot w:val="00201145"/>
    <w:rsid w:val="0000014A"/>
    <w:rsid w:val="0000031F"/>
    <w:rsid w:val="00000C4B"/>
    <w:rsid w:val="00000CA8"/>
    <w:rsid w:val="0000100F"/>
    <w:rsid w:val="0000159F"/>
    <w:rsid w:val="00001776"/>
    <w:rsid w:val="000018F8"/>
    <w:rsid w:val="00002448"/>
    <w:rsid w:val="00002A14"/>
    <w:rsid w:val="00003D83"/>
    <w:rsid w:val="00004B56"/>
    <w:rsid w:val="0000511B"/>
    <w:rsid w:val="000057CE"/>
    <w:rsid w:val="00005B94"/>
    <w:rsid w:val="000064C0"/>
    <w:rsid w:val="00006F26"/>
    <w:rsid w:val="0000779C"/>
    <w:rsid w:val="00007849"/>
    <w:rsid w:val="00007E8E"/>
    <w:rsid w:val="00010489"/>
    <w:rsid w:val="00010770"/>
    <w:rsid w:val="000119CA"/>
    <w:rsid w:val="000121FF"/>
    <w:rsid w:val="0001240A"/>
    <w:rsid w:val="00012664"/>
    <w:rsid w:val="00012D68"/>
    <w:rsid w:val="00012FAB"/>
    <w:rsid w:val="0001302A"/>
    <w:rsid w:val="000130FC"/>
    <w:rsid w:val="000135FB"/>
    <w:rsid w:val="00014BDE"/>
    <w:rsid w:val="00015D88"/>
    <w:rsid w:val="000165A4"/>
    <w:rsid w:val="000165DA"/>
    <w:rsid w:val="000169BE"/>
    <w:rsid w:val="00016B2E"/>
    <w:rsid w:val="00016BC6"/>
    <w:rsid w:val="000172A6"/>
    <w:rsid w:val="00017852"/>
    <w:rsid w:val="00017DFB"/>
    <w:rsid w:val="00017F05"/>
    <w:rsid w:val="00020A15"/>
    <w:rsid w:val="00020E32"/>
    <w:rsid w:val="00021211"/>
    <w:rsid w:val="00021543"/>
    <w:rsid w:val="000219EF"/>
    <w:rsid w:val="00023B96"/>
    <w:rsid w:val="00023F8C"/>
    <w:rsid w:val="00024BFB"/>
    <w:rsid w:val="00024C29"/>
    <w:rsid w:val="00026484"/>
    <w:rsid w:val="00026535"/>
    <w:rsid w:val="00026ADC"/>
    <w:rsid w:val="00027820"/>
    <w:rsid w:val="00027DCF"/>
    <w:rsid w:val="0003039E"/>
    <w:rsid w:val="0003173D"/>
    <w:rsid w:val="00032D25"/>
    <w:rsid w:val="00033225"/>
    <w:rsid w:val="00033E8E"/>
    <w:rsid w:val="000341E7"/>
    <w:rsid w:val="00034A0B"/>
    <w:rsid w:val="00035604"/>
    <w:rsid w:val="00036506"/>
    <w:rsid w:val="00036B41"/>
    <w:rsid w:val="00036B9C"/>
    <w:rsid w:val="000377E5"/>
    <w:rsid w:val="00037BD7"/>
    <w:rsid w:val="00040310"/>
    <w:rsid w:val="00040516"/>
    <w:rsid w:val="0004059F"/>
    <w:rsid w:val="00040F28"/>
    <w:rsid w:val="0004136E"/>
    <w:rsid w:val="000415A0"/>
    <w:rsid w:val="000417D6"/>
    <w:rsid w:val="00041B3F"/>
    <w:rsid w:val="00041D01"/>
    <w:rsid w:val="00042BF7"/>
    <w:rsid w:val="00043190"/>
    <w:rsid w:val="0004464B"/>
    <w:rsid w:val="00044B83"/>
    <w:rsid w:val="00044C5B"/>
    <w:rsid w:val="0004694F"/>
    <w:rsid w:val="00046EE4"/>
    <w:rsid w:val="00047AE9"/>
    <w:rsid w:val="00047B05"/>
    <w:rsid w:val="00047B96"/>
    <w:rsid w:val="000506A0"/>
    <w:rsid w:val="000507AA"/>
    <w:rsid w:val="00050807"/>
    <w:rsid w:val="00050A7E"/>
    <w:rsid w:val="000532F3"/>
    <w:rsid w:val="00053666"/>
    <w:rsid w:val="00053F41"/>
    <w:rsid w:val="00054C08"/>
    <w:rsid w:val="00054E24"/>
    <w:rsid w:val="00054FA1"/>
    <w:rsid w:val="00055DE3"/>
    <w:rsid w:val="00055F40"/>
    <w:rsid w:val="000567EB"/>
    <w:rsid w:val="000568C4"/>
    <w:rsid w:val="000568F5"/>
    <w:rsid w:val="000572B9"/>
    <w:rsid w:val="00057884"/>
    <w:rsid w:val="00060811"/>
    <w:rsid w:val="000608B3"/>
    <w:rsid w:val="000610FF"/>
    <w:rsid w:val="000619B0"/>
    <w:rsid w:val="00061E06"/>
    <w:rsid w:val="000621B0"/>
    <w:rsid w:val="0006258C"/>
    <w:rsid w:val="00063061"/>
    <w:rsid w:val="00063169"/>
    <w:rsid w:val="0006322E"/>
    <w:rsid w:val="00063686"/>
    <w:rsid w:val="000637AD"/>
    <w:rsid w:val="00063830"/>
    <w:rsid w:val="000639D8"/>
    <w:rsid w:val="00063E5E"/>
    <w:rsid w:val="000642C6"/>
    <w:rsid w:val="000659B5"/>
    <w:rsid w:val="00065E3D"/>
    <w:rsid w:val="00066B97"/>
    <w:rsid w:val="00067241"/>
    <w:rsid w:val="00067288"/>
    <w:rsid w:val="000674AF"/>
    <w:rsid w:val="00067954"/>
    <w:rsid w:val="00067E35"/>
    <w:rsid w:val="00067FF7"/>
    <w:rsid w:val="0007101D"/>
    <w:rsid w:val="00071ED3"/>
    <w:rsid w:val="0007234D"/>
    <w:rsid w:val="00072690"/>
    <w:rsid w:val="00073A13"/>
    <w:rsid w:val="0007405B"/>
    <w:rsid w:val="000749FE"/>
    <w:rsid w:val="00074A1B"/>
    <w:rsid w:val="00074DB0"/>
    <w:rsid w:val="0007562C"/>
    <w:rsid w:val="000768FE"/>
    <w:rsid w:val="00076D09"/>
    <w:rsid w:val="00076E6C"/>
    <w:rsid w:val="00076EBC"/>
    <w:rsid w:val="000774A5"/>
    <w:rsid w:val="0008028E"/>
    <w:rsid w:val="000802EB"/>
    <w:rsid w:val="00080A9D"/>
    <w:rsid w:val="00080F69"/>
    <w:rsid w:val="0008143F"/>
    <w:rsid w:val="00081938"/>
    <w:rsid w:val="00081B86"/>
    <w:rsid w:val="00081D33"/>
    <w:rsid w:val="00082A5E"/>
    <w:rsid w:val="00082ADE"/>
    <w:rsid w:val="00082CA5"/>
    <w:rsid w:val="00082D1B"/>
    <w:rsid w:val="0008304C"/>
    <w:rsid w:val="000842C3"/>
    <w:rsid w:val="0008443B"/>
    <w:rsid w:val="00084804"/>
    <w:rsid w:val="00084ADA"/>
    <w:rsid w:val="00084D29"/>
    <w:rsid w:val="00084F43"/>
    <w:rsid w:val="000853D5"/>
    <w:rsid w:val="00085A02"/>
    <w:rsid w:val="00086A7D"/>
    <w:rsid w:val="00086D1D"/>
    <w:rsid w:val="000874C7"/>
    <w:rsid w:val="00087964"/>
    <w:rsid w:val="000907A0"/>
    <w:rsid w:val="00090940"/>
    <w:rsid w:val="00090EA3"/>
    <w:rsid w:val="000910E7"/>
    <w:rsid w:val="00091AFE"/>
    <w:rsid w:val="000923DD"/>
    <w:rsid w:val="0009272A"/>
    <w:rsid w:val="000928C5"/>
    <w:rsid w:val="00092FAB"/>
    <w:rsid w:val="00092FF5"/>
    <w:rsid w:val="0009335F"/>
    <w:rsid w:val="000942CB"/>
    <w:rsid w:val="00095264"/>
    <w:rsid w:val="00095BA7"/>
    <w:rsid w:val="00095D0F"/>
    <w:rsid w:val="0009761E"/>
    <w:rsid w:val="000A008C"/>
    <w:rsid w:val="000A0F0F"/>
    <w:rsid w:val="000A1261"/>
    <w:rsid w:val="000A1CA5"/>
    <w:rsid w:val="000A1D95"/>
    <w:rsid w:val="000A1E99"/>
    <w:rsid w:val="000A2D02"/>
    <w:rsid w:val="000A2D0F"/>
    <w:rsid w:val="000A36DE"/>
    <w:rsid w:val="000A420C"/>
    <w:rsid w:val="000A4420"/>
    <w:rsid w:val="000A45B2"/>
    <w:rsid w:val="000A53E7"/>
    <w:rsid w:val="000A60C9"/>
    <w:rsid w:val="000A6794"/>
    <w:rsid w:val="000A6A4C"/>
    <w:rsid w:val="000A7ADE"/>
    <w:rsid w:val="000B0078"/>
    <w:rsid w:val="000B09B9"/>
    <w:rsid w:val="000B0E9F"/>
    <w:rsid w:val="000B22D4"/>
    <w:rsid w:val="000B2CD4"/>
    <w:rsid w:val="000B2D7D"/>
    <w:rsid w:val="000B3C31"/>
    <w:rsid w:val="000B413D"/>
    <w:rsid w:val="000B4887"/>
    <w:rsid w:val="000B4F29"/>
    <w:rsid w:val="000B5891"/>
    <w:rsid w:val="000B6B98"/>
    <w:rsid w:val="000B70E1"/>
    <w:rsid w:val="000B71E2"/>
    <w:rsid w:val="000B7C48"/>
    <w:rsid w:val="000B7D9A"/>
    <w:rsid w:val="000C013D"/>
    <w:rsid w:val="000C0D47"/>
    <w:rsid w:val="000C0EB0"/>
    <w:rsid w:val="000C1474"/>
    <w:rsid w:val="000C208C"/>
    <w:rsid w:val="000C26A3"/>
    <w:rsid w:val="000C2793"/>
    <w:rsid w:val="000C2DB6"/>
    <w:rsid w:val="000C3104"/>
    <w:rsid w:val="000C3B22"/>
    <w:rsid w:val="000C3F32"/>
    <w:rsid w:val="000C59F3"/>
    <w:rsid w:val="000C5CAE"/>
    <w:rsid w:val="000C630D"/>
    <w:rsid w:val="000C664D"/>
    <w:rsid w:val="000C7061"/>
    <w:rsid w:val="000C7655"/>
    <w:rsid w:val="000D0095"/>
    <w:rsid w:val="000D03BB"/>
    <w:rsid w:val="000D0693"/>
    <w:rsid w:val="000D0812"/>
    <w:rsid w:val="000D092F"/>
    <w:rsid w:val="000D0A56"/>
    <w:rsid w:val="000D10A0"/>
    <w:rsid w:val="000D1CC6"/>
    <w:rsid w:val="000D1F6B"/>
    <w:rsid w:val="000D2D23"/>
    <w:rsid w:val="000D2D90"/>
    <w:rsid w:val="000D3C26"/>
    <w:rsid w:val="000D3FDE"/>
    <w:rsid w:val="000D499D"/>
    <w:rsid w:val="000D4CC5"/>
    <w:rsid w:val="000D5A40"/>
    <w:rsid w:val="000D5BCA"/>
    <w:rsid w:val="000D5FAD"/>
    <w:rsid w:val="000D67E8"/>
    <w:rsid w:val="000D69FC"/>
    <w:rsid w:val="000D7F38"/>
    <w:rsid w:val="000E0A54"/>
    <w:rsid w:val="000E127F"/>
    <w:rsid w:val="000E14DD"/>
    <w:rsid w:val="000E1866"/>
    <w:rsid w:val="000E1889"/>
    <w:rsid w:val="000E28C4"/>
    <w:rsid w:val="000E2BC0"/>
    <w:rsid w:val="000E37A9"/>
    <w:rsid w:val="000E3C87"/>
    <w:rsid w:val="000E43B3"/>
    <w:rsid w:val="000E4A98"/>
    <w:rsid w:val="000E5E8C"/>
    <w:rsid w:val="000E6438"/>
    <w:rsid w:val="000E6B06"/>
    <w:rsid w:val="000E6B16"/>
    <w:rsid w:val="000E6BF1"/>
    <w:rsid w:val="000E6DC1"/>
    <w:rsid w:val="000E72AD"/>
    <w:rsid w:val="000F01CD"/>
    <w:rsid w:val="000F05F3"/>
    <w:rsid w:val="000F065A"/>
    <w:rsid w:val="000F0CD1"/>
    <w:rsid w:val="000F0E9F"/>
    <w:rsid w:val="000F2E1F"/>
    <w:rsid w:val="000F32F1"/>
    <w:rsid w:val="000F3789"/>
    <w:rsid w:val="000F4EBA"/>
    <w:rsid w:val="000F546F"/>
    <w:rsid w:val="000F5CEC"/>
    <w:rsid w:val="000F694D"/>
    <w:rsid w:val="000F6AA4"/>
    <w:rsid w:val="000F7035"/>
    <w:rsid w:val="000F7D1E"/>
    <w:rsid w:val="00100853"/>
    <w:rsid w:val="00100F58"/>
    <w:rsid w:val="00101443"/>
    <w:rsid w:val="0010291A"/>
    <w:rsid w:val="00102EC6"/>
    <w:rsid w:val="00103C36"/>
    <w:rsid w:val="0010432F"/>
    <w:rsid w:val="00104A9C"/>
    <w:rsid w:val="00105022"/>
    <w:rsid w:val="00105B03"/>
    <w:rsid w:val="00105E76"/>
    <w:rsid w:val="001064BF"/>
    <w:rsid w:val="001066A5"/>
    <w:rsid w:val="00106C65"/>
    <w:rsid w:val="00107122"/>
    <w:rsid w:val="00107BCB"/>
    <w:rsid w:val="001104FD"/>
    <w:rsid w:val="00110B8F"/>
    <w:rsid w:val="00110D48"/>
    <w:rsid w:val="00111250"/>
    <w:rsid w:val="001116FC"/>
    <w:rsid w:val="00112E62"/>
    <w:rsid w:val="0011328D"/>
    <w:rsid w:val="0011329C"/>
    <w:rsid w:val="00113B2F"/>
    <w:rsid w:val="00113BA5"/>
    <w:rsid w:val="00113C66"/>
    <w:rsid w:val="001142DD"/>
    <w:rsid w:val="00115274"/>
    <w:rsid w:val="001153B1"/>
    <w:rsid w:val="0011592C"/>
    <w:rsid w:val="00115B31"/>
    <w:rsid w:val="00117D17"/>
    <w:rsid w:val="00117F77"/>
    <w:rsid w:val="001201F7"/>
    <w:rsid w:val="0012112B"/>
    <w:rsid w:val="00121507"/>
    <w:rsid w:val="001222C0"/>
    <w:rsid w:val="0012274D"/>
    <w:rsid w:val="00122E03"/>
    <w:rsid w:val="00123679"/>
    <w:rsid w:val="00123704"/>
    <w:rsid w:val="00123A00"/>
    <w:rsid w:val="001245E0"/>
    <w:rsid w:val="00124AE3"/>
    <w:rsid w:val="001266F9"/>
    <w:rsid w:val="00126951"/>
    <w:rsid w:val="0012695A"/>
    <w:rsid w:val="0012744E"/>
    <w:rsid w:val="001275A1"/>
    <w:rsid w:val="00127A06"/>
    <w:rsid w:val="00127A41"/>
    <w:rsid w:val="001300FE"/>
    <w:rsid w:val="00130B15"/>
    <w:rsid w:val="00130BF6"/>
    <w:rsid w:val="00130D83"/>
    <w:rsid w:val="001315B6"/>
    <w:rsid w:val="00132967"/>
    <w:rsid w:val="001332D7"/>
    <w:rsid w:val="0013347D"/>
    <w:rsid w:val="001335CC"/>
    <w:rsid w:val="001358CA"/>
    <w:rsid w:val="00135C72"/>
    <w:rsid w:val="00136158"/>
    <w:rsid w:val="00136730"/>
    <w:rsid w:val="00137209"/>
    <w:rsid w:val="001376D7"/>
    <w:rsid w:val="0014044C"/>
    <w:rsid w:val="00140A9F"/>
    <w:rsid w:val="00140E04"/>
    <w:rsid w:val="00140E38"/>
    <w:rsid w:val="001415F4"/>
    <w:rsid w:val="00141639"/>
    <w:rsid w:val="00141789"/>
    <w:rsid w:val="00141ABF"/>
    <w:rsid w:val="00142967"/>
    <w:rsid w:val="00143646"/>
    <w:rsid w:val="00143B19"/>
    <w:rsid w:val="00144225"/>
    <w:rsid w:val="001449A9"/>
    <w:rsid w:val="0014511D"/>
    <w:rsid w:val="00145AA8"/>
    <w:rsid w:val="00145F05"/>
    <w:rsid w:val="0014649A"/>
    <w:rsid w:val="00147001"/>
    <w:rsid w:val="001479DB"/>
    <w:rsid w:val="001505CC"/>
    <w:rsid w:val="001508AB"/>
    <w:rsid w:val="00150975"/>
    <w:rsid w:val="0015146E"/>
    <w:rsid w:val="001514EB"/>
    <w:rsid w:val="00151CE8"/>
    <w:rsid w:val="00151E43"/>
    <w:rsid w:val="0015212D"/>
    <w:rsid w:val="001522AC"/>
    <w:rsid w:val="00152AE0"/>
    <w:rsid w:val="00153070"/>
    <w:rsid w:val="00153BA8"/>
    <w:rsid w:val="00153E85"/>
    <w:rsid w:val="00153FD4"/>
    <w:rsid w:val="00154B20"/>
    <w:rsid w:val="0015505C"/>
    <w:rsid w:val="00155374"/>
    <w:rsid w:val="001555EB"/>
    <w:rsid w:val="00155A3F"/>
    <w:rsid w:val="001563C3"/>
    <w:rsid w:val="001564B9"/>
    <w:rsid w:val="00156900"/>
    <w:rsid w:val="00156CBF"/>
    <w:rsid w:val="00156E05"/>
    <w:rsid w:val="0015741A"/>
    <w:rsid w:val="0015787D"/>
    <w:rsid w:val="00157A38"/>
    <w:rsid w:val="0016263E"/>
    <w:rsid w:val="001632CA"/>
    <w:rsid w:val="001632EF"/>
    <w:rsid w:val="00163320"/>
    <w:rsid w:val="001639E7"/>
    <w:rsid w:val="00163B5B"/>
    <w:rsid w:val="001642E5"/>
    <w:rsid w:val="00164433"/>
    <w:rsid w:val="00164967"/>
    <w:rsid w:val="0016498C"/>
    <w:rsid w:val="0016546D"/>
    <w:rsid w:val="00165A24"/>
    <w:rsid w:val="00166A93"/>
    <w:rsid w:val="00167194"/>
    <w:rsid w:val="00170B48"/>
    <w:rsid w:val="00170EC5"/>
    <w:rsid w:val="00171014"/>
    <w:rsid w:val="001710F3"/>
    <w:rsid w:val="0017228A"/>
    <w:rsid w:val="00172353"/>
    <w:rsid w:val="001724A5"/>
    <w:rsid w:val="0017271F"/>
    <w:rsid w:val="00173E35"/>
    <w:rsid w:val="00174A5D"/>
    <w:rsid w:val="00174C9B"/>
    <w:rsid w:val="0017692D"/>
    <w:rsid w:val="00176C11"/>
    <w:rsid w:val="0017731E"/>
    <w:rsid w:val="0017733E"/>
    <w:rsid w:val="001773FD"/>
    <w:rsid w:val="00177DF3"/>
    <w:rsid w:val="001801EB"/>
    <w:rsid w:val="00180F81"/>
    <w:rsid w:val="00181BAA"/>
    <w:rsid w:val="00181C24"/>
    <w:rsid w:val="00181D11"/>
    <w:rsid w:val="00182702"/>
    <w:rsid w:val="00182B31"/>
    <w:rsid w:val="00182C8A"/>
    <w:rsid w:val="00182DAD"/>
    <w:rsid w:val="0018344D"/>
    <w:rsid w:val="00183B2B"/>
    <w:rsid w:val="00184393"/>
    <w:rsid w:val="00184691"/>
    <w:rsid w:val="00185045"/>
    <w:rsid w:val="001868DB"/>
    <w:rsid w:val="00186C5B"/>
    <w:rsid w:val="0018777D"/>
    <w:rsid w:val="00187D86"/>
    <w:rsid w:val="00190080"/>
    <w:rsid w:val="00191BDB"/>
    <w:rsid w:val="001928E4"/>
    <w:rsid w:val="00192B00"/>
    <w:rsid w:val="001932CE"/>
    <w:rsid w:val="00193382"/>
    <w:rsid w:val="00193658"/>
    <w:rsid w:val="001940B4"/>
    <w:rsid w:val="0019458C"/>
    <w:rsid w:val="00194BC0"/>
    <w:rsid w:val="00195B91"/>
    <w:rsid w:val="00195DF4"/>
    <w:rsid w:val="001962FC"/>
    <w:rsid w:val="00196AD6"/>
    <w:rsid w:val="0019734D"/>
    <w:rsid w:val="0019747A"/>
    <w:rsid w:val="00197A32"/>
    <w:rsid w:val="00197F14"/>
    <w:rsid w:val="001A04A2"/>
    <w:rsid w:val="001A079D"/>
    <w:rsid w:val="001A129C"/>
    <w:rsid w:val="001A1893"/>
    <w:rsid w:val="001A1D7B"/>
    <w:rsid w:val="001A2C79"/>
    <w:rsid w:val="001A2F88"/>
    <w:rsid w:val="001A3271"/>
    <w:rsid w:val="001A3636"/>
    <w:rsid w:val="001A3EA2"/>
    <w:rsid w:val="001A44A5"/>
    <w:rsid w:val="001A55A9"/>
    <w:rsid w:val="001A57F7"/>
    <w:rsid w:val="001A5896"/>
    <w:rsid w:val="001A65FB"/>
    <w:rsid w:val="001A6662"/>
    <w:rsid w:val="001A6838"/>
    <w:rsid w:val="001A6A21"/>
    <w:rsid w:val="001A7D56"/>
    <w:rsid w:val="001B087A"/>
    <w:rsid w:val="001B0D16"/>
    <w:rsid w:val="001B146B"/>
    <w:rsid w:val="001B166D"/>
    <w:rsid w:val="001B1A86"/>
    <w:rsid w:val="001B29A5"/>
    <w:rsid w:val="001B35D9"/>
    <w:rsid w:val="001B38AB"/>
    <w:rsid w:val="001B3AF3"/>
    <w:rsid w:val="001B3E02"/>
    <w:rsid w:val="001B4186"/>
    <w:rsid w:val="001B4225"/>
    <w:rsid w:val="001B44F8"/>
    <w:rsid w:val="001B4690"/>
    <w:rsid w:val="001B48B9"/>
    <w:rsid w:val="001B4C11"/>
    <w:rsid w:val="001B53F0"/>
    <w:rsid w:val="001B5F05"/>
    <w:rsid w:val="001B6787"/>
    <w:rsid w:val="001B6B08"/>
    <w:rsid w:val="001B6FA1"/>
    <w:rsid w:val="001B7B1C"/>
    <w:rsid w:val="001B7C89"/>
    <w:rsid w:val="001B7D92"/>
    <w:rsid w:val="001C0E86"/>
    <w:rsid w:val="001C0E93"/>
    <w:rsid w:val="001C156C"/>
    <w:rsid w:val="001C18C8"/>
    <w:rsid w:val="001C1A39"/>
    <w:rsid w:val="001C1BFE"/>
    <w:rsid w:val="001C1F1D"/>
    <w:rsid w:val="001C3D61"/>
    <w:rsid w:val="001C51FA"/>
    <w:rsid w:val="001C5419"/>
    <w:rsid w:val="001C5A53"/>
    <w:rsid w:val="001C6DE1"/>
    <w:rsid w:val="001C6E9E"/>
    <w:rsid w:val="001C752C"/>
    <w:rsid w:val="001D0411"/>
    <w:rsid w:val="001D0D5D"/>
    <w:rsid w:val="001D0F3F"/>
    <w:rsid w:val="001D19D2"/>
    <w:rsid w:val="001D29D5"/>
    <w:rsid w:val="001D387A"/>
    <w:rsid w:val="001D38C6"/>
    <w:rsid w:val="001D4201"/>
    <w:rsid w:val="001D44FB"/>
    <w:rsid w:val="001D5FB4"/>
    <w:rsid w:val="001D653C"/>
    <w:rsid w:val="001D699C"/>
    <w:rsid w:val="001D6D7F"/>
    <w:rsid w:val="001D6EA0"/>
    <w:rsid w:val="001D6FB3"/>
    <w:rsid w:val="001D78E5"/>
    <w:rsid w:val="001E08AE"/>
    <w:rsid w:val="001E0DC5"/>
    <w:rsid w:val="001E10D3"/>
    <w:rsid w:val="001E1908"/>
    <w:rsid w:val="001E30B8"/>
    <w:rsid w:val="001E31D8"/>
    <w:rsid w:val="001E3DC0"/>
    <w:rsid w:val="001E3E70"/>
    <w:rsid w:val="001E41E5"/>
    <w:rsid w:val="001E5DA5"/>
    <w:rsid w:val="001E5DDD"/>
    <w:rsid w:val="001E63D3"/>
    <w:rsid w:val="001E6632"/>
    <w:rsid w:val="001E7A9B"/>
    <w:rsid w:val="001F07A1"/>
    <w:rsid w:val="001F0A3C"/>
    <w:rsid w:val="001F1255"/>
    <w:rsid w:val="001F1D90"/>
    <w:rsid w:val="001F3190"/>
    <w:rsid w:val="001F33D1"/>
    <w:rsid w:val="001F3ADA"/>
    <w:rsid w:val="001F3E39"/>
    <w:rsid w:val="001F451E"/>
    <w:rsid w:val="001F4744"/>
    <w:rsid w:val="001F4819"/>
    <w:rsid w:val="001F4855"/>
    <w:rsid w:val="001F4D20"/>
    <w:rsid w:val="001F4E23"/>
    <w:rsid w:val="001F4EA1"/>
    <w:rsid w:val="001F4ED6"/>
    <w:rsid w:val="001F52ED"/>
    <w:rsid w:val="001F558C"/>
    <w:rsid w:val="001F592D"/>
    <w:rsid w:val="001F5C83"/>
    <w:rsid w:val="001F5EF1"/>
    <w:rsid w:val="001F6294"/>
    <w:rsid w:val="001F687D"/>
    <w:rsid w:val="001F6C2B"/>
    <w:rsid w:val="001F7217"/>
    <w:rsid w:val="001F72E3"/>
    <w:rsid w:val="001F79A9"/>
    <w:rsid w:val="002003F3"/>
    <w:rsid w:val="00201145"/>
    <w:rsid w:val="002012D1"/>
    <w:rsid w:val="002020A7"/>
    <w:rsid w:val="00202B2B"/>
    <w:rsid w:val="002030A5"/>
    <w:rsid w:val="00203DAF"/>
    <w:rsid w:val="00204707"/>
    <w:rsid w:val="00206183"/>
    <w:rsid w:val="002067B0"/>
    <w:rsid w:val="00206A26"/>
    <w:rsid w:val="00206EE9"/>
    <w:rsid w:val="00207368"/>
    <w:rsid w:val="00207AA7"/>
    <w:rsid w:val="00207B4A"/>
    <w:rsid w:val="00207CED"/>
    <w:rsid w:val="00207E72"/>
    <w:rsid w:val="00207F7D"/>
    <w:rsid w:val="00210C7A"/>
    <w:rsid w:val="00210D41"/>
    <w:rsid w:val="0021104B"/>
    <w:rsid w:val="002115ED"/>
    <w:rsid w:val="00211A4B"/>
    <w:rsid w:val="00211B51"/>
    <w:rsid w:val="00211DD9"/>
    <w:rsid w:val="00213370"/>
    <w:rsid w:val="00213AA1"/>
    <w:rsid w:val="00214060"/>
    <w:rsid w:val="00214148"/>
    <w:rsid w:val="00215F52"/>
    <w:rsid w:val="00216687"/>
    <w:rsid w:val="00216EEE"/>
    <w:rsid w:val="002171AA"/>
    <w:rsid w:val="002177FC"/>
    <w:rsid w:val="00217861"/>
    <w:rsid w:val="002178E0"/>
    <w:rsid w:val="00217A3F"/>
    <w:rsid w:val="00217AE6"/>
    <w:rsid w:val="0022095B"/>
    <w:rsid w:val="00220A0D"/>
    <w:rsid w:val="00220E2D"/>
    <w:rsid w:val="00221B9C"/>
    <w:rsid w:val="00222198"/>
    <w:rsid w:val="002223A7"/>
    <w:rsid w:val="002223DA"/>
    <w:rsid w:val="00222CC6"/>
    <w:rsid w:val="0022338D"/>
    <w:rsid w:val="002233AE"/>
    <w:rsid w:val="00223430"/>
    <w:rsid w:val="00223DFE"/>
    <w:rsid w:val="00223FC1"/>
    <w:rsid w:val="00224032"/>
    <w:rsid w:val="00224584"/>
    <w:rsid w:val="00224AF9"/>
    <w:rsid w:val="00224EF2"/>
    <w:rsid w:val="00225315"/>
    <w:rsid w:val="00225AFA"/>
    <w:rsid w:val="00225D54"/>
    <w:rsid w:val="002263B4"/>
    <w:rsid w:val="00226ADB"/>
    <w:rsid w:val="00226B31"/>
    <w:rsid w:val="002275A8"/>
    <w:rsid w:val="00230068"/>
    <w:rsid w:val="002302D5"/>
    <w:rsid w:val="0023078B"/>
    <w:rsid w:val="002308AF"/>
    <w:rsid w:val="00230D12"/>
    <w:rsid w:val="00231009"/>
    <w:rsid w:val="002310BA"/>
    <w:rsid w:val="002314B8"/>
    <w:rsid w:val="0023165A"/>
    <w:rsid w:val="0023177F"/>
    <w:rsid w:val="002319F1"/>
    <w:rsid w:val="00231DBF"/>
    <w:rsid w:val="00231EFE"/>
    <w:rsid w:val="002322FD"/>
    <w:rsid w:val="00233D82"/>
    <w:rsid w:val="00233D83"/>
    <w:rsid w:val="002345FC"/>
    <w:rsid w:val="00234774"/>
    <w:rsid w:val="00234990"/>
    <w:rsid w:val="00235143"/>
    <w:rsid w:val="00235461"/>
    <w:rsid w:val="00235800"/>
    <w:rsid w:val="00235947"/>
    <w:rsid w:val="0023708C"/>
    <w:rsid w:val="00237100"/>
    <w:rsid w:val="002402AD"/>
    <w:rsid w:val="002410E3"/>
    <w:rsid w:val="00241850"/>
    <w:rsid w:val="00242C71"/>
    <w:rsid w:val="00243642"/>
    <w:rsid w:val="00243781"/>
    <w:rsid w:val="002447C0"/>
    <w:rsid w:val="002448A4"/>
    <w:rsid w:val="002449CE"/>
    <w:rsid w:val="00245181"/>
    <w:rsid w:val="00246651"/>
    <w:rsid w:val="00246661"/>
    <w:rsid w:val="002479E3"/>
    <w:rsid w:val="00251A06"/>
    <w:rsid w:val="00251B74"/>
    <w:rsid w:val="00251BE0"/>
    <w:rsid w:val="00251C2C"/>
    <w:rsid w:val="00251C50"/>
    <w:rsid w:val="002521C1"/>
    <w:rsid w:val="002522B1"/>
    <w:rsid w:val="00252D1E"/>
    <w:rsid w:val="0025336E"/>
    <w:rsid w:val="00253489"/>
    <w:rsid w:val="002538E6"/>
    <w:rsid w:val="00253C2C"/>
    <w:rsid w:val="00253C7A"/>
    <w:rsid w:val="00254717"/>
    <w:rsid w:val="0025487B"/>
    <w:rsid w:val="00254AF7"/>
    <w:rsid w:val="00254D9F"/>
    <w:rsid w:val="002552E8"/>
    <w:rsid w:val="002559F3"/>
    <w:rsid w:val="002564C8"/>
    <w:rsid w:val="0025672C"/>
    <w:rsid w:val="00256A1D"/>
    <w:rsid w:val="00256E08"/>
    <w:rsid w:val="00256F26"/>
    <w:rsid w:val="002574CC"/>
    <w:rsid w:val="0025757F"/>
    <w:rsid w:val="002578BE"/>
    <w:rsid w:val="002609F6"/>
    <w:rsid w:val="0026100D"/>
    <w:rsid w:val="002610BB"/>
    <w:rsid w:val="0026157A"/>
    <w:rsid w:val="0026169E"/>
    <w:rsid w:val="00261EF4"/>
    <w:rsid w:val="002629BB"/>
    <w:rsid w:val="00262AF0"/>
    <w:rsid w:val="00262B07"/>
    <w:rsid w:val="00263215"/>
    <w:rsid w:val="00263268"/>
    <w:rsid w:val="002640CA"/>
    <w:rsid w:val="0026418D"/>
    <w:rsid w:val="002643B9"/>
    <w:rsid w:val="00264B0A"/>
    <w:rsid w:val="00264E90"/>
    <w:rsid w:val="00264FE3"/>
    <w:rsid w:val="00265DB4"/>
    <w:rsid w:val="00266CF5"/>
    <w:rsid w:val="002670DE"/>
    <w:rsid w:val="002672D0"/>
    <w:rsid w:val="002703BF"/>
    <w:rsid w:val="00270CEC"/>
    <w:rsid w:val="00271BC5"/>
    <w:rsid w:val="00272867"/>
    <w:rsid w:val="00272C7F"/>
    <w:rsid w:val="0027396D"/>
    <w:rsid w:val="00275151"/>
    <w:rsid w:val="00275AA8"/>
    <w:rsid w:val="00275D0E"/>
    <w:rsid w:val="0027646B"/>
    <w:rsid w:val="00276F77"/>
    <w:rsid w:val="0027733B"/>
    <w:rsid w:val="002776B8"/>
    <w:rsid w:val="00277E66"/>
    <w:rsid w:val="0028001F"/>
    <w:rsid w:val="002804C0"/>
    <w:rsid w:val="002805BB"/>
    <w:rsid w:val="00280611"/>
    <w:rsid w:val="00280DB8"/>
    <w:rsid w:val="00280E95"/>
    <w:rsid w:val="0028111A"/>
    <w:rsid w:val="00281636"/>
    <w:rsid w:val="00283855"/>
    <w:rsid w:val="002839A8"/>
    <w:rsid w:val="00283C6E"/>
    <w:rsid w:val="00284505"/>
    <w:rsid w:val="00285B58"/>
    <w:rsid w:val="00285ED9"/>
    <w:rsid w:val="00286D97"/>
    <w:rsid w:val="00286FF1"/>
    <w:rsid w:val="002873F3"/>
    <w:rsid w:val="00287830"/>
    <w:rsid w:val="00291AA5"/>
    <w:rsid w:val="002923AE"/>
    <w:rsid w:val="0029293E"/>
    <w:rsid w:val="00292997"/>
    <w:rsid w:val="002930FE"/>
    <w:rsid w:val="002938F6"/>
    <w:rsid w:val="00293BE5"/>
    <w:rsid w:val="00293D1C"/>
    <w:rsid w:val="00293E87"/>
    <w:rsid w:val="00293F25"/>
    <w:rsid w:val="00294031"/>
    <w:rsid w:val="00294365"/>
    <w:rsid w:val="00294649"/>
    <w:rsid w:val="00295655"/>
    <w:rsid w:val="00296B62"/>
    <w:rsid w:val="00297768"/>
    <w:rsid w:val="002A066D"/>
    <w:rsid w:val="002A0C63"/>
    <w:rsid w:val="002A0F34"/>
    <w:rsid w:val="002A142D"/>
    <w:rsid w:val="002A2D92"/>
    <w:rsid w:val="002A39EE"/>
    <w:rsid w:val="002A4867"/>
    <w:rsid w:val="002A4E46"/>
    <w:rsid w:val="002A77B1"/>
    <w:rsid w:val="002A7ACE"/>
    <w:rsid w:val="002A7B3E"/>
    <w:rsid w:val="002A7B4B"/>
    <w:rsid w:val="002B071A"/>
    <w:rsid w:val="002B0801"/>
    <w:rsid w:val="002B087F"/>
    <w:rsid w:val="002B1349"/>
    <w:rsid w:val="002B2136"/>
    <w:rsid w:val="002B24F5"/>
    <w:rsid w:val="002B2857"/>
    <w:rsid w:val="002B2954"/>
    <w:rsid w:val="002B2C65"/>
    <w:rsid w:val="002B30D7"/>
    <w:rsid w:val="002B331E"/>
    <w:rsid w:val="002B3728"/>
    <w:rsid w:val="002B4075"/>
    <w:rsid w:val="002B4A80"/>
    <w:rsid w:val="002B4D91"/>
    <w:rsid w:val="002B5060"/>
    <w:rsid w:val="002B559A"/>
    <w:rsid w:val="002B55D7"/>
    <w:rsid w:val="002B5870"/>
    <w:rsid w:val="002B5B80"/>
    <w:rsid w:val="002B61A8"/>
    <w:rsid w:val="002B6370"/>
    <w:rsid w:val="002B6CD6"/>
    <w:rsid w:val="002B6FCC"/>
    <w:rsid w:val="002B7DBA"/>
    <w:rsid w:val="002C00DB"/>
    <w:rsid w:val="002C0F84"/>
    <w:rsid w:val="002C1782"/>
    <w:rsid w:val="002C18F1"/>
    <w:rsid w:val="002C1F48"/>
    <w:rsid w:val="002C1FC8"/>
    <w:rsid w:val="002C25AB"/>
    <w:rsid w:val="002C2C14"/>
    <w:rsid w:val="002C3153"/>
    <w:rsid w:val="002C3968"/>
    <w:rsid w:val="002C3AA2"/>
    <w:rsid w:val="002C428D"/>
    <w:rsid w:val="002C4AD2"/>
    <w:rsid w:val="002C4E19"/>
    <w:rsid w:val="002C5ADC"/>
    <w:rsid w:val="002C6808"/>
    <w:rsid w:val="002C6C07"/>
    <w:rsid w:val="002D00A8"/>
    <w:rsid w:val="002D091B"/>
    <w:rsid w:val="002D0CA9"/>
    <w:rsid w:val="002D0CC1"/>
    <w:rsid w:val="002D0DDD"/>
    <w:rsid w:val="002D1D18"/>
    <w:rsid w:val="002D21A3"/>
    <w:rsid w:val="002D2D14"/>
    <w:rsid w:val="002D3490"/>
    <w:rsid w:val="002D3F53"/>
    <w:rsid w:val="002D43BE"/>
    <w:rsid w:val="002D4414"/>
    <w:rsid w:val="002D5465"/>
    <w:rsid w:val="002D6159"/>
    <w:rsid w:val="002D6218"/>
    <w:rsid w:val="002D770C"/>
    <w:rsid w:val="002D7A9F"/>
    <w:rsid w:val="002E086E"/>
    <w:rsid w:val="002E0C9E"/>
    <w:rsid w:val="002E1663"/>
    <w:rsid w:val="002E1CA6"/>
    <w:rsid w:val="002E20CE"/>
    <w:rsid w:val="002E2148"/>
    <w:rsid w:val="002E433A"/>
    <w:rsid w:val="002E46D8"/>
    <w:rsid w:val="002E4A4E"/>
    <w:rsid w:val="002E524C"/>
    <w:rsid w:val="002E5904"/>
    <w:rsid w:val="002E6053"/>
    <w:rsid w:val="002E6A23"/>
    <w:rsid w:val="002E6B69"/>
    <w:rsid w:val="002E71E6"/>
    <w:rsid w:val="002E72DF"/>
    <w:rsid w:val="002E7461"/>
    <w:rsid w:val="002E775D"/>
    <w:rsid w:val="002E788D"/>
    <w:rsid w:val="002E7A27"/>
    <w:rsid w:val="002F0746"/>
    <w:rsid w:val="002F0C92"/>
    <w:rsid w:val="002F0F65"/>
    <w:rsid w:val="002F15A8"/>
    <w:rsid w:val="002F18B6"/>
    <w:rsid w:val="002F22C6"/>
    <w:rsid w:val="002F30A6"/>
    <w:rsid w:val="002F345E"/>
    <w:rsid w:val="002F3723"/>
    <w:rsid w:val="002F4610"/>
    <w:rsid w:val="002F5439"/>
    <w:rsid w:val="002F5CCF"/>
    <w:rsid w:val="002F61D2"/>
    <w:rsid w:val="002F62A6"/>
    <w:rsid w:val="002F62CF"/>
    <w:rsid w:val="002F62D6"/>
    <w:rsid w:val="002F704F"/>
    <w:rsid w:val="002F73C5"/>
    <w:rsid w:val="002F794C"/>
    <w:rsid w:val="002F7C9D"/>
    <w:rsid w:val="003005DF"/>
    <w:rsid w:val="0030109F"/>
    <w:rsid w:val="003015F5"/>
    <w:rsid w:val="00301638"/>
    <w:rsid w:val="00302205"/>
    <w:rsid w:val="00302DA9"/>
    <w:rsid w:val="00303008"/>
    <w:rsid w:val="0030423D"/>
    <w:rsid w:val="00304753"/>
    <w:rsid w:val="003053FF"/>
    <w:rsid w:val="00305850"/>
    <w:rsid w:val="003058E7"/>
    <w:rsid w:val="00305F5A"/>
    <w:rsid w:val="00306610"/>
    <w:rsid w:val="003069EC"/>
    <w:rsid w:val="00306E4F"/>
    <w:rsid w:val="00306FA6"/>
    <w:rsid w:val="0030793F"/>
    <w:rsid w:val="00311860"/>
    <w:rsid w:val="0031194A"/>
    <w:rsid w:val="00311F63"/>
    <w:rsid w:val="0031279D"/>
    <w:rsid w:val="003129C2"/>
    <w:rsid w:val="00313719"/>
    <w:rsid w:val="00313A28"/>
    <w:rsid w:val="003142C2"/>
    <w:rsid w:val="00314562"/>
    <w:rsid w:val="00314841"/>
    <w:rsid w:val="00315152"/>
    <w:rsid w:val="0031524F"/>
    <w:rsid w:val="00315681"/>
    <w:rsid w:val="00315771"/>
    <w:rsid w:val="00315AA3"/>
    <w:rsid w:val="00315ED5"/>
    <w:rsid w:val="0031670B"/>
    <w:rsid w:val="00320301"/>
    <w:rsid w:val="003203C7"/>
    <w:rsid w:val="00320A87"/>
    <w:rsid w:val="00320AB6"/>
    <w:rsid w:val="00320AD4"/>
    <w:rsid w:val="00320E89"/>
    <w:rsid w:val="0032149C"/>
    <w:rsid w:val="003216A6"/>
    <w:rsid w:val="00321E61"/>
    <w:rsid w:val="003225CE"/>
    <w:rsid w:val="003238F5"/>
    <w:rsid w:val="00323D1B"/>
    <w:rsid w:val="00324970"/>
    <w:rsid w:val="00324D83"/>
    <w:rsid w:val="00324D9E"/>
    <w:rsid w:val="003250F4"/>
    <w:rsid w:val="00325B4C"/>
    <w:rsid w:val="003262FC"/>
    <w:rsid w:val="00326C84"/>
    <w:rsid w:val="0032727F"/>
    <w:rsid w:val="00327CA8"/>
    <w:rsid w:val="00327F3B"/>
    <w:rsid w:val="0033000F"/>
    <w:rsid w:val="003301C2"/>
    <w:rsid w:val="0033083C"/>
    <w:rsid w:val="003308C7"/>
    <w:rsid w:val="00330D91"/>
    <w:rsid w:val="003315BB"/>
    <w:rsid w:val="00331EB9"/>
    <w:rsid w:val="00332109"/>
    <w:rsid w:val="00332A2C"/>
    <w:rsid w:val="00333A1D"/>
    <w:rsid w:val="00333D85"/>
    <w:rsid w:val="003345B2"/>
    <w:rsid w:val="0033476B"/>
    <w:rsid w:val="00334EAA"/>
    <w:rsid w:val="00334EB8"/>
    <w:rsid w:val="003354F3"/>
    <w:rsid w:val="00335594"/>
    <w:rsid w:val="00335C1B"/>
    <w:rsid w:val="00336529"/>
    <w:rsid w:val="00336F1B"/>
    <w:rsid w:val="00336FE9"/>
    <w:rsid w:val="003372A0"/>
    <w:rsid w:val="00337C0C"/>
    <w:rsid w:val="00337CF3"/>
    <w:rsid w:val="00337F42"/>
    <w:rsid w:val="00340204"/>
    <w:rsid w:val="003403BE"/>
    <w:rsid w:val="003405FE"/>
    <w:rsid w:val="003417F4"/>
    <w:rsid w:val="00341C79"/>
    <w:rsid w:val="0034201C"/>
    <w:rsid w:val="00342418"/>
    <w:rsid w:val="00344D44"/>
    <w:rsid w:val="003453CD"/>
    <w:rsid w:val="0034621F"/>
    <w:rsid w:val="003462FB"/>
    <w:rsid w:val="00346FFF"/>
    <w:rsid w:val="00350051"/>
    <w:rsid w:val="0035011A"/>
    <w:rsid w:val="00350EA0"/>
    <w:rsid w:val="00351E37"/>
    <w:rsid w:val="00352921"/>
    <w:rsid w:val="00352DC3"/>
    <w:rsid w:val="00352F41"/>
    <w:rsid w:val="0035324B"/>
    <w:rsid w:val="0035359A"/>
    <w:rsid w:val="003537DC"/>
    <w:rsid w:val="003537EA"/>
    <w:rsid w:val="0035408C"/>
    <w:rsid w:val="00354B55"/>
    <w:rsid w:val="00354D10"/>
    <w:rsid w:val="00354EED"/>
    <w:rsid w:val="00355B6E"/>
    <w:rsid w:val="003568B4"/>
    <w:rsid w:val="003569FE"/>
    <w:rsid w:val="00356BD0"/>
    <w:rsid w:val="003579BD"/>
    <w:rsid w:val="00357B63"/>
    <w:rsid w:val="00357F25"/>
    <w:rsid w:val="0036074D"/>
    <w:rsid w:val="003609EF"/>
    <w:rsid w:val="00360BF5"/>
    <w:rsid w:val="00361202"/>
    <w:rsid w:val="00361713"/>
    <w:rsid w:val="0036248C"/>
    <w:rsid w:val="00362874"/>
    <w:rsid w:val="00362975"/>
    <w:rsid w:val="00362F84"/>
    <w:rsid w:val="00363634"/>
    <w:rsid w:val="00363B43"/>
    <w:rsid w:val="00363E81"/>
    <w:rsid w:val="00363EA5"/>
    <w:rsid w:val="00363FEC"/>
    <w:rsid w:val="0036469C"/>
    <w:rsid w:val="003654A2"/>
    <w:rsid w:val="00365AD0"/>
    <w:rsid w:val="00366D48"/>
    <w:rsid w:val="0036745B"/>
    <w:rsid w:val="003675F5"/>
    <w:rsid w:val="00367B98"/>
    <w:rsid w:val="0037039E"/>
    <w:rsid w:val="00370794"/>
    <w:rsid w:val="00370A0A"/>
    <w:rsid w:val="00370A73"/>
    <w:rsid w:val="00370BF1"/>
    <w:rsid w:val="00370BF6"/>
    <w:rsid w:val="003710CC"/>
    <w:rsid w:val="003717CD"/>
    <w:rsid w:val="00371951"/>
    <w:rsid w:val="00371958"/>
    <w:rsid w:val="00371CF2"/>
    <w:rsid w:val="00372459"/>
    <w:rsid w:val="00372788"/>
    <w:rsid w:val="00373467"/>
    <w:rsid w:val="00373839"/>
    <w:rsid w:val="00374016"/>
    <w:rsid w:val="0037495A"/>
    <w:rsid w:val="0037509E"/>
    <w:rsid w:val="003753C0"/>
    <w:rsid w:val="003758CC"/>
    <w:rsid w:val="00375B78"/>
    <w:rsid w:val="00376ED6"/>
    <w:rsid w:val="00377159"/>
    <w:rsid w:val="003777B4"/>
    <w:rsid w:val="00377857"/>
    <w:rsid w:val="003800D3"/>
    <w:rsid w:val="00380545"/>
    <w:rsid w:val="003808BA"/>
    <w:rsid w:val="003813E3"/>
    <w:rsid w:val="003819A7"/>
    <w:rsid w:val="00383126"/>
    <w:rsid w:val="00383314"/>
    <w:rsid w:val="003834FF"/>
    <w:rsid w:val="0038376F"/>
    <w:rsid w:val="003840E2"/>
    <w:rsid w:val="00384A0A"/>
    <w:rsid w:val="00384F3C"/>
    <w:rsid w:val="0038529F"/>
    <w:rsid w:val="00385590"/>
    <w:rsid w:val="0038575B"/>
    <w:rsid w:val="00385833"/>
    <w:rsid w:val="00385F76"/>
    <w:rsid w:val="00386501"/>
    <w:rsid w:val="00386A2A"/>
    <w:rsid w:val="00386B72"/>
    <w:rsid w:val="00386CFF"/>
    <w:rsid w:val="00387634"/>
    <w:rsid w:val="00390012"/>
    <w:rsid w:val="0039098D"/>
    <w:rsid w:val="00390AD2"/>
    <w:rsid w:val="00391BF2"/>
    <w:rsid w:val="00391D4A"/>
    <w:rsid w:val="00392837"/>
    <w:rsid w:val="00392919"/>
    <w:rsid w:val="00393039"/>
    <w:rsid w:val="0039388E"/>
    <w:rsid w:val="00393FB7"/>
    <w:rsid w:val="00394483"/>
    <w:rsid w:val="003944F9"/>
    <w:rsid w:val="00395F06"/>
    <w:rsid w:val="00395F21"/>
    <w:rsid w:val="0039684B"/>
    <w:rsid w:val="00396B38"/>
    <w:rsid w:val="0039726F"/>
    <w:rsid w:val="00397481"/>
    <w:rsid w:val="003976BB"/>
    <w:rsid w:val="00397FCE"/>
    <w:rsid w:val="003A008B"/>
    <w:rsid w:val="003A0B66"/>
    <w:rsid w:val="003A1EF8"/>
    <w:rsid w:val="003A1FEA"/>
    <w:rsid w:val="003A2125"/>
    <w:rsid w:val="003A39CA"/>
    <w:rsid w:val="003A3B04"/>
    <w:rsid w:val="003A3FE8"/>
    <w:rsid w:val="003A4E32"/>
    <w:rsid w:val="003A528F"/>
    <w:rsid w:val="003A5870"/>
    <w:rsid w:val="003A6F00"/>
    <w:rsid w:val="003A7ADD"/>
    <w:rsid w:val="003A7B58"/>
    <w:rsid w:val="003A7E12"/>
    <w:rsid w:val="003B007F"/>
    <w:rsid w:val="003B13C6"/>
    <w:rsid w:val="003B1CDB"/>
    <w:rsid w:val="003B2018"/>
    <w:rsid w:val="003B2422"/>
    <w:rsid w:val="003B317E"/>
    <w:rsid w:val="003B3A78"/>
    <w:rsid w:val="003B467E"/>
    <w:rsid w:val="003B4E0E"/>
    <w:rsid w:val="003B59C7"/>
    <w:rsid w:val="003B65F6"/>
    <w:rsid w:val="003C03DD"/>
    <w:rsid w:val="003C0900"/>
    <w:rsid w:val="003C1127"/>
    <w:rsid w:val="003C1544"/>
    <w:rsid w:val="003C1634"/>
    <w:rsid w:val="003C1B24"/>
    <w:rsid w:val="003C2778"/>
    <w:rsid w:val="003C2A1F"/>
    <w:rsid w:val="003C2AA7"/>
    <w:rsid w:val="003C2E1F"/>
    <w:rsid w:val="003C31A3"/>
    <w:rsid w:val="003C33CF"/>
    <w:rsid w:val="003C3884"/>
    <w:rsid w:val="003C3B21"/>
    <w:rsid w:val="003C3EAC"/>
    <w:rsid w:val="003C4FB7"/>
    <w:rsid w:val="003C5949"/>
    <w:rsid w:val="003C5B85"/>
    <w:rsid w:val="003C64D4"/>
    <w:rsid w:val="003C6D48"/>
    <w:rsid w:val="003C7869"/>
    <w:rsid w:val="003C799F"/>
    <w:rsid w:val="003C79C1"/>
    <w:rsid w:val="003C7CEB"/>
    <w:rsid w:val="003D0899"/>
    <w:rsid w:val="003D0F4B"/>
    <w:rsid w:val="003D143F"/>
    <w:rsid w:val="003D1814"/>
    <w:rsid w:val="003D1D6F"/>
    <w:rsid w:val="003D26D8"/>
    <w:rsid w:val="003D325E"/>
    <w:rsid w:val="003D46EE"/>
    <w:rsid w:val="003D4927"/>
    <w:rsid w:val="003D4E4B"/>
    <w:rsid w:val="003D4E98"/>
    <w:rsid w:val="003D50F1"/>
    <w:rsid w:val="003D66E8"/>
    <w:rsid w:val="003D6BCE"/>
    <w:rsid w:val="003D6EED"/>
    <w:rsid w:val="003D7437"/>
    <w:rsid w:val="003D7646"/>
    <w:rsid w:val="003D7B5F"/>
    <w:rsid w:val="003D7F7C"/>
    <w:rsid w:val="003E0512"/>
    <w:rsid w:val="003E119D"/>
    <w:rsid w:val="003E147F"/>
    <w:rsid w:val="003E14C5"/>
    <w:rsid w:val="003E1D92"/>
    <w:rsid w:val="003E26CF"/>
    <w:rsid w:val="003E2CBC"/>
    <w:rsid w:val="003E3B77"/>
    <w:rsid w:val="003E3FFE"/>
    <w:rsid w:val="003E495F"/>
    <w:rsid w:val="003E5909"/>
    <w:rsid w:val="003E5A14"/>
    <w:rsid w:val="003E5F58"/>
    <w:rsid w:val="003E6E47"/>
    <w:rsid w:val="003E7F6E"/>
    <w:rsid w:val="003F01BC"/>
    <w:rsid w:val="003F081B"/>
    <w:rsid w:val="003F0ECC"/>
    <w:rsid w:val="003F1417"/>
    <w:rsid w:val="003F173B"/>
    <w:rsid w:val="003F2632"/>
    <w:rsid w:val="003F275C"/>
    <w:rsid w:val="003F27EC"/>
    <w:rsid w:val="003F2F58"/>
    <w:rsid w:val="003F34BF"/>
    <w:rsid w:val="003F37C9"/>
    <w:rsid w:val="003F3889"/>
    <w:rsid w:val="003F3F58"/>
    <w:rsid w:val="003F44C2"/>
    <w:rsid w:val="003F45AD"/>
    <w:rsid w:val="003F51C2"/>
    <w:rsid w:val="003F6038"/>
    <w:rsid w:val="003F6178"/>
    <w:rsid w:val="003F7342"/>
    <w:rsid w:val="003F744A"/>
    <w:rsid w:val="00400010"/>
    <w:rsid w:val="0040031C"/>
    <w:rsid w:val="00400A68"/>
    <w:rsid w:val="00401918"/>
    <w:rsid w:val="00401A78"/>
    <w:rsid w:val="00402843"/>
    <w:rsid w:val="00402B8E"/>
    <w:rsid w:val="0040366B"/>
    <w:rsid w:val="00403BEE"/>
    <w:rsid w:val="00403C01"/>
    <w:rsid w:val="00406BE6"/>
    <w:rsid w:val="00407343"/>
    <w:rsid w:val="004077F8"/>
    <w:rsid w:val="00407D92"/>
    <w:rsid w:val="00410534"/>
    <w:rsid w:val="00410FA9"/>
    <w:rsid w:val="00411143"/>
    <w:rsid w:val="00411BBD"/>
    <w:rsid w:val="00411EE7"/>
    <w:rsid w:val="0041294F"/>
    <w:rsid w:val="004129C5"/>
    <w:rsid w:val="00413124"/>
    <w:rsid w:val="004131FE"/>
    <w:rsid w:val="00413345"/>
    <w:rsid w:val="00413F2F"/>
    <w:rsid w:val="0041417D"/>
    <w:rsid w:val="00414FCA"/>
    <w:rsid w:val="004154C4"/>
    <w:rsid w:val="004157F8"/>
    <w:rsid w:val="00415857"/>
    <w:rsid w:val="00416174"/>
    <w:rsid w:val="00416AFF"/>
    <w:rsid w:val="00416CB3"/>
    <w:rsid w:val="00416DA9"/>
    <w:rsid w:val="00417981"/>
    <w:rsid w:val="00420368"/>
    <w:rsid w:val="00420873"/>
    <w:rsid w:val="0042098E"/>
    <w:rsid w:val="004209E3"/>
    <w:rsid w:val="00421173"/>
    <w:rsid w:val="00421BC7"/>
    <w:rsid w:val="004228E1"/>
    <w:rsid w:val="00422BFF"/>
    <w:rsid w:val="00422CC4"/>
    <w:rsid w:val="0042373A"/>
    <w:rsid w:val="0042389F"/>
    <w:rsid w:val="0042408B"/>
    <w:rsid w:val="004240F0"/>
    <w:rsid w:val="004249D6"/>
    <w:rsid w:val="00425104"/>
    <w:rsid w:val="00426938"/>
    <w:rsid w:val="00427D5B"/>
    <w:rsid w:val="004309E0"/>
    <w:rsid w:val="004319FA"/>
    <w:rsid w:val="00431A0C"/>
    <w:rsid w:val="00432081"/>
    <w:rsid w:val="004335CF"/>
    <w:rsid w:val="00434254"/>
    <w:rsid w:val="004342A1"/>
    <w:rsid w:val="004350C1"/>
    <w:rsid w:val="004350FF"/>
    <w:rsid w:val="0043552F"/>
    <w:rsid w:val="004357D1"/>
    <w:rsid w:val="00436A35"/>
    <w:rsid w:val="00436BD6"/>
    <w:rsid w:val="00436DAF"/>
    <w:rsid w:val="00441202"/>
    <w:rsid w:val="004412C7"/>
    <w:rsid w:val="00442E38"/>
    <w:rsid w:val="004430F5"/>
    <w:rsid w:val="004433F7"/>
    <w:rsid w:val="004440D4"/>
    <w:rsid w:val="004444E2"/>
    <w:rsid w:val="004449AD"/>
    <w:rsid w:val="004450E9"/>
    <w:rsid w:val="004452F2"/>
    <w:rsid w:val="00445504"/>
    <w:rsid w:val="00445561"/>
    <w:rsid w:val="00445692"/>
    <w:rsid w:val="0044592B"/>
    <w:rsid w:val="00445B7A"/>
    <w:rsid w:val="00445E98"/>
    <w:rsid w:val="004464B0"/>
    <w:rsid w:val="00446873"/>
    <w:rsid w:val="00447068"/>
    <w:rsid w:val="00447558"/>
    <w:rsid w:val="0045007A"/>
    <w:rsid w:val="004500AC"/>
    <w:rsid w:val="00451564"/>
    <w:rsid w:val="0045180C"/>
    <w:rsid w:val="00451C1D"/>
    <w:rsid w:val="00452127"/>
    <w:rsid w:val="0045278C"/>
    <w:rsid w:val="004532D2"/>
    <w:rsid w:val="004534C7"/>
    <w:rsid w:val="0045382C"/>
    <w:rsid w:val="00453C39"/>
    <w:rsid w:val="00454402"/>
    <w:rsid w:val="00454B00"/>
    <w:rsid w:val="00454D6A"/>
    <w:rsid w:val="00454DFB"/>
    <w:rsid w:val="004561D8"/>
    <w:rsid w:val="00456612"/>
    <w:rsid w:val="0045791B"/>
    <w:rsid w:val="00457A3B"/>
    <w:rsid w:val="00457CA9"/>
    <w:rsid w:val="00457E66"/>
    <w:rsid w:val="00457EEC"/>
    <w:rsid w:val="00460889"/>
    <w:rsid w:val="004622A0"/>
    <w:rsid w:val="004625F7"/>
    <w:rsid w:val="00462C73"/>
    <w:rsid w:val="00462CAA"/>
    <w:rsid w:val="0046381F"/>
    <w:rsid w:val="004647B0"/>
    <w:rsid w:val="00465552"/>
    <w:rsid w:val="00465796"/>
    <w:rsid w:val="00466A56"/>
    <w:rsid w:val="0047001D"/>
    <w:rsid w:val="00470B3E"/>
    <w:rsid w:val="00470F87"/>
    <w:rsid w:val="00470FAA"/>
    <w:rsid w:val="00471A68"/>
    <w:rsid w:val="00472257"/>
    <w:rsid w:val="004725B8"/>
    <w:rsid w:val="004725BD"/>
    <w:rsid w:val="004725BF"/>
    <w:rsid w:val="00472BEF"/>
    <w:rsid w:val="00472C94"/>
    <w:rsid w:val="00473998"/>
    <w:rsid w:val="00473DDC"/>
    <w:rsid w:val="00474B97"/>
    <w:rsid w:val="00475494"/>
    <w:rsid w:val="00475727"/>
    <w:rsid w:val="00476244"/>
    <w:rsid w:val="00476958"/>
    <w:rsid w:val="0047750E"/>
    <w:rsid w:val="00477552"/>
    <w:rsid w:val="004776BE"/>
    <w:rsid w:val="00477B32"/>
    <w:rsid w:val="00480095"/>
    <w:rsid w:val="0048021C"/>
    <w:rsid w:val="00480931"/>
    <w:rsid w:val="00480C94"/>
    <w:rsid w:val="00480DE9"/>
    <w:rsid w:val="00480FB8"/>
    <w:rsid w:val="004828B9"/>
    <w:rsid w:val="00482A11"/>
    <w:rsid w:val="004839D3"/>
    <w:rsid w:val="00483BA0"/>
    <w:rsid w:val="00483E05"/>
    <w:rsid w:val="00484840"/>
    <w:rsid w:val="00484A4D"/>
    <w:rsid w:val="00484D89"/>
    <w:rsid w:val="00485CB8"/>
    <w:rsid w:val="004865F8"/>
    <w:rsid w:val="00486788"/>
    <w:rsid w:val="004868B1"/>
    <w:rsid w:val="00486CDC"/>
    <w:rsid w:val="004874F1"/>
    <w:rsid w:val="00487B60"/>
    <w:rsid w:val="00490540"/>
    <w:rsid w:val="004909DD"/>
    <w:rsid w:val="00490B6A"/>
    <w:rsid w:val="00490B9A"/>
    <w:rsid w:val="0049109E"/>
    <w:rsid w:val="00491199"/>
    <w:rsid w:val="004918DA"/>
    <w:rsid w:val="00491C22"/>
    <w:rsid w:val="00491CED"/>
    <w:rsid w:val="00492225"/>
    <w:rsid w:val="00492E73"/>
    <w:rsid w:val="00493BD6"/>
    <w:rsid w:val="0049441F"/>
    <w:rsid w:val="0049463F"/>
    <w:rsid w:val="00494E11"/>
    <w:rsid w:val="00495523"/>
    <w:rsid w:val="0049593B"/>
    <w:rsid w:val="00495EBB"/>
    <w:rsid w:val="00496599"/>
    <w:rsid w:val="004968F6"/>
    <w:rsid w:val="00496973"/>
    <w:rsid w:val="00497B3D"/>
    <w:rsid w:val="004A0881"/>
    <w:rsid w:val="004A161C"/>
    <w:rsid w:val="004A186A"/>
    <w:rsid w:val="004A1FAC"/>
    <w:rsid w:val="004A209E"/>
    <w:rsid w:val="004A22C0"/>
    <w:rsid w:val="004A23FC"/>
    <w:rsid w:val="004A2495"/>
    <w:rsid w:val="004A2AF3"/>
    <w:rsid w:val="004A3C94"/>
    <w:rsid w:val="004A44D5"/>
    <w:rsid w:val="004A44EE"/>
    <w:rsid w:val="004A4526"/>
    <w:rsid w:val="004A458A"/>
    <w:rsid w:val="004A519F"/>
    <w:rsid w:val="004A5AE3"/>
    <w:rsid w:val="004A6067"/>
    <w:rsid w:val="004A6448"/>
    <w:rsid w:val="004A67E2"/>
    <w:rsid w:val="004A6ABD"/>
    <w:rsid w:val="004A7557"/>
    <w:rsid w:val="004B0185"/>
    <w:rsid w:val="004B0543"/>
    <w:rsid w:val="004B12BE"/>
    <w:rsid w:val="004B1522"/>
    <w:rsid w:val="004B16D3"/>
    <w:rsid w:val="004B19BB"/>
    <w:rsid w:val="004B2194"/>
    <w:rsid w:val="004B21B8"/>
    <w:rsid w:val="004B3213"/>
    <w:rsid w:val="004B3474"/>
    <w:rsid w:val="004B365A"/>
    <w:rsid w:val="004B45BC"/>
    <w:rsid w:val="004B4B3E"/>
    <w:rsid w:val="004B50B8"/>
    <w:rsid w:val="004B5129"/>
    <w:rsid w:val="004B524D"/>
    <w:rsid w:val="004B5573"/>
    <w:rsid w:val="004B5636"/>
    <w:rsid w:val="004B63F1"/>
    <w:rsid w:val="004B6492"/>
    <w:rsid w:val="004B64B5"/>
    <w:rsid w:val="004B66C7"/>
    <w:rsid w:val="004B6A39"/>
    <w:rsid w:val="004B6ED5"/>
    <w:rsid w:val="004B740A"/>
    <w:rsid w:val="004B7742"/>
    <w:rsid w:val="004C02E7"/>
    <w:rsid w:val="004C0348"/>
    <w:rsid w:val="004C0D7D"/>
    <w:rsid w:val="004C0EB0"/>
    <w:rsid w:val="004C10E5"/>
    <w:rsid w:val="004C1502"/>
    <w:rsid w:val="004C1772"/>
    <w:rsid w:val="004C18B6"/>
    <w:rsid w:val="004C2639"/>
    <w:rsid w:val="004C2BA5"/>
    <w:rsid w:val="004C2BEF"/>
    <w:rsid w:val="004C3058"/>
    <w:rsid w:val="004C3754"/>
    <w:rsid w:val="004C54A5"/>
    <w:rsid w:val="004C5971"/>
    <w:rsid w:val="004C5BA4"/>
    <w:rsid w:val="004C5BB8"/>
    <w:rsid w:val="004C5FC0"/>
    <w:rsid w:val="004C6392"/>
    <w:rsid w:val="004C64A7"/>
    <w:rsid w:val="004C7885"/>
    <w:rsid w:val="004C7D93"/>
    <w:rsid w:val="004C7E3F"/>
    <w:rsid w:val="004C7ED2"/>
    <w:rsid w:val="004D07AC"/>
    <w:rsid w:val="004D0AA3"/>
    <w:rsid w:val="004D12CF"/>
    <w:rsid w:val="004D1846"/>
    <w:rsid w:val="004D2ACE"/>
    <w:rsid w:val="004D3128"/>
    <w:rsid w:val="004D3261"/>
    <w:rsid w:val="004D3981"/>
    <w:rsid w:val="004D4609"/>
    <w:rsid w:val="004D4A62"/>
    <w:rsid w:val="004D5157"/>
    <w:rsid w:val="004D5301"/>
    <w:rsid w:val="004D5B47"/>
    <w:rsid w:val="004D64E0"/>
    <w:rsid w:val="004D6DAB"/>
    <w:rsid w:val="004D7CFB"/>
    <w:rsid w:val="004D7D32"/>
    <w:rsid w:val="004E1240"/>
    <w:rsid w:val="004E1405"/>
    <w:rsid w:val="004E1461"/>
    <w:rsid w:val="004E1D88"/>
    <w:rsid w:val="004E2381"/>
    <w:rsid w:val="004E2D50"/>
    <w:rsid w:val="004E3E74"/>
    <w:rsid w:val="004E403B"/>
    <w:rsid w:val="004E52CA"/>
    <w:rsid w:val="004E54AE"/>
    <w:rsid w:val="004E5AEC"/>
    <w:rsid w:val="004E5EE3"/>
    <w:rsid w:val="004E617D"/>
    <w:rsid w:val="004E70E8"/>
    <w:rsid w:val="004E7139"/>
    <w:rsid w:val="004E7D8C"/>
    <w:rsid w:val="004F07A9"/>
    <w:rsid w:val="004F096D"/>
    <w:rsid w:val="004F0DB3"/>
    <w:rsid w:val="004F129E"/>
    <w:rsid w:val="004F180A"/>
    <w:rsid w:val="004F1FDB"/>
    <w:rsid w:val="004F203F"/>
    <w:rsid w:val="004F20F2"/>
    <w:rsid w:val="004F2285"/>
    <w:rsid w:val="004F245E"/>
    <w:rsid w:val="004F26C1"/>
    <w:rsid w:val="004F2B47"/>
    <w:rsid w:val="004F31BE"/>
    <w:rsid w:val="004F38F5"/>
    <w:rsid w:val="004F5798"/>
    <w:rsid w:val="004F6011"/>
    <w:rsid w:val="004F64DF"/>
    <w:rsid w:val="004F6FDA"/>
    <w:rsid w:val="004F7BC1"/>
    <w:rsid w:val="00500662"/>
    <w:rsid w:val="005011FD"/>
    <w:rsid w:val="0050126E"/>
    <w:rsid w:val="005014FB"/>
    <w:rsid w:val="005016AA"/>
    <w:rsid w:val="00501ED2"/>
    <w:rsid w:val="00502BC7"/>
    <w:rsid w:val="00502C48"/>
    <w:rsid w:val="00503478"/>
    <w:rsid w:val="0050385B"/>
    <w:rsid w:val="005039F4"/>
    <w:rsid w:val="00503B09"/>
    <w:rsid w:val="00503C2B"/>
    <w:rsid w:val="00503C3A"/>
    <w:rsid w:val="00503D24"/>
    <w:rsid w:val="00503FB4"/>
    <w:rsid w:val="00504A98"/>
    <w:rsid w:val="00505AB1"/>
    <w:rsid w:val="00505E7E"/>
    <w:rsid w:val="005065E8"/>
    <w:rsid w:val="0050664F"/>
    <w:rsid w:val="00506E68"/>
    <w:rsid w:val="00507879"/>
    <w:rsid w:val="0051061B"/>
    <w:rsid w:val="00510737"/>
    <w:rsid w:val="00510D6C"/>
    <w:rsid w:val="00510FBB"/>
    <w:rsid w:val="00511FDA"/>
    <w:rsid w:val="00512186"/>
    <w:rsid w:val="00512202"/>
    <w:rsid w:val="00512DCB"/>
    <w:rsid w:val="00512EDC"/>
    <w:rsid w:val="00512FA6"/>
    <w:rsid w:val="00513058"/>
    <w:rsid w:val="00513A78"/>
    <w:rsid w:val="00513C8A"/>
    <w:rsid w:val="00513EC4"/>
    <w:rsid w:val="00514038"/>
    <w:rsid w:val="0051459C"/>
    <w:rsid w:val="00515A33"/>
    <w:rsid w:val="00516CE0"/>
    <w:rsid w:val="00516E7E"/>
    <w:rsid w:val="00517FBC"/>
    <w:rsid w:val="005203AF"/>
    <w:rsid w:val="005203EE"/>
    <w:rsid w:val="00520B51"/>
    <w:rsid w:val="005213E8"/>
    <w:rsid w:val="00521F4D"/>
    <w:rsid w:val="00522577"/>
    <w:rsid w:val="0052304A"/>
    <w:rsid w:val="0052373E"/>
    <w:rsid w:val="00523885"/>
    <w:rsid w:val="00523EF1"/>
    <w:rsid w:val="005246C7"/>
    <w:rsid w:val="00524A07"/>
    <w:rsid w:val="00524FF9"/>
    <w:rsid w:val="005251C6"/>
    <w:rsid w:val="00525963"/>
    <w:rsid w:val="00525AE1"/>
    <w:rsid w:val="0052770B"/>
    <w:rsid w:val="0052775A"/>
    <w:rsid w:val="00527BD4"/>
    <w:rsid w:val="00527E93"/>
    <w:rsid w:val="00530A36"/>
    <w:rsid w:val="0053107C"/>
    <w:rsid w:val="005311A2"/>
    <w:rsid w:val="0053135D"/>
    <w:rsid w:val="00531DD3"/>
    <w:rsid w:val="00531F0F"/>
    <w:rsid w:val="00532BD4"/>
    <w:rsid w:val="00532C52"/>
    <w:rsid w:val="00533E29"/>
    <w:rsid w:val="005344D0"/>
    <w:rsid w:val="005347B0"/>
    <w:rsid w:val="00534EAD"/>
    <w:rsid w:val="0053605B"/>
    <w:rsid w:val="0053641F"/>
    <w:rsid w:val="00536B9D"/>
    <w:rsid w:val="00536D92"/>
    <w:rsid w:val="005411E1"/>
    <w:rsid w:val="005415FE"/>
    <w:rsid w:val="00541C16"/>
    <w:rsid w:val="00541CD5"/>
    <w:rsid w:val="00541F9D"/>
    <w:rsid w:val="0054209D"/>
    <w:rsid w:val="00542BF2"/>
    <w:rsid w:val="005437A8"/>
    <w:rsid w:val="005439DC"/>
    <w:rsid w:val="00543F2C"/>
    <w:rsid w:val="00544146"/>
    <w:rsid w:val="005456E8"/>
    <w:rsid w:val="005458B7"/>
    <w:rsid w:val="00545FF4"/>
    <w:rsid w:val="00546435"/>
    <w:rsid w:val="005467F6"/>
    <w:rsid w:val="00547867"/>
    <w:rsid w:val="00547FA4"/>
    <w:rsid w:val="0055087D"/>
    <w:rsid w:val="0055127F"/>
    <w:rsid w:val="0055177D"/>
    <w:rsid w:val="00551A7D"/>
    <w:rsid w:val="00552C88"/>
    <w:rsid w:val="00553589"/>
    <w:rsid w:val="00553CF2"/>
    <w:rsid w:val="00553D4C"/>
    <w:rsid w:val="00554A2B"/>
    <w:rsid w:val="00554CB7"/>
    <w:rsid w:val="00554F9A"/>
    <w:rsid w:val="005554AD"/>
    <w:rsid w:val="00555AD7"/>
    <w:rsid w:val="00555AD9"/>
    <w:rsid w:val="00555BBD"/>
    <w:rsid w:val="00556054"/>
    <w:rsid w:val="00556762"/>
    <w:rsid w:val="005567EE"/>
    <w:rsid w:val="00556A7B"/>
    <w:rsid w:val="00557026"/>
    <w:rsid w:val="005574D5"/>
    <w:rsid w:val="00557EF5"/>
    <w:rsid w:val="00557F0C"/>
    <w:rsid w:val="00560DA8"/>
    <w:rsid w:val="005614B4"/>
    <w:rsid w:val="00561519"/>
    <w:rsid w:val="00561EEA"/>
    <w:rsid w:val="00562110"/>
    <w:rsid w:val="00562545"/>
    <w:rsid w:val="00562679"/>
    <w:rsid w:val="005627C0"/>
    <w:rsid w:val="00562845"/>
    <w:rsid w:val="00562859"/>
    <w:rsid w:val="00562A76"/>
    <w:rsid w:val="00563126"/>
    <w:rsid w:val="0056314F"/>
    <w:rsid w:val="0056340A"/>
    <w:rsid w:val="005638E7"/>
    <w:rsid w:val="00563C4C"/>
    <w:rsid w:val="00563F86"/>
    <w:rsid w:val="00564162"/>
    <w:rsid w:val="005641DE"/>
    <w:rsid w:val="005644DB"/>
    <w:rsid w:val="00564DC1"/>
    <w:rsid w:val="00565B6B"/>
    <w:rsid w:val="00565D57"/>
    <w:rsid w:val="00566970"/>
    <w:rsid w:val="0056699F"/>
    <w:rsid w:val="00566E3A"/>
    <w:rsid w:val="00566FB5"/>
    <w:rsid w:val="0056722D"/>
    <w:rsid w:val="005678CE"/>
    <w:rsid w:val="00567AEC"/>
    <w:rsid w:val="00570546"/>
    <w:rsid w:val="00571FFC"/>
    <w:rsid w:val="005720A3"/>
    <w:rsid w:val="00572B78"/>
    <w:rsid w:val="00572BF4"/>
    <w:rsid w:val="00573045"/>
    <w:rsid w:val="00573627"/>
    <w:rsid w:val="0057411D"/>
    <w:rsid w:val="00574179"/>
    <w:rsid w:val="00574928"/>
    <w:rsid w:val="00574B16"/>
    <w:rsid w:val="005752C5"/>
    <w:rsid w:val="00575E9B"/>
    <w:rsid w:val="00577BB9"/>
    <w:rsid w:val="0058017E"/>
    <w:rsid w:val="005804FF"/>
    <w:rsid w:val="00580C02"/>
    <w:rsid w:val="00580E86"/>
    <w:rsid w:val="0058133B"/>
    <w:rsid w:val="0058147A"/>
    <w:rsid w:val="00581934"/>
    <w:rsid w:val="0058247D"/>
    <w:rsid w:val="00583187"/>
    <w:rsid w:val="00583A1D"/>
    <w:rsid w:val="00583A91"/>
    <w:rsid w:val="00584635"/>
    <w:rsid w:val="00584E59"/>
    <w:rsid w:val="00585132"/>
    <w:rsid w:val="00585148"/>
    <w:rsid w:val="00585D50"/>
    <w:rsid w:val="0058621E"/>
    <w:rsid w:val="00586272"/>
    <w:rsid w:val="0058666A"/>
    <w:rsid w:val="00586FBC"/>
    <w:rsid w:val="00587434"/>
    <w:rsid w:val="00587842"/>
    <w:rsid w:val="005900C4"/>
    <w:rsid w:val="0059048B"/>
    <w:rsid w:val="005909C8"/>
    <w:rsid w:val="0059121C"/>
    <w:rsid w:val="0059237A"/>
    <w:rsid w:val="005929B7"/>
    <w:rsid w:val="005935B5"/>
    <w:rsid w:val="00593D62"/>
    <w:rsid w:val="00594E3E"/>
    <w:rsid w:val="00594EC2"/>
    <w:rsid w:val="005952A2"/>
    <w:rsid w:val="0059534F"/>
    <w:rsid w:val="00595901"/>
    <w:rsid w:val="005959A8"/>
    <w:rsid w:val="005960C3"/>
    <w:rsid w:val="0059646D"/>
    <w:rsid w:val="005969F3"/>
    <w:rsid w:val="00597043"/>
    <w:rsid w:val="005A0008"/>
    <w:rsid w:val="005A1422"/>
    <w:rsid w:val="005A171C"/>
    <w:rsid w:val="005A19EC"/>
    <w:rsid w:val="005A25E6"/>
    <w:rsid w:val="005A2854"/>
    <w:rsid w:val="005A2D64"/>
    <w:rsid w:val="005A2DD4"/>
    <w:rsid w:val="005A30CF"/>
    <w:rsid w:val="005A3125"/>
    <w:rsid w:val="005A37FE"/>
    <w:rsid w:val="005A38B8"/>
    <w:rsid w:val="005A3E9B"/>
    <w:rsid w:val="005A3ED7"/>
    <w:rsid w:val="005A43AD"/>
    <w:rsid w:val="005A5088"/>
    <w:rsid w:val="005A6299"/>
    <w:rsid w:val="005A6398"/>
    <w:rsid w:val="005A66DF"/>
    <w:rsid w:val="005A6FA1"/>
    <w:rsid w:val="005A72F4"/>
    <w:rsid w:val="005B004B"/>
    <w:rsid w:val="005B012D"/>
    <w:rsid w:val="005B0894"/>
    <w:rsid w:val="005B0B77"/>
    <w:rsid w:val="005B10E0"/>
    <w:rsid w:val="005B1E53"/>
    <w:rsid w:val="005B2337"/>
    <w:rsid w:val="005B2518"/>
    <w:rsid w:val="005B25DC"/>
    <w:rsid w:val="005B31CA"/>
    <w:rsid w:val="005B3446"/>
    <w:rsid w:val="005B347C"/>
    <w:rsid w:val="005B354F"/>
    <w:rsid w:val="005B3AB7"/>
    <w:rsid w:val="005B3C7E"/>
    <w:rsid w:val="005B4496"/>
    <w:rsid w:val="005B4B2B"/>
    <w:rsid w:val="005B56D2"/>
    <w:rsid w:val="005B5F2B"/>
    <w:rsid w:val="005B7030"/>
    <w:rsid w:val="005B7569"/>
    <w:rsid w:val="005B7FA2"/>
    <w:rsid w:val="005C0EAB"/>
    <w:rsid w:val="005C180D"/>
    <w:rsid w:val="005C1B4A"/>
    <w:rsid w:val="005C236C"/>
    <w:rsid w:val="005C2623"/>
    <w:rsid w:val="005C26B9"/>
    <w:rsid w:val="005C49D4"/>
    <w:rsid w:val="005C5290"/>
    <w:rsid w:val="005C5DC6"/>
    <w:rsid w:val="005D013F"/>
    <w:rsid w:val="005D0414"/>
    <w:rsid w:val="005D043A"/>
    <w:rsid w:val="005D0C85"/>
    <w:rsid w:val="005D0F23"/>
    <w:rsid w:val="005D19D6"/>
    <w:rsid w:val="005D1A77"/>
    <w:rsid w:val="005D1DAE"/>
    <w:rsid w:val="005D3081"/>
    <w:rsid w:val="005D3E8F"/>
    <w:rsid w:val="005D447B"/>
    <w:rsid w:val="005D5749"/>
    <w:rsid w:val="005D584F"/>
    <w:rsid w:val="005D5B0F"/>
    <w:rsid w:val="005D6C48"/>
    <w:rsid w:val="005D7028"/>
    <w:rsid w:val="005D7A1E"/>
    <w:rsid w:val="005E1471"/>
    <w:rsid w:val="005E1A96"/>
    <w:rsid w:val="005E1EF7"/>
    <w:rsid w:val="005E2849"/>
    <w:rsid w:val="005E2D48"/>
    <w:rsid w:val="005E332A"/>
    <w:rsid w:val="005E3693"/>
    <w:rsid w:val="005E3C5F"/>
    <w:rsid w:val="005E4D4C"/>
    <w:rsid w:val="005E5033"/>
    <w:rsid w:val="005E5704"/>
    <w:rsid w:val="005E580D"/>
    <w:rsid w:val="005E600F"/>
    <w:rsid w:val="005E6576"/>
    <w:rsid w:val="005E6B09"/>
    <w:rsid w:val="005E78AE"/>
    <w:rsid w:val="005E7E86"/>
    <w:rsid w:val="005F0377"/>
    <w:rsid w:val="005F1C3C"/>
    <w:rsid w:val="005F28E0"/>
    <w:rsid w:val="005F3A7E"/>
    <w:rsid w:val="005F4233"/>
    <w:rsid w:val="005F45E5"/>
    <w:rsid w:val="005F4B8D"/>
    <w:rsid w:val="005F5386"/>
    <w:rsid w:val="005F5EAA"/>
    <w:rsid w:val="005F6270"/>
    <w:rsid w:val="005F7D03"/>
    <w:rsid w:val="00600233"/>
    <w:rsid w:val="00600BFF"/>
    <w:rsid w:val="00601B9A"/>
    <w:rsid w:val="006020B8"/>
    <w:rsid w:val="0060364C"/>
    <w:rsid w:val="00603902"/>
    <w:rsid w:val="00603A27"/>
    <w:rsid w:val="0060436C"/>
    <w:rsid w:val="00604E23"/>
    <w:rsid w:val="00605194"/>
    <w:rsid w:val="0060526D"/>
    <w:rsid w:val="0060541C"/>
    <w:rsid w:val="0060548F"/>
    <w:rsid w:val="006054FD"/>
    <w:rsid w:val="00606583"/>
    <w:rsid w:val="00606889"/>
    <w:rsid w:val="00607250"/>
    <w:rsid w:val="006073D0"/>
    <w:rsid w:val="0060778E"/>
    <w:rsid w:val="006077EC"/>
    <w:rsid w:val="00610990"/>
    <w:rsid w:val="00610DC3"/>
    <w:rsid w:val="0061126E"/>
    <w:rsid w:val="00611764"/>
    <w:rsid w:val="00611EF2"/>
    <w:rsid w:val="006125FC"/>
    <w:rsid w:val="00612B18"/>
    <w:rsid w:val="00612BBD"/>
    <w:rsid w:val="00613457"/>
    <w:rsid w:val="006138D4"/>
    <w:rsid w:val="00613A34"/>
    <w:rsid w:val="00613A60"/>
    <w:rsid w:val="00613B54"/>
    <w:rsid w:val="00613C43"/>
    <w:rsid w:val="00614A84"/>
    <w:rsid w:val="0061506E"/>
    <w:rsid w:val="0061552F"/>
    <w:rsid w:val="006155E2"/>
    <w:rsid w:val="006156D7"/>
    <w:rsid w:val="006158BE"/>
    <w:rsid w:val="00615D2E"/>
    <w:rsid w:val="00615DF0"/>
    <w:rsid w:val="00616755"/>
    <w:rsid w:val="00617695"/>
    <w:rsid w:val="006200EC"/>
    <w:rsid w:val="006205AB"/>
    <w:rsid w:val="00620782"/>
    <w:rsid w:val="00620D34"/>
    <w:rsid w:val="00620E68"/>
    <w:rsid w:val="00621D24"/>
    <w:rsid w:val="0062202D"/>
    <w:rsid w:val="006221B4"/>
    <w:rsid w:val="006224E2"/>
    <w:rsid w:val="0062252E"/>
    <w:rsid w:val="006225ED"/>
    <w:rsid w:val="006227B3"/>
    <w:rsid w:val="006229B0"/>
    <w:rsid w:val="00623431"/>
    <w:rsid w:val="0062351C"/>
    <w:rsid w:val="00623625"/>
    <w:rsid w:val="00623AB8"/>
    <w:rsid w:val="00624846"/>
    <w:rsid w:val="00624CE9"/>
    <w:rsid w:val="00624E4D"/>
    <w:rsid w:val="00625252"/>
    <w:rsid w:val="00626122"/>
    <w:rsid w:val="00627AA4"/>
    <w:rsid w:val="006301E8"/>
    <w:rsid w:val="006306B2"/>
    <w:rsid w:val="00630EC0"/>
    <w:rsid w:val="0063109A"/>
    <w:rsid w:val="0063340D"/>
    <w:rsid w:val="006335D7"/>
    <w:rsid w:val="00633F21"/>
    <w:rsid w:val="00633F98"/>
    <w:rsid w:val="006340D5"/>
    <w:rsid w:val="0063523F"/>
    <w:rsid w:val="006354E8"/>
    <w:rsid w:val="006359C5"/>
    <w:rsid w:val="00635AC8"/>
    <w:rsid w:val="00636024"/>
    <w:rsid w:val="006365D6"/>
    <w:rsid w:val="00636922"/>
    <w:rsid w:val="0063704C"/>
    <w:rsid w:val="006370DD"/>
    <w:rsid w:val="00637106"/>
    <w:rsid w:val="00637843"/>
    <w:rsid w:val="00637A51"/>
    <w:rsid w:val="00640066"/>
    <w:rsid w:val="006405DF"/>
    <w:rsid w:val="00640688"/>
    <w:rsid w:val="00640F79"/>
    <w:rsid w:val="0064119A"/>
    <w:rsid w:val="006411DA"/>
    <w:rsid w:val="0064163D"/>
    <w:rsid w:val="00641B69"/>
    <w:rsid w:val="00641CF2"/>
    <w:rsid w:val="00641DA9"/>
    <w:rsid w:val="00642305"/>
    <w:rsid w:val="006436A1"/>
    <w:rsid w:val="006444AB"/>
    <w:rsid w:val="006444B0"/>
    <w:rsid w:val="00644620"/>
    <w:rsid w:val="006452BF"/>
    <w:rsid w:val="0064674C"/>
    <w:rsid w:val="00646BBD"/>
    <w:rsid w:val="006475ED"/>
    <w:rsid w:val="00647ECC"/>
    <w:rsid w:val="00647F45"/>
    <w:rsid w:val="006504CB"/>
    <w:rsid w:val="00650C1E"/>
    <w:rsid w:val="00651247"/>
    <w:rsid w:val="0065129E"/>
    <w:rsid w:val="0065195A"/>
    <w:rsid w:val="00652499"/>
    <w:rsid w:val="006534B9"/>
    <w:rsid w:val="00653FE8"/>
    <w:rsid w:val="0065452A"/>
    <w:rsid w:val="00656E26"/>
    <w:rsid w:val="00657C6F"/>
    <w:rsid w:val="00660919"/>
    <w:rsid w:val="00660C28"/>
    <w:rsid w:val="00660DF5"/>
    <w:rsid w:val="00661683"/>
    <w:rsid w:val="00661C84"/>
    <w:rsid w:val="00662E1D"/>
    <w:rsid w:val="006630E9"/>
    <w:rsid w:val="00663358"/>
    <w:rsid w:val="006639B3"/>
    <w:rsid w:val="00663BBD"/>
    <w:rsid w:val="006645C4"/>
    <w:rsid w:val="00664897"/>
    <w:rsid w:val="00664AF9"/>
    <w:rsid w:val="0066559E"/>
    <w:rsid w:val="00665DED"/>
    <w:rsid w:val="00666340"/>
    <w:rsid w:val="00667E9F"/>
    <w:rsid w:val="00670284"/>
    <w:rsid w:val="0067048F"/>
    <w:rsid w:val="00670580"/>
    <w:rsid w:val="0067073E"/>
    <w:rsid w:val="00670EDF"/>
    <w:rsid w:val="00670FB6"/>
    <w:rsid w:val="0067107E"/>
    <w:rsid w:val="006712E4"/>
    <w:rsid w:val="0067140A"/>
    <w:rsid w:val="0067196B"/>
    <w:rsid w:val="0067197B"/>
    <w:rsid w:val="00671D1F"/>
    <w:rsid w:val="00671D38"/>
    <w:rsid w:val="006722EE"/>
    <w:rsid w:val="006724C9"/>
    <w:rsid w:val="00672FD8"/>
    <w:rsid w:val="0067318A"/>
    <w:rsid w:val="0067393D"/>
    <w:rsid w:val="0067397A"/>
    <w:rsid w:val="00673B23"/>
    <w:rsid w:val="006741EF"/>
    <w:rsid w:val="006748E5"/>
    <w:rsid w:val="00674AD5"/>
    <w:rsid w:val="00675A45"/>
    <w:rsid w:val="00675CBE"/>
    <w:rsid w:val="00676558"/>
    <w:rsid w:val="00677A72"/>
    <w:rsid w:val="00677FA9"/>
    <w:rsid w:val="00680C8A"/>
    <w:rsid w:val="00680CFD"/>
    <w:rsid w:val="00682D24"/>
    <w:rsid w:val="00682E60"/>
    <w:rsid w:val="00682F17"/>
    <w:rsid w:val="00682F7A"/>
    <w:rsid w:val="00683B32"/>
    <w:rsid w:val="00683E83"/>
    <w:rsid w:val="006840B2"/>
    <w:rsid w:val="00685234"/>
    <w:rsid w:val="006853D3"/>
    <w:rsid w:val="00685F9D"/>
    <w:rsid w:val="0068631A"/>
    <w:rsid w:val="006863FD"/>
    <w:rsid w:val="006873AB"/>
    <w:rsid w:val="006877EE"/>
    <w:rsid w:val="00690005"/>
    <w:rsid w:val="00690154"/>
    <w:rsid w:val="0069054D"/>
    <w:rsid w:val="006905A8"/>
    <w:rsid w:val="00690C13"/>
    <w:rsid w:val="006919DD"/>
    <w:rsid w:val="00692ABE"/>
    <w:rsid w:val="00693208"/>
    <w:rsid w:val="006934F4"/>
    <w:rsid w:val="00693716"/>
    <w:rsid w:val="006942BD"/>
    <w:rsid w:val="006952E1"/>
    <w:rsid w:val="0069554E"/>
    <w:rsid w:val="0069596F"/>
    <w:rsid w:val="00695A8B"/>
    <w:rsid w:val="00695D43"/>
    <w:rsid w:val="00695E57"/>
    <w:rsid w:val="006960D1"/>
    <w:rsid w:val="00696AA4"/>
    <w:rsid w:val="00697086"/>
    <w:rsid w:val="00697A5A"/>
    <w:rsid w:val="006A021D"/>
    <w:rsid w:val="006A03C1"/>
    <w:rsid w:val="006A06DA"/>
    <w:rsid w:val="006A0C30"/>
    <w:rsid w:val="006A0CEF"/>
    <w:rsid w:val="006A0F6C"/>
    <w:rsid w:val="006A12E7"/>
    <w:rsid w:val="006A1B69"/>
    <w:rsid w:val="006A21B3"/>
    <w:rsid w:val="006A2531"/>
    <w:rsid w:val="006A2E22"/>
    <w:rsid w:val="006A3528"/>
    <w:rsid w:val="006A3BB9"/>
    <w:rsid w:val="006A467B"/>
    <w:rsid w:val="006A70F8"/>
    <w:rsid w:val="006B050A"/>
    <w:rsid w:val="006B097E"/>
    <w:rsid w:val="006B0D99"/>
    <w:rsid w:val="006B1028"/>
    <w:rsid w:val="006B1221"/>
    <w:rsid w:val="006B143C"/>
    <w:rsid w:val="006B15EA"/>
    <w:rsid w:val="006B1C75"/>
    <w:rsid w:val="006B1F14"/>
    <w:rsid w:val="006B224C"/>
    <w:rsid w:val="006B22A9"/>
    <w:rsid w:val="006B23DC"/>
    <w:rsid w:val="006B27F4"/>
    <w:rsid w:val="006B31F8"/>
    <w:rsid w:val="006B37D3"/>
    <w:rsid w:val="006B3DA7"/>
    <w:rsid w:val="006B3FC4"/>
    <w:rsid w:val="006B441F"/>
    <w:rsid w:val="006B4AC1"/>
    <w:rsid w:val="006B5817"/>
    <w:rsid w:val="006B5D16"/>
    <w:rsid w:val="006B5FC9"/>
    <w:rsid w:val="006B608C"/>
    <w:rsid w:val="006B7CA2"/>
    <w:rsid w:val="006C04D1"/>
    <w:rsid w:val="006C05E0"/>
    <w:rsid w:val="006C0602"/>
    <w:rsid w:val="006C1174"/>
    <w:rsid w:val="006C189E"/>
    <w:rsid w:val="006C1E4E"/>
    <w:rsid w:val="006C223F"/>
    <w:rsid w:val="006C23D2"/>
    <w:rsid w:val="006C2541"/>
    <w:rsid w:val="006C26D7"/>
    <w:rsid w:val="006C2B10"/>
    <w:rsid w:val="006C30C6"/>
    <w:rsid w:val="006C32C1"/>
    <w:rsid w:val="006C3998"/>
    <w:rsid w:val="006C3999"/>
    <w:rsid w:val="006C4596"/>
    <w:rsid w:val="006C472F"/>
    <w:rsid w:val="006C5289"/>
    <w:rsid w:val="006C5451"/>
    <w:rsid w:val="006C5DA3"/>
    <w:rsid w:val="006C636B"/>
    <w:rsid w:val="006C6513"/>
    <w:rsid w:val="006C690D"/>
    <w:rsid w:val="006C6B17"/>
    <w:rsid w:val="006C6BAB"/>
    <w:rsid w:val="006C7865"/>
    <w:rsid w:val="006C78A4"/>
    <w:rsid w:val="006D03A1"/>
    <w:rsid w:val="006D091F"/>
    <w:rsid w:val="006D0EB1"/>
    <w:rsid w:val="006D150B"/>
    <w:rsid w:val="006D1ADC"/>
    <w:rsid w:val="006D1AF8"/>
    <w:rsid w:val="006D25A5"/>
    <w:rsid w:val="006D2CEA"/>
    <w:rsid w:val="006D3749"/>
    <w:rsid w:val="006D38D4"/>
    <w:rsid w:val="006D3F35"/>
    <w:rsid w:val="006D5109"/>
    <w:rsid w:val="006D52A6"/>
    <w:rsid w:val="006D5C0B"/>
    <w:rsid w:val="006D7ACD"/>
    <w:rsid w:val="006E0684"/>
    <w:rsid w:val="006E0EBE"/>
    <w:rsid w:val="006E1C06"/>
    <w:rsid w:val="006E1CDA"/>
    <w:rsid w:val="006E1CE4"/>
    <w:rsid w:val="006E255D"/>
    <w:rsid w:val="006E2C33"/>
    <w:rsid w:val="006E31C3"/>
    <w:rsid w:val="006E3380"/>
    <w:rsid w:val="006E39DF"/>
    <w:rsid w:val="006E3A29"/>
    <w:rsid w:val="006E3F04"/>
    <w:rsid w:val="006E4B15"/>
    <w:rsid w:val="006E4FFA"/>
    <w:rsid w:val="006E517C"/>
    <w:rsid w:val="006E5F73"/>
    <w:rsid w:val="006E61E0"/>
    <w:rsid w:val="006E650A"/>
    <w:rsid w:val="006E6767"/>
    <w:rsid w:val="006E6810"/>
    <w:rsid w:val="006F03D9"/>
    <w:rsid w:val="006F1B80"/>
    <w:rsid w:val="006F1ED2"/>
    <w:rsid w:val="006F2060"/>
    <w:rsid w:val="006F2133"/>
    <w:rsid w:val="006F2F34"/>
    <w:rsid w:val="006F32AF"/>
    <w:rsid w:val="006F33DF"/>
    <w:rsid w:val="006F343E"/>
    <w:rsid w:val="006F41A2"/>
    <w:rsid w:val="006F452D"/>
    <w:rsid w:val="006F496E"/>
    <w:rsid w:val="006F4B20"/>
    <w:rsid w:val="006F4C66"/>
    <w:rsid w:val="006F5023"/>
    <w:rsid w:val="006F5242"/>
    <w:rsid w:val="006F5630"/>
    <w:rsid w:val="006F5E3C"/>
    <w:rsid w:val="006F6D31"/>
    <w:rsid w:val="006F76B6"/>
    <w:rsid w:val="006F7D42"/>
    <w:rsid w:val="00700209"/>
    <w:rsid w:val="00700ED6"/>
    <w:rsid w:val="00701081"/>
    <w:rsid w:val="007010BE"/>
    <w:rsid w:val="007013D1"/>
    <w:rsid w:val="0070206C"/>
    <w:rsid w:val="00702099"/>
    <w:rsid w:val="0070319B"/>
    <w:rsid w:val="007032BB"/>
    <w:rsid w:val="007034CD"/>
    <w:rsid w:val="0070365A"/>
    <w:rsid w:val="007037F4"/>
    <w:rsid w:val="0070446D"/>
    <w:rsid w:val="007047B2"/>
    <w:rsid w:val="0070498B"/>
    <w:rsid w:val="007054CE"/>
    <w:rsid w:val="00705857"/>
    <w:rsid w:val="007062C9"/>
    <w:rsid w:val="007065D1"/>
    <w:rsid w:val="007066C7"/>
    <w:rsid w:val="00706B1E"/>
    <w:rsid w:val="00706B79"/>
    <w:rsid w:val="00706BD0"/>
    <w:rsid w:val="00706C26"/>
    <w:rsid w:val="0070733E"/>
    <w:rsid w:val="0070739A"/>
    <w:rsid w:val="007073BC"/>
    <w:rsid w:val="00707C95"/>
    <w:rsid w:val="00707F6A"/>
    <w:rsid w:val="007107E6"/>
    <w:rsid w:val="0071118F"/>
    <w:rsid w:val="007111D0"/>
    <w:rsid w:val="00711949"/>
    <w:rsid w:val="00711B0F"/>
    <w:rsid w:val="00711BDB"/>
    <w:rsid w:val="00712107"/>
    <w:rsid w:val="00712654"/>
    <w:rsid w:val="007129FD"/>
    <w:rsid w:val="00712E0C"/>
    <w:rsid w:val="0071333F"/>
    <w:rsid w:val="007134B2"/>
    <w:rsid w:val="007147F4"/>
    <w:rsid w:val="00714AF1"/>
    <w:rsid w:val="00715AFB"/>
    <w:rsid w:val="00716062"/>
    <w:rsid w:val="0071670A"/>
    <w:rsid w:val="00716F84"/>
    <w:rsid w:val="007205B6"/>
    <w:rsid w:val="00721070"/>
    <w:rsid w:val="007214C8"/>
    <w:rsid w:val="007216D8"/>
    <w:rsid w:val="00722459"/>
    <w:rsid w:val="0072251A"/>
    <w:rsid w:val="0072263E"/>
    <w:rsid w:val="00722AEC"/>
    <w:rsid w:val="00723BAA"/>
    <w:rsid w:val="00723D60"/>
    <w:rsid w:val="00724A01"/>
    <w:rsid w:val="00724B7F"/>
    <w:rsid w:val="00725211"/>
    <w:rsid w:val="00725362"/>
    <w:rsid w:val="0072543F"/>
    <w:rsid w:val="007254B1"/>
    <w:rsid w:val="00725A55"/>
    <w:rsid w:val="00725E0F"/>
    <w:rsid w:val="00725FFD"/>
    <w:rsid w:val="00726C52"/>
    <w:rsid w:val="007278D7"/>
    <w:rsid w:val="00727E05"/>
    <w:rsid w:val="00727FC3"/>
    <w:rsid w:val="00730859"/>
    <w:rsid w:val="007310C3"/>
    <w:rsid w:val="0073176C"/>
    <w:rsid w:val="00731944"/>
    <w:rsid w:val="007322C1"/>
    <w:rsid w:val="0073336F"/>
    <w:rsid w:val="007335D6"/>
    <w:rsid w:val="00733C86"/>
    <w:rsid w:val="00733D53"/>
    <w:rsid w:val="00733E7F"/>
    <w:rsid w:val="0073423E"/>
    <w:rsid w:val="007348F7"/>
    <w:rsid w:val="00735493"/>
    <w:rsid w:val="00735FF9"/>
    <w:rsid w:val="00736B3C"/>
    <w:rsid w:val="007374DB"/>
    <w:rsid w:val="00737A06"/>
    <w:rsid w:val="00737E08"/>
    <w:rsid w:val="00737EA6"/>
    <w:rsid w:val="00740170"/>
    <w:rsid w:val="00740387"/>
    <w:rsid w:val="00740973"/>
    <w:rsid w:val="00740BAB"/>
    <w:rsid w:val="00740C96"/>
    <w:rsid w:val="00741148"/>
    <w:rsid w:val="0074173F"/>
    <w:rsid w:val="00741BE4"/>
    <w:rsid w:val="00742A2D"/>
    <w:rsid w:val="00742CED"/>
    <w:rsid w:val="00742EA1"/>
    <w:rsid w:val="0074339E"/>
    <w:rsid w:val="00743495"/>
    <w:rsid w:val="007443DB"/>
    <w:rsid w:val="00744662"/>
    <w:rsid w:val="0074519B"/>
    <w:rsid w:val="007455EF"/>
    <w:rsid w:val="0074616D"/>
    <w:rsid w:val="007465C2"/>
    <w:rsid w:val="00746A61"/>
    <w:rsid w:val="00746CFA"/>
    <w:rsid w:val="00747379"/>
    <w:rsid w:val="007474B9"/>
    <w:rsid w:val="00747525"/>
    <w:rsid w:val="007476D7"/>
    <w:rsid w:val="0075027C"/>
    <w:rsid w:val="007505E0"/>
    <w:rsid w:val="0075079A"/>
    <w:rsid w:val="00750F62"/>
    <w:rsid w:val="007512C2"/>
    <w:rsid w:val="00751878"/>
    <w:rsid w:val="00751D69"/>
    <w:rsid w:val="00753504"/>
    <w:rsid w:val="0075393B"/>
    <w:rsid w:val="00753C44"/>
    <w:rsid w:val="0075429C"/>
    <w:rsid w:val="00754748"/>
    <w:rsid w:val="00755294"/>
    <w:rsid w:val="00756C0E"/>
    <w:rsid w:val="00756C24"/>
    <w:rsid w:val="007571D0"/>
    <w:rsid w:val="00757524"/>
    <w:rsid w:val="00757CF6"/>
    <w:rsid w:val="00760B23"/>
    <w:rsid w:val="0076123D"/>
    <w:rsid w:val="0076162C"/>
    <w:rsid w:val="007616E7"/>
    <w:rsid w:val="007622BB"/>
    <w:rsid w:val="00762477"/>
    <w:rsid w:val="00762494"/>
    <w:rsid w:val="00762C5A"/>
    <w:rsid w:val="00763542"/>
    <w:rsid w:val="00763CB8"/>
    <w:rsid w:val="00764D97"/>
    <w:rsid w:val="007651E5"/>
    <w:rsid w:val="00765EF1"/>
    <w:rsid w:val="0076618F"/>
    <w:rsid w:val="007666A2"/>
    <w:rsid w:val="007672D1"/>
    <w:rsid w:val="00770211"/>
    <w:rsid w:val="007703A3"/>
    <w:rsid w:val="00770784"/>
    <w:rsid w:val="00770CB7"/>
    <w:rsid w:val="007715D3"/>
    <w:rsid w:val="0077168F"/>
    <w:rsid w:val="0077226C"/>
    <w:rsid w:val="007726CF"/>
    <w:rsid w:val="00772ECF"/>
    <w:rsid w:val="0077307A"/>
    <w:rsid w:val="0077340A"/>
    <w:rsid w:val="0077418D"/>
    <w:rsid w:val="007746A5"/>
    <w:rsid w:val="007749CD"/>
    <w:rsid w:val="00775A2D"/>
    <w:rsid w:val="00775D74"/>
    <w:rsid w:val="00776126"/>
    <w:rsid w:val="00776A18"/>
    <w:rsid w:val="00776B57"/>
    <w:rsid w:val="00776C0B"/>
    <w:rsid w:val="00776EBB"/>
    <w:rsid w:val="0077770A"/>
    <w:rsid w:val="0077793A"/>
    <w:rsid w:val="00781BB7"/>
    <w:rsid w:val="00781D32"/>
    <w:rsid w:val="007823A8"/>
    <w:rsid w:val="0078250A"/>
    <w:rsid w:val="00782563"/>
    <w:rsid w:val="00782664"/>
    <w:rsid w:val="00782AD3"/>
    <w:rsid w:val="00782CD5"/>
    <w:rsid w:val="007838DB"/>
    <w:rsid w:val="007839BF"/>
    <w:rsid w:val="00783B77"/>
    <w:rsid w:val="00783D64"/>
    <w:rsid w:val="00783D6E"/>
    <w:rsid w:val="00784CF2"/>
    <w:rsid w:val="00785096"/>
    <w:rsid w:val="00785147"/>
    <w:rsid w:val="0078595B"/>
    <w:rsid w:val="00785ED4"/>
    <w:rsid w:val="00786018"/>
    <w:rsid w:val="00786CE4"/>
    <w:rsid w:val="0078735D"/>
    <w:rsid w:val="007908E1"/>
    <w:rsid w:val="00790B1A"/>
    <w:rsid w:val="00790FFD"/>
    <w:rsid w:val="00791ACA"/>
    <w:rsid w:val="00792462"/>
    <w:rsid w:val="00792546"/>
    <w:rsid w:val="007926D3"/>
    <w:rsid w:val="00792CCA"/>
    <w:rsid w:val="0079386F"/>
    <w:rsid w:val="007939FA"/>
    <w:rsid w:val="007944CD"/>
    <w:rsid w:val="00794AEB"/>
    <w:rsid w:val="00794B2C"/>
    <w:rsid w:val="00794EBF"/>
    <w:rsid w:val="00794EE3"/>
    <w:rsid w:val="00795704"/>
    <w:rsid w:val="007959C4"/>
    <w:rsid w:val="00795FF9"/>
    <w:rsid w:val="007966DE"/>
    <w:rsid w:val="007968B3"/>
    <w:rsid w:val="00796AD0"/>
    <w:rsid w:val="00796AF6"/>
    <w:rsid w:val="00796F7B"/>
    <w:rsid w:val="00797074"/>
    <w:rsid w:val="00797210"/>
    <w:rsid w:val="00797817"/>
    <w:rsid w:val="007A0643"/>
    <w:rsid w:val="007A080B"/>
    <w:rsid w:val="007A0B64"/>
    <w:rsid w:val="007A0F20"/>
    <w:rsid w:val="007A1327"/>
    <w:rsid w:val="007A1605"/>
    <w:rsid w:val="007A29CA"/>
    <w:rsid w:val="007A2AAD"/>
    <w:rsid w:val="007A2BA0"/>
    <w:rsid w:val="007A2D9C"/>
    <w:rsid w:val="007A2FE9"/>
    <w:rsid w:val="007A33E8"/>
    <w:rsid w:val="007A342F"/>
    <w:rsid w:val="007A3724"/>
    <w:rsid w:val="007A3C5A"/>
    <w:rsid w:val="007A4A63"/>
    <w:rsid w:val="007A4A7F"/>
    <w:rsid w:val="007A64D0"/>
    <w:rsid w:val="007A6B84"/>
    <w:rsid w:val="007B09B4"/>
    <w:rsid w:val="007B0EE3"/>
    <w:rsid w:val="007B1C96"/>
    <w:rsid w:val="007B229E"/>
    <w:rsid w:val="007B23B5"/>
    <w:rsid w:val="007B2E7F"/>
    <w:rsid w:val="007B37E7"/>
    <w:rsid w:val="007B4D32"/>
    <w:rsid w:val="007B4D76"/>
    <w:rsid w:val="007B5AF6"/>
    <w:rsid w:val="007B5B71"/>
    <w:rsid w:val="007B622C"/>
    <w:rsid w:val="007B624D"/>
    <w:rsid w:val="007B7A20"/>
    <w:rsid w:val="007C004D"/>
    <w:rsid w:val="007C0339"/>
    <w:rsid w:val="007C1186"/>
    <w:rsid w:val="007C1CDE"/>
    <w:rsid w:val="007C1E4C"/>
    <w:rsid w:val="007C1F11"/>
    <w:rsid w:val="007C2583"/>
    <w:rsid w:val="007C2B25"/>
    <w:rsid w:val="007C2BD3"/>
    <w:rsid w:val="007C33B4"/>
    <w:rsid w:val="007C35F1"/>
    <w:rsid w:val="007C3B2E"/>
    <w:rsid w:val="007C3D7F"/>
    <w:rsid w:val="007C41EC"/>
    <w:rsid w:val="007C44B9"/>
    <w:rsid w:val="007C4E4C"/>
    <w:rsid w:val="007C51AC"/>
    <w:rsid w:val="007C576B"/>
    <w:rsid w:val="007C618F"/>
    <w:rsid w:val="007C635C"/>
    <w:rsid w:val="007C66D2"/>
    <w:rsid w:val="007C6D56"/>
    <w:rsid w:val="007C74D5"/>
    <w:rsid w:val="007C7651"/>
    <w:rsid w:val="007C7754"/>
    <w:rsid w:val="007C7F59"/>
    <w:rsid w:val="007D047E"/>
    <w:rsid w:val="007D08BB"/>
    <w:rsid w:val="007D1828"/>
    <w:rsid w:val="007D1DED"/>
    <w:rsid w:val="007D1FF6"/>
    <w:rsid w:val="007D2351"/>
    <w:rsid w:val="007D4390"/>
    <w:rsid w:val="007D51AC"/>
    <w:rsid w:val="007D5569"/>
    <w:rsid w:val="007D59DF"/>
    <w:rsid w:val="007D63A0"/>
    <w:rsid w:val="007D6B28"/>
    <w:rsid w:val="007D711C"/>
    <w:rsid w:val="007D74AB"/>
    <w:rsid w:val="007D7575"/>
    <w:rsid w:val="007E09DF"/>
    <w:rsid w:val="007E1265"/>
    <w:rsid w:val="007E1DD8"/>
    <w:rsid w:val="007E297E"/>
    <w:rsid w:val="007E3005"/>
    <w:rsid w:val="007E340F"/>
    <w:rsid w:val="007E4A8C"/>
    <w:rsid w:val="007E4D4C"/>
    <w:rsid w:val="007E5946"/>
    <w:rsid w:val="007E61F5"/>
    <w:rsid w:val="007E6444"/>
    <w:rsid w:val="007E6637"/>
    <w:rsid w:val="007E711D"/>
    <w:rsid w:val="007E718F"/>
    <w:rsid w:val="007E7302"/>
    <w:rsid w:val="007E799C"/>
    <w:rsid w:val="007F0269"/>
    <w:rsid w:val="007F054C"/>
    <w:rsid w:val="007F0873"/>
    <w:rsid w:val="007F0FBF"/>
    <w:rsid w:val="007F1ABC"/>
    <w:rsid w:val="007F2274"/>
    <w:rsid w:val="007F236E"/>
    <w:rsid w:val="007F2B75"/>
    <w:rsid w:val="007F2BD4"/>
    <w:rsid w:val="007F3232"/>
    <w:rsid w:val="007F3A96"/>
    <w:rsid w:val="007F3B14"/>
    <w:rsid w:val="007F3DA5"/>
    <w:rsid w:val="007F457F"/>
    <w:rsid w:val="007F465E"/>
    <w:rsid w:val="007F4D8C"/>
    <w:rsid w:val="007F503C"/>
    <w:rsid w:val="007F5424"/>
    <w:rsid w:val="007F5889"/>
    <w:rsid w:val="007F62B9"/>
    <w:rsid w:val="007F67C7"/>
    <w:rsid w:val="007F7BC4"/>
    <w:rsid w:val="007F7E7E"/>
    <w:rsid w:val="008007D5"/>
    <w:rsid w:val="00801FD2"/>
    <w:rsid w:val="00802BC4"/>
    <w:rsid w:val="00802CDD"/>
    <w:rsid w:val="00803FF0"/>
    <w:rsid w:val="00804D8D"/>
    <w:rsid w:val="008051AD"/>
    <w:rsid w:val="00806C2B"/>
    <w:rsid w:val="00807EA9"/>
    <w:rsid w:val="008102BB"/>
    <w:rsid w:val="00810353"/>
    <w:rsid w:val="008103A0"/>
    <w:rsid w:val="00810589"/>
    <w:rsid w:val="00810A68"/>
    <w:rsid w:val="0081141E"/>
    <w:rsid w:val="00811E82"/>
    <w:rsid w:val="00812274"/>
    <w:rsid w:val="008128CC"/>
    <w:rsid w:val="00812A6B"/>
    <w:rsid w:val="00812C38"/>
    <w:rsid w:val="0081312E"/>
    <w:rsid w:val="008135BF"/>
    <w:rsid w:val="008137B4"/>
    <w:rsid w:val="008138CF"/>
    <w:rsid w:val="008146F0"/>
    <w:rsid w:val="0081486B"/>
    <w:rsid w:val="00815115"/>
    <w:rsid w:val="0081788D"/>
    <w:rsid w:val="008178EF"/>
    <w:rsid w:val="00817C7D"/>
    <w:rsid w:val="00817DB4"/>
    <w:rsid w:val="008229CC"/>
    <w:rsid w:val="008235C1"/>
    <w:rsid w:val="00823F30"/>
    <w:rsid w:val="008243F6"/>
    <w:rsid w:val="0082511E"/>
    <w:rsid w:val="00825D45"/>
    <w:rsid w:val="00825D58"/>
    <w:rsid w:val="008262C4"/>
    <w:rsid w:val="008267D5"/>
    <w:rsid w:val="00826BC7"/>
    <w:rsid w:val="008270FC"/>
    <w:rsid w:val="00830A5B"/>
    <w:rsid w:val="00830AC6"/>
    <w:rsid w:val="008315CB"/>
    <w:rsid w:val="00832517"/>
    <w:rsid w:val="0083263E"/>
    <w:rsid w:val="008333D3"/>
    <w:rsid w:val="00833479"/>
    <w:rsid w:val="00834EB4"/>
    <w:rsid w:val="00836950"/>
    <w:rsid w:val="0083728C"/>
    <w:rsid w:val="00837BF0"/>
    <w:rsid w:val="008400BA"/>
    <w:rsid w:val="008406D5"/>
    <w:rsid w:val="00841227"/>
    <w:rsid w:val="00841C00"/>
    <w:rsid w:val="00842166"/>
    <w:rsid w:val="008424E1"/>
    <w:rsid w:val="00842581"/>
    <w:rsid w:val="0084258B"/>
    <w:rsid w:val="00842F1C"/>
    <w:rsid w:val="00843657"/>
    <w:rsid w:val="008437E7"/>
    <w:rsid w:val="00843A25"/>
    <w:rsid w:val="008443C1"/>
    <w:rsid w:val="00844535"/>
    <w:rsid w:val="008448C1"/>
    <w:rsid w:val="00845087"/>
    <w:rsid w:val="008454C3"/>
    <w:rsid w:val="00845534"/>
    <w:rsid w:val="008458FF"/>
    <w:rsid w:val="008462E1"/>
    <w:rsid w:val="00846460"/>
    <w:rsid w:val="0084759C"/>
    <w:rsid w:val="0085031C"/>
    <w:rsid w:val="008509A9"/>
    <w:rsid w:val="0085180F"/>
    <w:rsid w:val="00851D16"/>
    <w:rsid w:val="00852532"/>
    <w:rsid w:val="00852D3F"/>
    <w:rsid w:val="00853332"/>
    <w:rsid w:val="00853557"/>
    <w:rsid w:val="00853CF4"/>
    <w:rsid w:val="00853F95"/>
    <w:rsid w:val="00854018"/>
    <w:rsid w:val="0085455D"/>
    <w:rsid w:val="00854B1A"/>
    <w:rsid w:val="0085582D"/>
    <w:rsid w:val="008558F9"/>
    <w:rsid w:val="0085663D"/>
    <w:rsid w:val="0085696C"/>
    <w:rsid w:val="00856A92"/>
    <w:rsid w:val="00856C1E"/>
    <w:rsid w:val="008576E5"/>
    <w:rsid w:val="008579E6"/>
    <w:rsid w:val="00860016"/>
    <w:rsid w:val="00860957"/>
    <w:rsid w:val="00860E10"/>
    <w:rsid w:val="00860F24"/>
    <w:rsid w:val="0086146D"/>
    <w:rsid w:val="008615A0"/>
    <w:rsid w:val="00861834"/>
    <w:rsid w:val="00861C76"/>
    <w:rsid w:val="00861DE1"/>
    <w:rsid w:val="008625D4"/>
    <w:rsid w:val="00862CBA"/>
    <w:rsid w:val="008635E9"/>
    <w:rsid w:val="00863B59"/>
    <w:rsid w:val="00863F60"/>
    <w:rsid w:val="008640E8"/>
    <w:rsid w:val="0086436A"/>
    <w:rsid w:val="00864531"/>
    <w:rsid w:val="0086598A"/>
    <w:rsid w:val="0086684A"/>
    <w:rsid w:val="008679F7"/>
    <w:rsid w:val="00867D23"/>
    <w:rsid w:val="00867D6B"/>
    <w:rsid w:val="00867D6E"/>
    <w:rsid w:val="008702BA"/>
    <w:rsid w:val="00870331"/>
    <w:rsid w:val="008708A0"/>
    <w:rsid w:val="00870A57"/>
    <w:rsid w:val="00871CE7"/>
    <w:rsid w:val="0087261B"/>
    <w:rsid w:val="0087285E"/>
    <w:rsid w:val="00872AF7"/>
    <w:rsid w:val="00872D74"/>
    <w:rsid w:val="00873A8D"/>
    <w:rsid w:val="00873B50"/>
    <w:rsid w:val="00873D78"/>
    <w:rsid w:val="008748A9"/>
    <w:rsid w:val="00874E0A"/>
    <w:rsid w:val="00875919"/>
    <w:rsid w:val="00875958"/>
    <w:rsid w:val="008759B7"/>
    <w:rsid w:val="0087611D"/>
    <w:rsid w:val="00876983"/>
    <w:rsid w:val="00876EE6"/>
    <w:rsid w:val="008771F9"/>
    <w:rsid w:val="00877A20"/>
    <w:rsid w:val="0088074E"/>
    <w:rsid w:val="00881211"/>
    <w:rsid w:val="00881252"/>
    <w:rsid w:val="0088168B"/>
    <w:rsid w:val="00881B8C"/>
    <w:rsid w:val="008820F5"/>
    <w:rsid w:val="008821E5"/>
    <w:rsid w:val="00882F5B"/>
    <w:rsid w:val="00883121"/>
    <w:rsid w:val="0088387E"/>
    <w:rsid w:val="00883D80"/>
    <w:rsid w:val="00883EA9"/>
    <w:rsid w:val="008844AE"/>
    <w:rsid w:val="00885048"/>
    <w:rsid w:val="00885088"/>
    <w:rsid w:val="00885AFD"/>
    <w:rsid w:val="00886166"/>
    <w:rsid w:val="0088647C"/>
    <w:rsid w:val="00886F9E"/>
    <w:rsid w:val="008870C0"/>
    <w:rsid w:val="008873C0"/>
    <w:rsid w:val="0088795B"/>
    <w:rsid w:val="00887FAE"/>
    <w:rsid w:val="0089007A"/>
    <w:rsid w:val="0089025F"/>
    <w:rsid w:val="00890BA5"/>
    <w:rsid w:val="00891B9C"/>
    <w:rsid w:val="00891E67"/>
    <w:rsid w:val="00891F5F"/>
    <w:rsid w:val="008927E9"/>
    <w:rsid w:val="008927EB"/>
    <w:rsid w:val="00893365"/>
    <w:rsid w:val="008934AF"/>
    <w:rsid w:val="0089354B"/>
    <w:rsid w:val="00893C70"/>
    <w:rsid w:val="00893D02"/>
    <w:rsid w:val="00893EDB"/>
    <w:rsid w:val="00894013"/>
    <w:rsid w:val="00894A41"/>
    <w:rsid w:val="00895693"/>
    <w:rsid w:val="0089593A"/>
    <w:rsid w:val="00895D22"/>
    <w:rsid w:val="00895D90"/>
    <w:rsid w:val="00896003"/>
    <w:rsid w:val="00896071"/>
    <w:rsid w:val="008962AF"/>
    <w:rsid w:val="00896734"/>
    <w:rsid w:val="00897D69"/>
    <w:rsid w:val="008A08AE"/>
    <w:rsid w:val="008A1742"/>
    <w:rsid w:val="008A1AA2"/>
    <w:rsid w:val="008A25E2"/>
    <w:rsid w:val="008A29A8"/>
    <w:rsid w:val="008A2F52"/>
    <w:rsid w:val="008A31FE"/>
    <w:rsid w:val="008A3B6A"/>
    <w:rsid w:val="008A49D8"/>
    <w:rsid w:val="008A4A74"/>
    <w:rsid w:val="008A562A"/>
    <w:rsid w:val="008A598E"/>
    <w:rsid w:val="008A5C07"/>
    <w:rsid w:val="008A67D7"/>
    <w:rsid w:val="008A7343"/>
    <w:rsid w:val="008A7570"/>
    <w:rsid w:val="008A7ED6"/>
    <w:rsid w:val="008B05C3"/>
    <w:rsid w:val="008B0D4A"/>
    <w:rsid w:val="008B1D2D"/>
    <w:rsid w:val="008B1E39"/>
    <w:rsid w:val="008B2130"/>
    <w:rsid w:val="008B25F5"/>
    <w:rsid w:val="008B29C9"/>
    <w:rsid w:val="008B3856"/>
    <w:rsid w:val="008B39B0"/>
    <w:rsid w:val="008B3A15"/>
    <w:rsid w:val="008B4E95"/>
    <w:rsid w:val="008B57B5"/>
    <w:rsid w:val="008B5E2E"/>
    <w:rsid w:val="008B611E"/>
    <w:rsid w:val="008B633D"/>
    <w:rsid w:val="008B6385"/>
    <w:rsid w:val="008B69C4"/>
    <w:rsid w:val="008B6EFB"/>
    <w:rsid w:val="008B6F93"/>
    <w:rsid w:val="008B75EC"/>
    <w:rsid w:val="008B7B17"/>
    <w:rsid w:val="008C097C"/>
    <w:rsid w:val="008C0BB2"/>
    <w:rsid w:val="008C0F98"/>
    <w:rsid w:val="008C1A07"/>
    <w:rsid w:val="008C2C98"/>
    <w:rsid w:val="008C2DDB"/>
    <w:rsid w:val="008C3503"/>
    <w:rsid w:val="008C3A42"/>
    <w:rsid w:val="008C44E7"/>
    <w:rsid w:val="008C4573"/>
    <w:rsid w:val="008C4B16"/>
    <w:rsid w:val="008C5291"/>
    <w:rsid w:val="008C55B3"/>
    <w:rsid w:val="008C5628"/>
    <w:rsid w:val="008C566C"/>
    <w:rsid w:val="008C639D"/>
    <w:rsid w:val="008C65CA"/>
    <w:rsid w:val="008C6860"/>
    <w:rsid w:val="008C6AE5"/>
    <w:rsid w:val="008C7FC3"/>
    <w:rsid w:val="008D0059"/>
    <w:rsid w:val="008D03C5"/>
    <w:rsid w:val="008D0744"/>
    <w:rsid w:val="008D07FB"/>
    <w:rsid w:val="008D0E6D"/>
    <w:rsid w:val="008D1823"/>
    <w:rsid w:val="008D1AFB"/>
    <w:rsid w:val="008D1D47"/>
    <w:rsid w:val="008D31CE"/>
    <w:rsid w:val="008D3444"/>
    <w:rsid w:val="008D35EE"/>
    <w:rsid w:val="008D3F88"/>
    <w:rsid w:val="008D475C"/>
    <w:rsid w:val="008D476C"/>
    <w:rsid w:val="008D480C"/>
    <w:rsid w:val="008D48F7"/>
    <w:rsid w:val="008D49E8"/>
    <w:rsid w:val="008D51D5"/>
    <w:rsid w:val="008D5312"/>
    <w:rsid w:val="008D5EB0"/>
    <w:rsid w:val="008D6F74"/>
    <w:rsid w:val="008D6FE7"/>
    <w:rsid w:val="008D7339"/>
    <w:rsid w:val="008D744D"/>
    <w:rsid w:val="008D77D3"/>
    <w:rsid w:val="008D7BC6"/>
    <w:rsid w:val="008E0B41"/>
    <w:rsid w:val="008E0C61"/>
    <w:rsid w:val="008E1E51"/>
    <w:rsid w:val="008E28C2"/>
    <w:rsid w:val="008E29F8"/>
    <w:rsid w:val="008E401F"/>
    <w:rsid w:val="008E45E9"/>
    <w:rsid w:val="008E597A"/>
    <w:rsid w:val="008E5A1C"/>
    <w:rsid w:val="008E60F0"/>
    <w:rsid w:val="008E66A4"/>
    <w:rsid w:val="008E6B4A"/>
    <w:rsid w:val="008E6C8A"/>
    <w:rsid w:val="008E6DFF"/>
    <w:rsid w:val="008E73EE"/>
    <w:rsid w:val="008E7C47"/>
    <w:rsid w:val="008E7E70"/>
    <w:rsid w:val="008F141C"/>
    <w:rsid w:val="008F18BD"/>
    <w:rsid w:val="008F1AFC"/>
    <w:rsid w:val="008F2517"/>
    <w:rsid w:val="008F2D97"/>
    <w:rsid w:val="008F3026"/>
    <w:rsid w:val="008F334D"/>
    <w:rsid w:val="008F3594"/>
    <w:rsid w:val="008F4289"/>
    <w:rsid w:val="008F53C4"/>
    <w:rsid w:val="008F5D06"/>
    <w:rsid w:val="008F6148"/>
    <w:rsid w:val="008F653F"/>
    <w:rsid w:val="008F697E"/>
    <w:rsid w:val="008F72A0"/>
    <w:rsid w:val="008F75F2"/>
    <w:rsid w:val="00900244"/>
    <w:rsid w:val="00900DFA"/>
    <w:rsid w:val="00901291"/>
    <w:rsid w:val="009015B7"/>
    <w:rsid w:val="00902998"/>
    <w:rsid w:val="00902AE7"/>
    <w:rsid w:val="00902F59"/>
    <w:rsid w:val="009032C5"/>
    <w:rsid w:val="00903703"/>
    <w:rsid w:val="00903DF1"/>
    <w:rsid w:val="00904D89"/>
    <w:rsid w:val="0090503E"/>
    <w:rsid w:val="009050C3"/>
    <w:rsid w:val="009051BC"/>
    <w:rsid w:val="00905EB1"/>
    <w:rsid w:val="0090696D"/>
    <w:rsid w:val="00906993"/>
    <w:rsid w:val="00907C1D"/>
    <w:rsid w:val="00910367"/>
    <w:rsid w:val="009106A8"/>
    <w:rsid w:val="00910F27"/>
    <w:rsid w:val="0091164B"/>
    <w:rsid w:val="0091166F"/>
    <w:rsid w:val="00911A53"/>
    <w:rsid w:val="009123E6"/>
    <w:rsid w:val="0091511D"/>
    <w:rsid w:val="009153F0"/>
    <w:rsid w:val="00915B7B"/>
    <w:rsid w:val="00916209"/>
    <w:rsid w:val="00916B4E"/>
    <w:rsid w:val="00917E06"/>
    <w:rsid w:val="00920200"/>
    <w:rsid w:val="00920478"/>
    <w:rsid w:val="009208AA"/>
    <w:rsid w:val="00921252"/>
    <w:rsid w:val="00921257"/>
    <w:rsid w:val="00921729"/>
    <w:rsid w:val="00921EA4"/>
    <w:rsid w:val="009224B1"/>
    <w:rsid w:val="0092261F"/>
    <w:rsid w:val="0092270C"/>
    <w:rsid w:val="00922A26"/>
    <w:rsid w:val="00922E2A"/>
    <w:rsid w:val="0092364F"/>
    <w:rsid w:val="00923895"/>
    <w:rsid w:val="00924AF8"/>
    <w:rsid w:val="009251FA"/>
    <w:rsid w:val="00925D52"/>
    <w:rsid w:val="00926060"/>
    <w:rsid w:val="009262C4"/>
    <w:rsid w:val="00926E71"/>
    <w:rsid w:val="00926F1B"/>
    <w:rsid w:val="00927B2E"/>
    <w:rsid w:val="00927B82"/>
    <w:rsid w:val="00930B77"/>
    <w:rsid w:val="00930CFD"/>
    <w:rsid w:val="00931D74"/>
    <w:rsid w:val="00932475"/>
    <w:rsid w:val="00932A29"/>
    <w:rsid w:val="00933341"/>
    <w:rsid w:val="00933548"/>
    <w:rsid w:val="009336AC"/>
    <w:rsid w:val="00933D75"/>
    <w:rsid w:val="00934233"/>
    <w:rsid w:val="009349F2"/>
    <w:rsid w:val="009354B5"/>
    <w:rsid w:val="0093753E"/>
    <w:rsid w:val="00937CBC"/>
    <w:rsid w:val="0094044A"/>
    <w:rsid w:val="0094076E"/>
    <w:rsid w:val="00940BCC"/>
    <w:rsid w:val="009411E9"/>
    <w:rsid w:val="00941FA5"/>
    <w:rsid w:val="00941FE8"/>
    <w:rsid w:val="00942266"/>
    <w:rsid w:val="009423D4"/>
    <w:rsid w:val="00942511"/>
    <w:rsid w:val="00942768"/>
    <w:rsid w:val="00942849"/>
    <w:rsid w:val="00942C2E"/>
    <w:rsid w:val="009432E2"/>
    <w:rsid w:val="00943343"/>
    <w:rsid w:val="009433AB"/>
    <w:rsid w:val="009438D0"/>
    <w:rsid w:val="009446E2"/>
    <w:rsid w:val="00944EF2"/>
    <w:rsid w:val="009459F3"/>
    <w:rsid w:val="0094659F"/>
    <w:rsid w:val="00946E24"/>
    <w:rsid w:val="00947649"/>
    <w:rsid w:val="0094790A"/>
    <w:rsid w:val="00950204"/>
    <w:rsid w:val="009502FF"/>
    <w:rsid w:val="0095126A"/>
    <w:rsid w:val="00952A7C"/>
    <w:rsid w:val="00952CBD"/>
    <w:rsid w:val="009543E0"/>
    <w:rsid w:val="00955E13"/>
    <w:rsid w:val="009561AD"/>
    <w:rsid w:val="00956525"/>
    <w:rsid w:val="00956B0C"/>
    <w:rsid w:val="00956B40"/>
    <w:rsid w:val="00957117"/>
    <w:rsid w:val="0095730D"/>
    <w:rsid w:val="00957632"/>
    <w:rsid w:val="0095784A"/>
    <w:rsid w:val="009600B4"/>
    <w:rsid w:val="00960A70"/>
    <w:rsid w:val="0096175E"/>
    <w:rsid w:val="00961B01"/>
    <w:rsid w:val="00961F13"/>
    <w:rsid w:val="009629AB"/>
    <w:rsid w:val="00962DC7"/>
    <w:rsid w:val="009633CD"/>
    <w:rsid w:val="00963CD7"/>
    <w:rsid w:val="00963F49"/>
    <w:rsid w:val="009642EF"/>
    <w:rsid w:val="009643B9"/>
    <w:rsid w:val="00964FD3"/>
    <w:rsid w:val="0096535F"/>
    <w:rsid w:val="0096536B"/>
    <w:rsid w:val="00965BFA"/>
    <w:rsid w:val="00966470"/>
    <w:rsid w:val="009666BF"/>
    <w:rsid w:val="00966779"/>
    <w:rsid w:val="00966859"/>
    <w:rsid w:val="00966D62"/>
    <w:rsid w:val="0096707D"/>
    <w:rsid w:val="009670D6"/>
    <w:rsid w:val="0096716D"/>
    <w:rsid w:val="00967AC5"/>
    <w:rsid w:val="00970AF1"/>
    <w:rsid w:val="00970B05"/>
    <w:rsid w:val="00970B18"/>
    <w:rsid w:val="00970C79"/>
    <w:rsid w:val="009712F6"/>
    <w:rsid w:val="009722B3"/>
    <w:rsid w:val="00972821"/>
    <w:rsid w:val="00973C5B"/>
    <w:rsid w:val="00973DD6"/>
    <w:rsid w:val="009742AC"/>
    <w:rsid w:val="00974874"/>
    <w:rsid w:val="00975ABF"/>
    <w:rsid w:val="00976175"/>
    <w:rsid w:val="0097641F"/>
    <w:rsid w:val="009767C7"/>
    <w:rsid w:val="009769AB"/>
    <w:rsid w:val="0097759A"/>
    <w:rsid w:val="00977A78"/>
    <w:rsid w:val="00977C83"/>
    <w:rsid w:val="00977CAB"/>
    <w:rsid w:val="00980299"/>
    <w:rsid w:val="009802D8"/>
    <w:rsid w:val="009807EF"/>
    <w:rsid w:val="009807F0"/>
    <w:rsid w:val="00980ECB"/>
    <w:rsid w:val="00981080"/>
    <w:rsid w:val="0098187E"/>
    <w:rsid w:val="00982989"/>
    <w:rsid w:val="00982B8E"/>
    <w:rsid w:val="00982F00"/>
    <w:rsid w:val="00984A02"/>
    <w:rsid w:val="00984A7B"/>
    <w:rsid w:val="00984CB8"/>
    <w:rsid w:val="0098501E"/>
    <w:rsid w:val="00985360"/>
    <w:rsid w:val="00986043"/>
    <w:rsid w:val="009860EC"/>
    <w:rsid w:val="00986CBC"/>
    <w:rsid w:val="00986FF7"/>
    <w:rsid w:val="009874AE"/>
    <w:rsid w:val="00987B26"/>
    <w:rsid w:val="00990770"/>
    <w:rsid w:val="00991B90"/>
    <w:rsid w:val="0099222D"/>
    <w:rsid w:val="0099253D"/>
    <w:rsid w:val="0099270B"/>
    <w:rsid w:val="00992A42"/>
    <w:rsid w:val="0099379F"/>
    <w:rsid w:val="00994427"/>
    <w:rsid w:val="0099482A"/>
    <w:rsid w:val="00995315"/>
    <w:rsid w:val="0099533D"/>
    <w:rsid w:val="009953FC"/>
    <w:rsid w:val="00995460"/>
    <w:rsid w:val="00995589"/>
    <w:rsid w:val="009957FD"/>
    <w:rsid w:val="00996B1E"/>
    <w:rsid w:val="00997E2E"/>
    <w:rsid w:val="00997F74"/>
    <w:rsid w:val="009A059E"/>
    <w:rsid w:val="009A0863"/>
    <w:rsid w:val="009A0987"/>
    <w:rsid w:val="009A143D"/>
    <w:rsid w:val="009A1B9D"/>
    <w:rsid w:val="009A2E61"/>
    <w:rsid w:val="009A3464"/>
    <w:rsid w:val="009A3520"/>
    <w:rsid w:val="009A35C8"/>
    <w:rsid w:val="009A3699"/>
    <w:rsid w:val="009A3E19"/>
    <w:rsid w:val="009A415D"/>
    <w:rsid w:val="009A5756"/>
    <w:rsid w:val="009A5B53"/>
    <w:rsid w:val="009A63D1"/>
    <w:rsid w:val="009A66AC"/>
    <w:rsid w:val="009A784A"/>
    <w:rsid w:val="009B0AAD"/>
    <w:rsid w:val="009B0F4D"/>
    <w:rsid w:val="009B13E4"/>
    <w:rsid w:val="009B1522"/>
    <w:rsid w:val="009B15CE"/>
    <w:rsid w:val="009B174A"/>
    <w:rsid w:val="009B1F6F"/>
    <w:rsid w:val="009B2475"/>
    <w:rsid w:val="009B3029"/>
    <w:rsid w:val="009B333A"/>
    <w:rsid w:val="009B3770"/>
    <w:rsid w:val="009B44C3"/>
    <w:rsid w:val="009B49BE"/>
    <w:rsid w:val="009B4A5F"/>
    <w:rsid w:val="009B571D"/>
    <w:rsid w:val="009B5773"/>
    <w:rsid w:val="009B5B76"/>
    <w:rsid w:val="009B68B2"/>
    <w:rsid w:val="009B69F1"/>
    <w:rsid w:val="009B6B30"/>
    <w:rsid w:val="009B6F02"/>
    <w:rsid w:val="009B7004"/>
    <w:rsid w:val="009B70AC"/>
    <w:rsid w:val="009B7699"/>
    <w:rsid w:val="009B7EF9"/>
    <w:rsid w:val="009C0440"/>
    <w:rsid w:val="009C06D8"/>
    <w:rsid w:val="009C0AE9"/>
    <w:rsid w:val="009C0B56"/>
    <w:rsid w:val="009C12E9"/>
    <w:rsid w:val="009C189E"/>
    <w:rsid w:val="009C1B1F"/>
    <w:rsid w:val="009C2981"/>
    <w:rsid w:val="009C2CB4"/>
    <w:rsid w:val="009C2CD2"/>
    <w:rsid w:val="009C3201"/>
    <w:rsid w:val="009C3339"/>
    <w:rsid w:val="009C370F"/>
    <w:rsid w:val="009C41ED"/>
    <w:rsid w:val="009C49C6"/>
    <w:rsid w:val="009C4A97"/>
    <w:rsid w:val="009C4DA5"/>
    <w:rsid w:val="009C5187"/>
    <w:rsid w:val="009C55B2"/>
    <w:rsid w:val="009C5D1C"/>
    <w:rsid w:val="009C5E0C"/>
    <w:rsid w:val="009C6044"/>
    <w:rsid w:val="009C617D"/>
    <w:rsid w:val="009C6254"/>
    <w:rsid w:val="009C6353"/>
    <w:rsid w:val="009C69F1"/>
    <w:rsid w:val="009C7EEB"/>
    <w:rsid w:val="009D0B88"/>
    <w:rsid w:val="009D0DA8"/>
    <w:rsid w:val="009D102C"/>
    <w:rsid w:val="009D105C"/>
    <w:rsid w:val="009D1CF3"/>
    <w:rsid w:val="009D3A71"/>
    <w:rsid w:val="009D6511"/>
    <w:rsid w:val="009D6557"/>
    <w:rsid w:val="009D70CE"/>
    <w:rsid w:val="009D761F"/>
    <w:rsid w:val="009E037F"/>
    <w:rsid w:val="009E0901"/>
    <w:rsid w:val="009E0F96"/>
    <w:rsid w:val="009E18DC"/>
    <w:rsid w:val="009E1F71"/>
    <w:rsid w:val="009E3B9F"/>
    <w:rsid w:val="009E3CC6"/>
    <w:rsid w:val="009E4A7F"/>
    <w:rsid w:val="009E5347"/>
    <w:rsid w:val="009E5F83"/>
    <w:rsid w:val="009E7AB1"/>
    <w:rsid w:val="009F0BE1"/>
    <w:rsid w:val="009F1482"/>
    <w:rsid w:val="009F16F6"/>
    <w:rsid w:val="009F170D"/>
    <w:rsid w:val="009F1775"/>
    <w:rsid w:val="009F2409"/>
    <w:rsid w:val="009F2502"/>
    <w:rsid w:val="009F2805"/>
    <w:rsid w:val="009F2883"/>
    <w:rsid w:val="009F2923"/>
    <w:rsid w:val="009F31A8"/>
    <w:rsid w:val="009F36A3"/>
    <w:rsid w:val="009F37E2"/>
    <w:rsid w:val="009F46E7"/>
    <w:rsid w:val="009F5623"/>
    <w:rsid w:val="009F5660"/>
    <w:rsid w:val="009F586C"/>
    <w:rsid w:val="009F5EF9"/>
    <w:rsid w:val="009F633B"/>
    <w:rsid w:val="009F65C9"/>
    <w:rsid w:val="009F6673"/>
    <w:rsid w:val="009F6D8A"/>
    <w:rsid w:val="009F6DC0"/>
    <w:rsid w:val="009F7980"/>
    <w:rsid w:val="00A00190"/>
    <w:rsid w:val="00A00E61"/>
    <w:rsid w:val="00A01589"/>
    <w:rsid w:val="00A01651"/>
    <w:rsid w:val="00A01BF4"/>
    <w:rsid w:val="00A0207C"/>
    <w:rsid w:val="00A02438"/>
    <w:rsid w:val="00A02873"/>
    <w:rsid w:val="00A02FFD"/>
    <w:rsid w:val="00A032E0"/>
    <w:rsid w:val="00A035ED"/>
    <w:rsid w:val="00A037B8"/>
    <w:rsid w:val="00A03827"/>
    <w:rsid w:val="00A047D6"/>
    <w:rsid w:val="00A04AC6"/>
    <w:rsid w:val="00A055B2"/>
    <w:rsid w:val="00A0654C"/>
    <w:rsid w:val="00A06929"/>
    <w:rsid w:val="00A06E38"/>
    <w:rsid w:val="00A0739A"/>
    <w:rsid w:val="00A07A5F"/>
    <w:rsid w:val="00A07A64"/>
    <w:rsid w:val="00A10A85"/>
    <w:rsid w:val="00A115B0"/>
    <w:rsid w:val="00A118B7"/>
    <w:rsid w:val="00A12295"/>
    <w:rsid w:val="00A12F73"/>
    <w:rsid w:val="00A13030"/>
    <w:rsid w:val="00A130D3"/>
    <w:rsid w:val="00A13355"/>
    <w:rsid w:val="00A13474"/>
    <w:rsid w:val="00A138CB"/>
    <w:rsid w:val="00A14098"/>
    <w:rsid w:val="00A140ED"/>
    <w:rsid w:val="00A1439E"/>
    <w:rsid w:val="00A14688"/>
    <w:rsid w:val="00A14FBB"/>
    <w:rsid w:val="00A15860"/>
    <w:rsid w:val="00A16081"/>
    <w:rsid w:val="00A16312"/>
    <w:rsid w:val="00A166C7"/>
    <w:rsid w:val="00A16A5C"/>
    <w:rsid w:val="00A171C5"/>
    <w:rsid w:val="00A17F54"/>
    <w:rsid w:val="00A20A82"/>
    <w:rsid w:val="00A20B3E"/>
    <w:rsid w:val="00A215F0"/>
    <w:rsid w:val="00A21657"/>
    <w:rsid w:val="00A2182C"/>
    <w:rsid w:val="00A21FD5"/>
    <w:rsid w:val="00A22B12"/>
    <w:rsid w:val="00A2313E"/>
    <w:rsid w:val="00A2327F"/>
    <w:rsid w:val="00A23418"/>
    <w:rsid w:val="00A23960"/>
    <w:rsid w:val="00A23E26"/>
    <w:rsid w:val="00A25A0D"/>
    <w:rsid w:val="00A25DA9"/>
    <w:rsid w:val="00A26616"/>
    <w:rsid w:val="00A26877"/>
    <w:rsid w:val="00A27139"/>
    <w:rsid w:val="00A274DD"/>
    <w:rsid w:val="00A277AD"/>
    <w:rsid w:val="00A27DDC"/>
    <w:rsid w:val="00A3095C"/>
    <w:rsid w:val="00A30E4D"/>
    <w:rsid w:val="00A312E6"/>
    <w:rsid w:val="00A31567"/>
    <w:rsid w:val="00A31945"/>
    <w:rsid w:val="00A319E0"/>
    <w:rsid w:val="00A3259C"/>
    <w:rsid w:val="00A32EC9"/>
    <w:rsid w:val="00A33522"/>
    <w:rsid w:val="00A3469E"/>
    <w:rsid w:val="00A34870"/>
    <w:rsid w:val="00A3494E"/>
    <w:rsid w:val="00A34A2E"/>
    <w:rsid w:val="00A3500A"/>
    <w:rsid w:val="00A35021"/>
    <w:rsid w:val="00A356DC"/>
    <w:rsid w:val="00A357C3"/>
    <w:rsid w:val="00A36DF1"/>
    <w:rsid w:val="00A3718B"/>
    <w:rsid w:val="00A37757"/>
    <w:rsid w:val="00A37F17"/>
    <w:rsid w:val="00A40CBD"/>
    <w:rsid w:val="00A4136B"/>
    <w:rsid w:val="00A4139E"/>
    <w:rsid w:val="00A413DC"/>
    <w:rsid w:val="00A416DF"/>
    <w:rsid w:val="00A41DE3"/>
    <w:rsid w:val="00A4200D"/>
    <w:rsid w:val="00A42094"/>
    <w:rsid w:val="00A42887"/>
    <w:rsid w:val="00A42C01"/>
    <w:rsid w:val="00A42E35"/>
    <w:rsid w:val="00A43343"/>
    <w:rsid w:val="00A43D38"/>
    <w:rsid w:val="00A44247"/>
    <w:rsid w:val="00A44FB0"/>
    <w:rsid w:val="00A4555C"/>
    <w:rsid w:val="00A473C7"/>
    <w:rsid w:val="00A50555"/>
    <w:rsid w:val="00A506D6"/>
    <w:rsid w:val="00A50BF1"/>
    <w:rsid w:val="00A50C12"/>
    <w:rsid w:val="00A514D6"/>
    <w:rsid w:val="00A51BC9"/>
    <w:rsid w:val="00A51C22"/>
    <w:rsid w:val="00A52060"/>
    <w:rsid w:val="00A522AC"/>
    <w:rsid w:val="00A523DD"/>
    <w:rsid w:val="00A527B1"/>
    <w:rsid w:val="00A52851"/>
    <w:rsid w:val="00A52FBA"/>
    <w:rsid w:val="00A53371"/>
    <w:rsid w:val="00A5367B"/>
    <w:rsid w:val="00A53A1E"/>
    <w:rsid w:val="00A53C01"/>
    <w:rsid w:val="00A53C8D"/>
    <w:rsid w:val="00A54531"/>
    <w:rsid w:val="00A54E01"/>
    <w:rsid w:val="00A55458"/>
    <w:rsid w:val="00A55CAA"/>
    <w:rsid w:val="00A5607F"/>
    <w:rsid w:val="00A5636B"/>
    <w:rsid w:val="00A5639A"/>
    <w:rsid w:val="00A564B4"/>
    <w:rsid w:val="00A5663E"/>
    <w:rsid w:val="00A56771"/>
    <w:rsid w:val="00A56BDA"/>
    <w:rsid w:val="00A56F95"/>
    <w:rsid w:val="00A600F4"/>
    <w:rsid w:val="00A60952"/>
    <w:rsid w:val="00A6153E"/>
    <w:rsid w:val="00A6241D"/>
    <w:rsid w:val="00A624BA"/>
    <w:rsid w:val="00A630ED"/>
    <w:rsid w:val="00A63846"/>
    <w:rsid w:val="00A63FB9"/>
    <w:rsid w:val="00A64860"/>
    <w:rsid w:val="00A6497C"/>
    <w:rsid w:val="00A64A90"/>
    <w:rsid w:val="00A64F32"/>
    <w:rsid w:val="00A66443"/>
    <w:rsid w:val="00A67982"/>
    <w:rsid w:val="00A67A4B"/>
    <w:rsid w:val="00A67DBB"/>
    <w:rsid w:val="00A701F4"/>
    <w:rsid w:val="00A70AD2"/>
    <w:rsid w:val="00A71D0D"/>
    <w:rsid w:val="00A7213E"/>
    <w:rsid w:val="00A72236"/>
    <w:rsid w:val="00A72941"/>
    <w:rsid w:val="00A72D5F"/>
    <w:rsid w:val="00A730F7"/>
    <w:rsid w:val="00A73163"/>
    <w:rsid w:val="00A733F9"/>
    <w:rsid w:val="00A739BC"/>
    <w:rsid w:val="00A7473E"/>
    <w:rsid w:val="00A80CC5"/>
    <w:rsid w:val="00A81AF8"/>
    <w:rsid w:val="00A81CEC"/>
    <w:rsid w:val="00A81D16"/>
    <w:rsid w:val="00A81FE7"/>
    <w:rsid w:val="00A82178"/>
    <w:rsid w:val="00A826DF"/>
    <w:rsid w:val="00A82A47"/>
    <w:rsid w:val="00A82C87"/>
    <w:rsid w:val="00A82FBD"/>
    <w:rsid w:val="00A832FB"/>
    <w:rsid w:val="00A8330C"/>
    <w:rsid w:val="00A834FC"/>
    <w:rsid w:val="00A835A3"/>
    <w:rsid w:val="00A838D1"/>
    <w:rsid w:val="00A84001"/>
    <w:rsid w:val="00A84912"/>
    <w:rsid w:val="00A854D9"/>
    <w:rsid w:val="00A86FC4"/>
    <w:rsid w:val="00A91076"/>
    <w:rsid w:val="00A91D19"/>
    <w:rsid w:val="00A92236"/>
    <w:rsid w:val="00A92D75"/>
    <w:rsid w:val="00A92E14"/>
    <w:rsid w:val="00A93724"/>
    <w:rsid w:val="00A94409"/>
    <w:rsid w:val="00A944C7"/>
    <w:rsid w:val="00A9565D"/>
    <w:rsid w:val="00A97A33"/>
    <w:rsid w:val="00A97ADE"/>
    <w:rsid w:val="00AA0059"/>
    <w:rsid w:val="00AA0285"/>
    <w:rsid w:val="00AA0546"/>
    <w:rsid w:val="00AA2448"/>
    <w:rsid w:val="00AA2A90"/>
    <w:rsid w:val="00AA389E"/>
    <w:rsid w:val="00AA4B26"/>
    <w:rsid w:val="00AA50B1"/>
    <w:rsid w:val="00AA5180"/>
    <w:rsid w:val="00AA6A49"/>
    <w:rsid w:val="00AA756A"/>
    <w:rsid w:val="00AA7C27"/>
    <w:rsid w:val="00AB04E0"/>
    <w:rsid w:val="00AB13CE"/>
    <w:rsid w:val="00AB1486"/>
    <w:rsid w:val="00AB155F"/>
    <w:rsid w:val="00AB1EAB"/>
    <w:rsid w:val="00AB20EA"/>
    <w:rsid w:val="00AB22F0"/>
    <w:rsid w:val="00AB23B2"/>
    <w:rsid w:val="00AB278A"/>
    <w:rsid w:val="00AB2B87"/>
    <w:rsid w:val="00AB2B9D"/>
    <w:rsid w:val="00AB32A3"/>
    <w:rsid w:val="00AB459A"/>
    <w:rsid w:val="00AB4A10"/>
    <w:rsid w:val="00AB4F50"/>
    <w:rsid w:val="00AB5924"/>
    <w:rsid w:val="00AB6898"/>
    <w:rsid w:val="00AB6E81"/>
    <w:rsid w:val="00AB70E0"/>
    <w:rsid w:val="00AC1052"/>
    <w:rsid w:val="00AC1512"/>
    <w:rsid w:val="00AC17DB"/>
    <w:rsid w:val="00AC2415"/>
    <w:rsid w:val="00AC3008"/>
    <w:rsid w:val="00AC30D2"/>
    <w:rsid w:val="00AC33C7"/>
    <w:rsid w:val="00AC345C"/>
    <w:rsid w:val="00AC37E9"/>
    <w:rsid w:val="00AC44C5"/>
    <w:rsid w:val="00AC54C0"/>
    <w:rsid w:val="00AC5BC0"/>
    <w:rsid w:val="00AC6496"/>
    <w:rsid w:val="00AC67DD"/>
    <w:rsid w:val="00AC68BD"/>
    <w:rsid w:val="00AC7429"/>
    <w:rsid w:val="00AC75B6"/>
    <w:rsid w:val="00AC7F3C"/>
    <w:rsid w:val="00AD00F6"/>
    <w:rsid w:val="00AD020E"/>
    <w:rsid w:val="00AD088D"/>
    <w:rsid w:val="00AD0AAA"/>
    <w:rsid w:val="00AD142E"/>
    <w:rsid w:val="00AD14AB"/>
    <w:rsid w:val="00AD15D1"/>
    <w:rsid w:val="00AD251A"/>
    <w:rsid w:val="00AD2893"/>
    <w:rsid w:val="00AD2981"/>
    <w:rsid w:val="00AD2AE0"/>
    <w:rsid w:val="00AD2B51"/>
    <w:rsid w:val="00AD2BB8"/>
    <w:rsid w:val="00AD3717"/>
    <w:rsid w:val="00AD3C97"/>
    <w:rsid w:val="00AD44C7"/>
    <w:rsid w:val="00AD4DA1"/>
    <w:rsid w:val="00AD4E89"/>
    <w:rsid w:val="00AD5536"/>
    <w:rsid w:val="00AD61D8"/>
    <w:rsid w:val="00AD62C3"/>
    <w:rsid w:val="00AD71D6"/>
    <w:rsid w:val="00AD7C28"/>
    <w:rsid w:val="00AD7EE9"/>
    <w:rsid w:val="00AE0978"/>
    <w:rsid w:val="00AE0CCD"/>
    <w:rsid w:val="00AE0D29"/>
    <w:rsid w:val="00AE1174"/>
    <w:rsid w:val="00AE18FE"/>
    <w:rsid w:val="00AE1A21"/>
    <w:rsid w:val="00AE224F"/>
    <w:rsid w:val="00AE28DB"/>
    <w:rsid w:val="00AE39D5"/>
    <w:rsid w:val="00AE46A6"/>
    <w:rsid w:val="00AE4A97"/>
    <w:rsid w:val="00AE4BB6"/>
    <w:rsid w:val="00AE50FC"/>
    <w:rsid w:val="00AE577F"/>
    <w:rsid w:val="00AE57C8"/>
    <w:rsid w:val="00AE5AAD"/>
    <w:rsid w:val="00AE5DC1"/>
    <w:rsid w:val="00AE6089"/>
    <w:rsid w:val="00AE640B"/>
    <w:rsid w:val="00AE6AA1"/>
    <w:rsid w:val="00AE74DC"/>
    <w:rsid w:val="00AE7688"/>
    <w:rsid w:val="00AF0126"/>
    <w:rsid w:val="00AF035E"/>
    <w:rsid w:val="00AF07BA"/>
    <w:rsid w:val="00AF0D75"/>
    <w:rsid w:val="00AF0D7F"/>
    <w:rsid w:val="00AF13D4"/>
    <w:rsid w:val="00AF157D"/>
    <w:rsid w:val="00AF1DC9"/>
    <w:rsid w:val="00AF3811"/>
    <w:rsid w:val="00AF51E8"/>
    <w:rsid w:val="00AF7AC1"/>
    <w:rsid w:val="00AF7DAE"/>
    <w:rsid w:val="00B001A4"/>
    <w:rsid w:val="00B00218"/>
    <w:rsid w:val="00B002BE"/>
    <w:rsid w:val="00B00429"/>
    <w:rsid w:val="00B010ED"/>
    <w:rsid w:val="00B0134F"/>
    <w:rsid w:val="00B01468"/>
    <w:rsid w:val="00B018DE"/>
    <w:rsid w:val="00B0227C"/>
    <w:rsid w:val="00B024DD"/>
    <w:rsid w:val="00B02B71"/>
    <w:rsid w:val="00B02F2F"/>
    <w:rsid w:val="00B03220"/>
    <w:rsid w:val="00B03FA6"/>
    <w:rsid w:val="00B045E5"/>
    <w:rsid w:val="00B05989"/>
    <w:rsid w:val="00B05FBE"/>
    <w:rsid w:val="00B0659F"/>
    <w:rsid w:val="00B069F6"/>
    <w:rsid w:val="00B06F4C"/>
    <w:rsid w:val="00B06F79"/>
    <w:rsid w:val="00B07F31"/>
    <w:rsid w:val="00B1055D"/>
    <w:rsid w:val="00B10AD8"/>
    <w:rsid w:val="00B10F1D"/>
    <w:rsid w:val="00B127FB"/>
    <w:rsid w:val="00B12E5F"/>
    <w:rsid w:val="00B134CB"/>
    <w:rsid w:val="00B14246"/>
    <w:rsid w:val="00B14CD5"/>
    <w:rsid w:val="00B156C5"/>
    <w:rsid w:val="00B15DE5"/>
    <w:rsid w:val="00B16676"/>
    <w:rsid w:val="00B167BD"/>
    <w:rsid w:val="00B17367"/>
    <w:rsid w:val="00B17613"/>
    <w:rsid w:val="00B208CC"/>
    <w:rsid w:val="00B20D12"/>
    <w:rsid w:val="00B210E5"/>
    <w:rsid w:val="00B211D3"/>
    <w:rsid w:val="00B21A6E"/>
    <w:rsid w:val="00B21AD1"/>
    <w:rsid w:val="00B22086"/>
    <w:rsid w:val="00B222ED"/>
    <w:rsid w:val="00B227D0"/>
    <w:rsid w:val="00B2297C"/>
    <w:rsid w:val="00B23057"/>
    <w:rsid w:val="00B237D7"/>
    <w:rsid w:val="00B23C15"/>
    <w:rsid w:val="00B24074"/>
    <w:rsid w:val="00B24119"/>
    <w:rsid w:val="00B243C7"/>
    <w:rsid w:val="00B24698"/>
    <w:rsid w:val="00B24AD1"/>
    <w:rsid w:val="00B24BA0"/>
    <w:rsid w:val="00B255C1"/>
    <w:rsid w:val="00B25AD2"/>
    <w:rsid w:val="00B25C37"/>
    <w:rsid w:val="00B25FE8"/>
    <w:rsid w:val="00B26341"/>
    <w:rsid w:val="00B266F5"/>
    <w:rsid w:val="00B267C3"/>
    <w:rsid w:val="00B268B3"/>
    <w:rsid w:val="00B269F0"/>
    <w:rsid w:val="00B26F33"/>
    <w:rsid w:val="00B27020"/>
    <w:rsid w:val="00B2775E"/>
    <w:rsid w:val="00B30481"/>
    <w:rsid w:val="00B308A9"/>
    <w:rsid w:val="00B30DF9"/>
    <w:rsid w:val="00B31193"/>
    <w:rsid w:val="00B31B54"/>
    <w:rsid w:val="00B3203A"/>
    <w:rsid w:val="00B322BD"/>
    <w:rsid w:val="00B325EC"/>
    <w:rsid w:val="00B333D3"/>
    <w:rsid w:val="00B33553"/>
    <w:rsid w:val="00B34185"/>
    <w:rsid w:val="00B36C59"/>
    <w:rsid w:val="00B371E1"/>
    <w:rsid w:val="00B374E0"/>
    <w:rsid w:val="00B37793"/>
    <w:rsid w:val="00B3791C"/>
    <w:rsid w:val="00B37AD8"/>
    <w:rsid w:val="00B40BC0"/>
    <w:rsid w:val="00B41857"/>
    <w:rsid w:val="00B420C8"/>
    <w:rsid w:val="00B4216B"/>
    <w:rsid w:val="00B42459"/>
    <w:rsid w:val="00B43109"/>
    <w:rsid w:val="00B433E3"/>
    <w:rsid w:val="00B435E7"/>
    <w:rsid w:val="00B4360F"/>
    <w:rsid w:val="00B43A25"/>
    <w:rsid w:val="00B44503"/>
    <w:rsid w:val="00B46021"/>
    <w:rsid w:val="00B47D87"/>
    <w:rsid w:val="00B50068"/>
    <w:rsid w:val="00B5069F"/>
    <w:rsid w:val="00B513C1"/>
    <w:rsid w:val="00B516F1"/>
    <w:rsid w:val="00B51788"/>
    <w:rsid w:val="00B5334C"/>
    <w:rsid w:val="00B53569"/>
    <w:rsid w:val="00B535A6"/>
    <w:rsid w:val="00B53D17"/>
    <w:rsid w:val="00B54CA2"/>
    <w:rsid w:val="00B54EDB"/>
    <w:rsid w:val="00B54EF4"/>
    <w:rsid w:val="00B553D3"/>
    <w:rsid w:val="00B56560"/>
    <w:rsid w:val="00B56865"/>
    <w:rsid w:val="00B578BB"/>
    <w:rsid w:val="00B57B2D"/>
    <w:rsid w:val="00B57DB3"/>
    <w:rsid w:val="00B57F21"/>
    <w:rsid w:val="00B60292"/>
    <w:rsid w:val="00B60764"/>
    <w:rsid w:val="00B60822"/>
    <w:rsid w:val="00B612E9"/>
    <w:rsid w:val="00B615FD"/>
    <w:rsid w:val="00B61B24"/>
    <w:rsid w:val="00B62BBF"/>
    <w:rsid w:val="00B62BD4"/>
    <w:rsid w:val="00B630F5"/>
    <w:rsid w:val="00B63327"/>
    <w:rsid w:val="00B63A98"/>
    <w:rsid w:val="00B6575C"/>
    <w:rsid w:val="00B65943"/>
    <w:rsid w:val="00B659D5"/>
    <w:rsid w:val="00B65CF1"/>
    <w:rsid w:val="00B66293"/>
    <w:rsid w:val="00B66A00"/>
    <w:rsid w:val="00B66B51"/>
    <w:rsid w:val="00B701A5"/>
    <w:rsid w:val="00B702BC"/>
    <w:rsid w:val="00B7074D"/>
    <w:rsid w:val="00B70A9A"/>
    <w:rsid w:val="00B70D6F"/>
    <w:rsid w:val="00B710C4"/>
    <w:rsid w:val="00B71AF3"/>
    <w:rsid w:val="00B72E25"/>
    <w:rsid w:val="00B73418"/>
    <w:rsid w:val="00B74598"/>
    <w:rsid w:val="00B745E2"/>
    <w:rsid w:val="00B746E7"/>
    <w:rsid w:val="00B75105"/>
    <w:rsid w:val="00B761F6"/>
    <w:rsid w:val="00B76490"/>
    <w:rsid w:val="00B7739C"/>
    <w:rsid w:val="00B77FEF"/>
    <w:rsid w:val="00B80123"/>
    <w:rsid w:val="00B8052B"/>
    <w:rsid w:val="00B805D7"/>
    <w:rsid w:val="00B80C37"/>
    <w:rsid w:val="00B81531"/>
    <w:rsid w:val="00B81B15"/>
    <w:rsid w:val="00B822CA"/>
    <w:rsid w:val="00B82548"/>
    <w:rsid w:val="00B8276A"/>
    <w:rsid w:val="00B82DC7"/>
    <w:rsid w:val="00B83095"/>
    <w:rsid w:val="00B8316B"/>
    <w:rsid w:val="00B83437"/>
    <w:rsid w:val="00B83991"/>
    <w:rsid w:val="00B8455B"/>
    <w:rsid w:val="00B84F6F"/>
    <w:rsid w:val="00B855CB"/>
    <w:rsid w:val="00B85983"/>
    <w:rsid w:val="00B8746F"/>
    <w:rsid w:val="00B874A5"/>
    <w:rsid w:val="00B879A4"/>
    <w:rsid w:val="00B87CD0"/>
    <w:rsid w:val="00B87F6B"/>
    <w:rsid w:val="00B90853"/>
    <w:rsid w:val="00B90A31"/>
    <w:rsid w:val="00B91660"/>
    <w:rsid w:val="00B918CF"/>
    <w:rsid w:val="00B918EF"/>
    <w:rsid w:val="00B91F3D"/>
    <w:rsid w:val="00B92181"/>
    <w:rsid w:val="00B938F3"/>
    <w:rsid w:val="00B94B71"/>
    <w:rsid w:val="00B94FA5"/>
    <w:rsid w:val="00B95AAF"/>
    <w:rsid w:val="00B9723E"/>
    <w:rsid w:val="00B9733D"/>
    <w:rsid w:val="00B978D4"/>
    <w:rsid w:val="00BA0D7D"/>
    <w:rsid w:val="00BA1CDE"/>
    <w:rsid w:val="00BA2177"/>
    <w:rsid w:val="00BA269D"/>
    <w:rsid w:val="00BA28B4"/>
    <w:rsid w:val="00BA2B2F"/>
    <w:rsid w:val="00BA2B33"/>
    <w:rsid w:val="00BA3F7E"/>
    <w:rsid w:val="00BA4AEA"/>
    <w:rsid w:val="00BA4EFD"/>
    <w:rsid w:val="00BA57B4"/>
    <w:rsid w:val="00BA6596"/>
    <w:rsid w:val="00BA6F90"/>
    <w:rsid w:val="00BA7694"/>
    <w:rsid w:val="00BA7ABA"/>
    <w:rsid w:val="00BA7BFE"/>
    <w:rsid w:val="00BB0358"/>
    <w:rsid w:val="00BB0B45"/>
    <w:rsid w:val="00BB1906"/>
    <w:rsid w:val="00BB1A9F"/>
    <w:rsid w:val="00BB2199"/>
    <w:rsid w:val="00BB3081"/>
    <w:rsid w:val="00BB3741"/>
    <w:rsid w:val="00BB3BAC"/>
    <w:rsid w:val="00BB4F81"/>
    <w:rsid w:val="00BB71F4"/>
    <w:rsid w:val="00BB72F9"/>
    <w:rsid w:val="00BB7FBB"/>
    <w:rsid w:val="00BC0727"/>
    <w:rsid w:val="00BC0DC8"/>
    <w:rsid w:val="00BC0F7E"/>
    <w:rsid w:val="00BC1508"/>
    <w:rsid w:val="00BC2968"/>
    <w:rsid w:val="00BC4D4D"/>
    <w:rsid w:val="00BC542D"/>
    <w:rsid w:val="00BC5A1D"/>
    <w:rsid w:val="00BC5AE7"/>
    <w:rsid w:val="00BC5E2A"/>
    <w:rsid w:val="00BC5FB5"/>
    <w:rsid w:val="00BC66F0"/>
    <w:rsid w:val="00BC7359"/>
    <w:rsid w:val="00BC757B"/>
    <w:rsid w:val="00BC75DA"/>
    <w:rsid w:val="00BD092D"/>
    <w:rsid w:val="00BD0B01"/>
    <w:rsid w:val="00BD116A"/>
    <w:rsid w:val="00BD1460"/>
    <w:rsid w:val="00BD1FAB"/>
    <w:rsid w:val="00BD2234"/>
    <w:rsid w:val="00BD2F11"/>
    <w:rsid w:val="00BD3964"/>
    <w:rsid w:val="00BD3B27"/>
    <w:rsid w:val="00BD3D12"/>
    <w:rsid w:val="00BD4540"/>
    <w:rsid w:val="00BD4984"/>
    <w:rsid w:val="00BD4B6B"/>
    <w:rsid w:val="00BD4CB0"/>
    <w:rsid w:val="00BD4D2B"/>
    <w:rsid w:val="00BD5825"/>
    <w:rsid w:val="00BD5BDA"/>
    <w:rsid w:val="00BD5C6E"/>
    <w:rsid w:val="00BD60A5"/>
    <w:rsid w:val="00BD6857"/>
    <w:rsid w:val="00BD6FB3"/>
    <w:rsid w:val="00BD6FCB"/>
    <w:rsid w:val="00BE2382"/>
    <w:rsid w:val="00BE2BF8"/>
    <w:rsid w:val="00BE396B"/>
    <w:rsid w:val="00BE3AE9"/>
    <w:rsid w:val="00BE3F5C"/>
    <w:rsid w:val="00BE45A8"/>
    <w:rsid w:val="00BE4AB0"/>
    <w:rsid w:val="00BE519C"/>
    <w:rsid w:val="00BE51EA"/>
    <w:rsid w:val="00BE57EE"/>
    <w:rsid w:val="00BE5924"/>
    <w:rsid w:val="00BE640F"/>
    <w:rsid w:val="00BE6873"/>
    <w:rsid w:val="00BE68CF"/>
    <w:rsid w:val="00BE698B"/>
    <w:rsid w:val="00BE69F1"/>
    <w:rsid w:val="00BE6CB8"/>
    <w:rsid w:val="00BE6EAB"/>
    <w:rsid w:val="00BE7125"/>
    <w:rsid w:val="00BE72AB"/>
    <w:rsid w:val="00BE73D2"/>
    <w:rsid w:val="00BE7789"/>
    <w:rsid w:val="00BE7BD2"/>
    <w:rsid w:val="00BE7CDB"/>
    <w:rsid w:val="00BF11B8"/>
    <w:rsid w:val="00BF1DC6"/>
    <w:rsid w:val="00BF1EAD"/>
    <w:rsid w:val="00BF27A6"/>
    <w:rsid w:val="00BF2BFE"/>
    <w:rsid w:val="00BF430A"/>
    <w:rsid w:val="00BF4571"/>
    <w:rsid w:val="00BF4E4E"/>
    <w:rsid w:val="00BF4F8F"/>
    <w:rsid w:val="00BF50B5"/>
    <w:rsid w:val="00BF52FE"/>
    <w:rsid w:val="00BF6829"/>
    <w:rsid w:val="00BF6D83"/>
    <w:rsid w:val="00BF6FB2"/>
    <w:rsid w:val="00BF755B"/>
    <w:rsid w:val="00BF7B18"/>
    <w:rsid w:val="00C0030E"/>
    <w:rsid w:val="00C00358"/>
    <w:rsid w:val="00C00C8D"/>
    <w:rsid w:val="00C00F86"/>
    <w:rsid w:val="00C0119B"/>
    <w:rsid w:val="00C03C15"/>
    <w:rsid w:val="00C03D82"/>
    <w:rsid w:val="00C03DDF"/>
    <w:rsid w:val="00C0509A"/>
    <w:rsid w:val="00C0537A"/>
    <w:rsid w:val="00C0537B"/>
    <w:rsid w:val="00C061F7"/>
    <w:rsid w:val="00C065CC"/>
    <w:rsid w:val="00C06C89"/>
    <w:rsid w:val="00C0736F"/>
    <w:rsid w:val="00C07380"/>
    <w:rsid w:val="00C075D8"/>
    <w:rsid w:val="00C076C0"/>
    <w:rsid w:val="00C07E0B"/>
    <w:rsid w:val="00C10466"/>
    <w:rsid w:val="00C10AA7"/>
    <w:rsid w:val="00C10E6D"/>
    <w:rsid w:val="00C11142"/>
    <w:rsid w:val="00C12102"/>
    <w:rsid w:val="00C127C1"/>
    <w:rsid w:val="00C12849"/>
    <w:rsid w:val="00C12FED"/>
    <w:rsid w:val="00C133C7"/>
    <w:rsid w:val="00C13A35"/>
    <w:rsid w:val="00C14130"/>
    <w:rsid w:val="00C14369"/>
    <w:rsid w:val="00C147F4"/>
    <w:rsid w:val="00C1483C"/>
    <w:rsid w:val="00C14BBB"/>
    <w:rsid w:val="00C14E6C"/>
    <w:rsid w:val="00C14EC8"/>
    <w:rsid w:val="00C15B59"/>
    <w:rsid w:val="00C15C34"/>
    <w:rsid w:val="00C1629E"/>
    <w:rsid w:val="00C16AFD"/>
    <w:rsid w:val="00C171BF"/>
    <w:rsid w:val="00C1722F"/>
    <w:rsid w:val="00C17694"/>
    <w:rsid w:val="00C17853"/>
    <w:rsid w:val="00C17932"/>
    <w:rsid w:val="00C20E3A"/>
    <w:rsid w:val="00C2109B"/>
    <w:rsid w:val="00C21AB9"/>
    <w:rsid w:val="00C22507"/>
    <w:rsid w:val="00C226F5"/>
    <w:rsid w:val="00C2287E"/>
    <w:rsid w:val="00C22F1E"/>
    <w:rsid w:val="00C23B90"/>
    <w:rsid w:val="00C23E1C"/>
    <w:rsid w:val="00C247E9"/>
    <w:rsid w:val="00C251C0"/>
    <w:rsid w:val="00C25268"/>
    <w:rsid w:val="00C25319"/>
    <w:rsid w:val="00C2698D"/>
    <w:rsid w:val="00C2701F"/>
    <w:rsid w:val="00C27A3B"/>
    <w:rsid w:val="00C27BEE"/>
    <w:rsid w:val="00C27CF6"/>
    <w:rsid w:val="00C3008E"/>
    <w:rsid w:val="00C32721"/>
    <w:rsid w:val="00C33381"/>
    <w:rsid w:val="00C33915"/>
    <w:rsid w:val="00C348AF"/>
    <w:rsid w:val="00C349A2"/>
    <w:rsid w:val="00C34AD2"/>
    <w:rsid w:val="00C35551"/>
    <w:rsid w:val="00C356B7"/>
    <w:rsid w:val="00C36902"/>
    <w:rsid w:val="00C36B15"/>
    <w:rsid w:val="00C37094"/>
    <w:rsid w:val="00C3712C"/>
    <w:rsid w:val="00C372C7"/>
    <w:rsid w:val="00C37D00"/>
    <w:rsid w:val="00C37F9E"/>
    <w:rsid w:val="00C40D7A"/>
    <w:rsid w:val="00C41446"/>
    <w:rsid w:val="00C414BE"/>
    <w:rsid w:val="00C416B4"/>
    <w:rsid w:val="00C41851"/>
    <w:rsid w:val="00C41BE6"/>
    <w:rsid w:val="00C4222F"/>
    <w:rsid w:val="00C425FF"/>
    <w:rsid w:val="00C43477"/>
    <w:rsid w:val="00C43B39"/>
    <w:rsid w:val="00C43C3B"/>
    <w:rsid w:val="00C440B2"/>
    <w:rsid w:val="00C4538B"/>
    <w:rsid w:val="00C457B5"/>
    <w:rsid w:val="00C458B1"/>
    <w:rsid w:val="00C45A7D"/>
    <w:rsid w:val="00C46D7D"/>
    <w:rsid w:val="00C470BE"/>
    <w:rsid w:val="00C5006A"/>
    <w:rsid w:val="00C50089"/>
    <w:rsid w:val="00C51A3D"/>
    <w:rsid w:val="00C51FEE"/>
    <w:rsid w:val="00C5204C"/>
    <w:rsid w:val="00C52D2B"/>
    <w:rsid w:val="00C52F7F"/>
    <w:rsid w:val="00C530A6"/>
    <w:rsid w:val="00C534E7"/>
    <w:rsid w:val="00C53B37"/>
    <w:rsid w:val="00C54008"/>
    <w:rsid w:val="00C54226"/>
    <w:rsid w:val="00C54380"/>
    <w:rsid w:val="00C54ACE"/>
    <w:rsid w:val="00C54F9D"/>
    <w:rsid w:val="00C556A6"/>
    <w:rsid w:val="00C55AF0"/>
    <w:rsid w:val="00C56A62"/>
    <w:rsid w:val="00C56FA1"/>
    <w:rsid w:val="00C57F78"/>
    <w:rsid w:val="00C57F9A"/>
    <w:rsid w:val="00C6042B"/>
    <w:rsid w:val="00C6045C"/>
    <w:rsid w:val="00C6058A"/>
    <w:rsid w:val="00C609DD"/>
    <w:rsid w:val="00C60B01"/>
    <w:rsid w:val="00C60CD1"/>
    <w:rsid w:val="00C61CE5"/>
    <w:rsid w:val="00C61F20"/>
    <w:rsid w:val="00C628CB"/>
    <w:rsid w:val="00C62EC0"/>
    <w:rsid w:val="00C6343C"/>
    <w:rsid w:val="00C63A84"/>
    <w:rsid w:val="00C63C87"/>
    <w:rsid w:val="00C63E26"/>
    <w:rsid w:val="00C64B44"/>
    <w:rsid w:val="00C64D26"/>
    <w:rsid w:val="00C65E1C"/>
    <w:rsid w:val="00C67013"/>
    <w:rsid w:val="00C67108"/>
    <w:rsid w:val="00C672E6"/>
    <w:rsid w:val="00C701FF"/>
    <w:rsid w:val="00C70CAF"/>
    <w:rsid w:val="00C70CFA"/>
    <w:rsid w:val="00C718EA"/>
    <w:rsid w:val="00C72351"/>
    <w:rsid w:val="00C72779"/>
    <w:rsid w:val="00C72965"/>
    <w:rsid w:val="00C729E1"/>
    <w:rsid w:val="00C7403B"/>
    <w:rsid w:val="00C74F9D"/>
    <w:rsid w:val="00C754BF"/>
    <w:rsid w:val="00C75851"/>
    <w:rsid w:val="00C760C8"/>
    <w:rsid w:val="00C7639F"/>
    <w:rsid w:val="00C76527"/>
    <w:rsid w:val="00C769E3"/>
    <w:rsid w:val="00C774AD"/>
    <w:rsid w:val="00C77C61"/>
    <w:rsid w:val="00C80304"/>
    <w:rsid w:val="00C804DC"/>
    <w:rsid w:val="00C80550"/>
    <w:rsid w:val="00C80BF6"/>
    <w:rsid w:val="00C80E27"/>
    <w:rsid w:val="00C80E2C"/>
    <w:rsid w:val="00C811B8"/>
    <w:rsid w:val="00C8151F"/>
    <w:rsid w:val="00C816E2"/>
    <w:rsid w:val="00C8267E"/>
    <w:rsid w:val="00C82B58"/>
    <w:rsid w:val="00C82BD4"/>
    <w:rsid w:val="00C83752"/>
    <w:rsid w:val="00C8378A"/>
    <w:rsid w:val="00C837C6"/>
    <w:rsid w:val="00C83904"/>
    <w:rsid w:val="00C83A96"/>
    <w:rsid w:val="00C83B69"/>
    <w:rsid w:val="00C84563"/>
    <w:rsid w:val="00C845F2"/>
    <w:rsid w:val="00C84748"/>
    <w:rsid w:val="00C85A7B"/>
    <w:rsid w:val="00C873C0"/>
    <w:rsid w:val="00C8753B"/>
    <w:rsid w:val="00C90BAB"/>
    <w:rsid w:val="00C919DF"/>
    <w:rsid w:val="00C92912"/>
    <w:rsid w:val="00C92A14"/>
    <w:rsid w:val="00C92C80"/>
    <w:rsid w:val="00C93A1C"/>
    <w:rsid w:val="00C9416A"/>
    <w:rsid w:val="00C94593"/>
    <w:rsid w:val="00C949E3"/>
    <w:rsid w:val="00C94CC8"/>
    <w:rsid w:val="00C952A7"/>
    <w:rsid w:val="00C958E5"/>
    <w:rsid w:val="00C95955"/>
    <w:rsid w:val="00C96731"/>
    <w:rsid w:val="00C96886"/>
    <w:rsid w:val="00C968C7"/>
    <w:rsid w:val="00C97824"/>
    <w:rsid w:val="00C97C29"/>
    <w:rsid w:val="00CA0973"/>
    <w:rsid w:val="00CA0EA9"/>
    <w:rsid w:val="00CA0EFA"/>
    <w:rsid w:val="00CA161C"/>
    <w:rsid w:val="00CA18F9"/>
    <w:rsid w:val="00CA1E15"/>
    <w:rsid w:val="00CA294D"/>
    <w:rsid w:val="00CA2E53"/>
    <w:rsid w:val="00CA3461"/>
    <w:rsid w:val="00CA4338"/>
    <w:rsid w:val="00CA4A2F"/>
    <w:rsid w:val="00CA4A54"/>
    <w:rsid w:val="00CA4EEF"/>
    <w:rsid w:val="00CA4F69"/>
    <w:rsid w:val="00CA4F7D"/>
    <w:rsid w:val="00CA632D"/>
    <w:rsid w:val="00CA6D1C"/>
    <w:rsid w:val="00CA7133"/>
    <w:rsid w:val="00CA71A2"/>
    <w:rsid w:val="00CA7961"/>
    <w:rsid w:val="00CA7A2C"/>
    <w:rsid w:val="00CA7A7E"/>
    <w:rsid w:val="00CA7FCA"/>
    <w:rsid w:val="00CB17A9"/>
    <w:rsid w:val="00CB1C12"/>
    <w:rsid w:val="00CB1E31"/>
    <w:rsid w:val="00CB2A88"/>
    <w:rsid w:val="00CB367B"/>
    <w:rsid w:val="00CB391C"/>
    <w:rsid w:val="00CB3FDA"/>
    <w:rsid w:val="00CB4DF9"/>
    <w:rsid w:val="00CB4E7D"/>
    <w:rsid w:val="00CB57ED"/>
    <w:rsid w:val="00CB62D1"/>
    <w:rsid w:val="00CB6A72"/>
    <w:rsid w:val="00CB7492"/>
    <w:rsid w:val="00CB7C63"/>
    <w:rsid w:val="00CB7C7D"/>
    <w:rsid w:val="00CB7C8E"/>
    <w:rsid w:val="00CC0255"/>
    <w:rsid w:val="00CC0361"/>
    <w:rsid w:val="00CC15A2"/>
    <w:rsid w:val="00CC15A8"/>
    <w:rsid w:val="00CC28E1"/>
    <w:rsid w:val="00CC2AA5"/>
    <w:rsid w:val="00CC2E80"/>
    <w:rsid w:val="00CC2E8A"/>
    <w:rsid w:val="00CC3006"/>
    <w:rsid w:val="00CC41AA"/>
    <w:rsid w:val="00CC4D79"/>
    <w:rsid w:val="00CC5220"/>
    <w:rsid w:val="00CC5A65"/>
    <w:rsid w:val="00CC5CB6"/>
    <w:rsid w:val="00CC5DA8"/>
    <w:rsid w:val="00CC6278"/>
    <w:rsid w:val="00CC69C5"/>
    <w:rsid w:val="00CC6DC3"/>
    <w:rsid w:val="00CC73E2"/>
    <w:rsid w:val="00CC743C"/>
    <w:rsid w:val="00CC7AD0"/>
    <w:rsid w:val="00CD10E4"/>
    <w:rsid w:val="00CD1648"/>
    <w:rsid w:val="00CD1A72"/>
    <w:rsid w:val="00CD22CE"/>
    <w:rsid w:val="00CD2F9A"/>
    <w:rsid w:val="00CD3679"/>
    <w:rsid w:val="00CD4E81"/>
    <w:rsid w:val="00CD58FE"/>
    <w:rsid w:val="00CD6779"/>
    <w:rsid w:val="00CE08C3"/>
    <w:rsid w:val="00CE1691"/>
    <w:rsid w:val="00CE1C19"/>
    <w:rsid w:val="00CE23B3"/>
    <w:rsid w:val="00CE2574"/>
    <w:rsid w:val="00CE2BBD"/>
    <w:rsid w:val="00CE2BD0"/>
    <w:rsid w:val="00CE387C"/>
    <w:rsid w:val="00CE3E10"/>
    <w:rsid w:val="00CE4AA4"/>
    <w:rsid w:val="00CE4B9B"/>
    <w:rsid w:val="00CE4C54"/>
    <w:rsid w:val="00CE5336"/>
    <w:rsid w:val="00CE542F"/>
    <w:rsid w:val="00CE5833"/>
    <w:rsid w:val="00CE58CA"/>
    <w:rsid w:val="00CE5D48"/>
    <w:rsid w:val="00CE6703"/>
    <w:rsid w:val="00CE6835"/>
    <w:rsid w:val="00CE741A"/>
    <w:rsid w:val="00CE7D7E"/>
    <w:rsid w:val="00CF0149"/>
    <w:rsid w:val="00CF01FA"/>
    <w:rsid w:val="00CF024B"/>
    <w:rsid w:val="00CF0BD9"/>
    <w:rsid w:val="00CF13B1"/>
    <w:rsid w:val="00CF15B1"/>
    <w:rsid w:val="00CF28E2"/>
    <w:rsid w:val="00CF2EA3"/>
    <w:rsid w:val="00CF3026"/>
    <w:rsid w:val="00CF35BE"/>
    <w:rsid w:val="00CF3987"/>
    <w:rsid w:val="00CF3C30"/>
    <w:rsid w:val="00CF3F01"/>
    <w:rsid w:val="00CF46CC"/>
    <w:rsid w:val="00CF4B09"/>
    <w:rsid w:val="00CF4C0F"/>
    <w:rsid w:val="00CF57D7"/>
    <w:rsid w:val="00CF58C6"/>
    <w:rsid w:val="00CF5E4A"/>
    <w:rsid w:val="00CF5F3C"/>
    <w:rsid w:val="00CF6F64"/>
    <w:rsid w:val="00D00018"/>
    <w:rsid w:val="00D01E80"/>
    <w:rsid w:val="00D0215A"/>
    <w:rsid w:val="00D02705"/>
    <w:rsid w:val="00D02DB3"/>
    <w:rsid w:val="00D02E19"/>
    <w:rsid w:val="00D02E27"/>
    <w:rsid w:val="00D03C60"/>
    <w:rsid w:val="00D04442"/>
    <w:rsid w:val="00D04BA7"/>
    <w:rsid w:val="00D04F41"/>
    <w:rsid w:val="00D05C07"/>
    <w:rsid w:val="00D066D7"/>
    <w:rsid w:val="00D06932"/>
    <w:rsid w:val="00D07003"/>
    <w:rsid w:val="00D0702A"/>
    <w:rsid w:val="00D071AC"/>
    <w:rsid w:val="00D07A81"/>
    <w:rsid w:val="00D07CB1"/>
    <w:rsid w:val="00D10FDC"/>
    <w:rsid w:val="00D1170C"/>
    <w:rsid w:val="00D11835"/>
    <w:rsid w:val="00D11D69"/>
    <w:rsid w:val="00D125AA"/>
    <w:rsid w:val="00D132A3"/>
    <w:rsid w:val="00D132CE"/>
    <w:rsid w:val="00D139F8"/>
    <w:rsid w:val="00D1432A"/>
    <w:rsid w:val="00D148AE"/>
    <w:rsid w:val="00D14EA9"/>
    <w:rsid w:val="00D16D50"/>
    <w:rsid w:val="00D16FB1"/>
    <w:rsid w:val="00D1761A"/>
    <w:rsid w:val="00D17C70"/>
    <w:rsid w:val="00D202EA"/>
    <w:rsid w:val="00D206DD"/>
    <w:rsid w:val="00D2090B"/>
    <w:rsid w:val="00D20C49"/>
    <w:rsid w:val="00D20E57"/>
    <w:rsid w:val="00D21000"/>
    <w:rsid w:val="00D2162D"/>
    <w:rsid w:val="00D217DD"/>
    <w:rsid w:val="00D21848"/>
    <w:rsid w:val="00D21ED0"/>
    <w:rsid w:val="00D22699"/>
    <w:rsid w:val="00D226F5"/>
    <w:rsid w:val="00D228D8"/>
    <w:rsid w:val="00D2290E"/>
    <w:rsid w:val="00D2359C"/>
    <w:rsid w:val="00D241D2"/>
    <w:rsid w:val="00D24DD2"/>
    <w:rsid w:val="00D2515B"/>
    <w:rsid w:val="00D25850"/>
    <w:rsid w:val="00D26F28"/>
    <w:rsid w:val="00D300A1"/>
    <w:rsid w:val="00D302EC"/>
    <w:rsid w:val="00D314CA"/>
    <w:rsid w:val="00D314E8"/>
    <w:rsid w:val="00D31752"/>
    <w:rsid w:val="00D31782"/>
    <w:rsid w:val="00D321A8"/>
    <w:rsid w:val="00D32A1B"/>
    <w:rsid w:val="00D3315C"/>
    <w:rsid w:val="00D336EA"/>
    <w:rsid w:val="00D33990"/>
    <w:rsid w:val="00D33B95"/>
    <w:rsid w:val="00D33BD4"/>
    <w:rsid w:val="00D34121"/>
    <w:rsid w:val="00D344BE"/>
    <w:rsid w:val="00D34B3F"/>
    <w:rsid w:val="00D357ED"/>
    <w:rsid w:val="00D35983"/>
    <w:rsid w:val="00D35A11"/>
    <w:rsid w:val="00D361BE"/>
    <w:rsid w:val="00D36E97"/>
    <w:rsid w:val="00D40197"/>
    <w:rsid w:val="00D402BB"/>
    <w:rsid w:val="00D42239"/>
    <w:rsid w:val="00D43223"/>
    <w:rsid w:val="00D44648"/>
    <w:rsid w:val="00D447B4"/>
    <w:rsid w:val="00D44EE5"/>
    <w:rsid w:val="00D453F2"/>
    <w:rsid w:val="00D4584D"/>
    <w:rsid w:val="00D46A73"/>
    <w:rsid w:val="00D470F5"/>
    <w:rsid w:val="00D471B0"/>
    <w:rsid w:val="00D472CB"/>
    <w:rsid w:val="00D47821"/>
    <w:rsid w:val="00D47A01"/>
    <w:rsid w:val="00D47BFB"/>
    <w:rsid w:val="00D50327"/>
    <w:rsid w:val="00D50DA1"/>
    <w:rsid w:val="00D50DF3"/>
    <w:rsid w:val="00D5103F"/>
    <w:rsid w:val="00D527B4"/>
    <w:rsid w:val="00D52865"/>
    <w:rsid w:val="00D52D60"/>
    <w:rsid w:val="00D533C4"/>
    <w:rsid w:val="00D53647"/>
    <w:rsid w:val="00D537F4"/>
    <w:rsid w:val="00D53A3C"/>
    <w:rsid w:val="00D53C7B"/>
    <w:rsid w:val="00D544B4"/>
    <w:rsid w:val="00D54B73"/>
    <w:rsid w:val="00D55472"/>
    <w:rsid w:val="00D55529"/>
    <w:rsid w:val="00D55DA6"/>
    <w:rsid w:val="00D56122"/>
    <w:rsid w:val="00D56192"/>
    <w:rsid w:val="00D56CBE"/>
    <w:rsid w:val="00D56E51"/>
    <w:rsid w:val="00D57143"/>
    <w:rsid w:val="00D572BF"/>
    <w:rsid w:val="00D57B0A"/>
    <w:rsid w:val="00D60625"/>
    <w:rsid w:val="00D615E8"/>
    <w:rsid w:val="00D61885"/>
    <w:rsid w:val="00D631E9"/>
    <w:rsid w:val="00D63B50"/>
    <w:rsid w:val="00D64EBC"/>
    <w:rsid w:val="00D65B5B"/>
    <w:rsid w:val="00D65BFA"/>
    <w:rsid w:val="00D65E89"/>
    <w:rsid w:val="00D65F39"/>
    <w:rsid w:val="00D67124"/>
    <w:rsid w:val="00D672A0"/>
    <w:rsid w:val="00D67E9F"/>
    <w:rsid w:val="00D703EA"/>
    <w:rsid w:val="00D703F9"/>
    <w:rsid w:val="00D70EA4"/>
    <w:rsid w:val="00D71431"/>
    <w:rsid w:val="00D721EF"/>
    <w:rsid w:val="00D724F9"/>
    <w:rsid w:val="00D731C5"/>
    <w:rsid w:val="00D74061"/>
    <w:rsid w:val="00D741EE"/>
    <w:rsid w:val="00D7434C"/>
    <w:rsid w:val="00D75391"/>
    <w:rsid w:val="00D75B1E"/>
    <w:rsid w:val="00D75E64"/>
    <w:rsid w:val="00D76147"/>
    <w:rsid w:val="00D7647B"/>
    <w:rsid w:val="00D764A1"/>
    <w:rsid w:val="00D76D69"/>
    <w:rsid w:val="00D76F74"/>
    <w:rsid w:val="00D77126"/>
    <w:rsid w:val="00D774F8"/>
    <w:rsid w:val="00D77BC0"/>
    <w:rsid w:val="00D80210"/>
    <w:rsid w:val="00D809FF"/>
    <w:rsid w:val="00D80A4E"/>
    <w:rsid w:val="00D812C5"/>
    <w:rsid w:val="00D8175E"/>
    <w:rsid w:val="00D8183E"/>
    <w:rsid w:val="00D819E6"/>
    <w:rsid w:val="00D81A9B"/>
    <w:rsid w:val="00D81B34"/>
    <w:rsid w:val="00D822DB"/>
    <w:rsid w:val="00D82815"/>
    <w:rsid w:val="00D8291F"/>
    <w:rsid w:val="00D82CFE"/>
    <w:rsid w:val="00D830BE"/>
    <w:rsid w:val="00D83249"/>
    <w:rsid w:val="00D83B47"/>
    <w:rsid w:val="00D83DB5"/>
    <w:rsid w:val="00D8447B"/>
    <w:rsid w:val="00D8498B"/>
    <w:rsid w:val="00D84EEC"/>
    <w:rsid w:val="00D8551F"/>
    <w:rsid w:val="00D86490"/>
    <w:rsid w:val="00D86EC7"/>
    <w:rsid w:val="00D873F3"/>
    <w:rsid w:val="00D87DA3"/>
    <w:rsid w:val="00D87E13"/>
    <w:rsid w:val="00D87E46"/>
    <w:rsid w:val="00D87FEC"/>
    <w:rsid w:val="00D9048C"/>
    <w:rsid w:val="00D904E2"/>
    <w:rsid w:val="00D91658"/>
    <w:rsid w:val="00D91946"/>
    <w:rsid w:val="00D93D67"/>
    <w:rsid w:val="00D94033"/>
    <w:rsid w:val="00D9412E"/>
    <w:rsid w:val="00D943EB"/>
    <w:rsid w:val="00D968BB"/>
    <w:rsid w:val="00D97158"/>
    <w:rsid w:val="00D973D2"/>
    <w:rsid w:val="00DA09DB"/>
    <w:rsid w:val="00DA1876"/>
    <w:rsid w:val="00DA1B58"/>
    <w:rsid w:val="00DA1FF6"/>
    <w:rsid w:val="00DA209B"/>
    <w:rsid w:val="00DA2982"/>
    <w:rsid w:val="00DA3D63"/>
    <w:rsid w:val="00DA4561"/>
    <w:rsid w:val="00DA46EC"/>
    <w:rsid w:val="00DA6528"/>
    <w:rsid w:val="00DA66B1"/>
    <w:rsid w:val="00DA66F3"/>
    <w:rsid w:val="00DA679E"/>
    <w:rsid w:val="00DA7AA9"/>
    <w:rsid w:val="00DA7ACD"/>
    <w:rsid w:val="00DB00EC"/>
    <w:rsid w:val="00DB0814"/>
    <w:rsid w:val="00DB1C3C"/>
    <w:rsid w:val="00DB1ECE"/>
    <w:rsid w:val="00DB29F9"/>
    <w:rsid w:val="00DB30DA"/>
    <w:rsid w:val="00DB38D2"/>
    <w:rsid w:val="00DB4088"/>
    <w:rsid w:val="00DB5110"/>
    <w:rsid w:val="00DB6C8F"/>
    <w:rsid w:val="00DB720A"/>
    <w:rsid w:val="00DB7828"/>
    <w:rsid w:val="00DB7FF7"/>
    <w:rsid w:val="00DC0A6D"/>
    <w:rsid w:val="00DC0FFA"/>
    <w:rsid w:val="00DC2240"/>
    <w:rsid w:val="00DC35E6"/>
    <w:rsid w:val="00DC46FD"/>
    <w:rsid w:val="00DC4D6F"/>
    <w:rsid w:val="00DC5C5D"/>
    <w:rsid w:val="00DC629B"/>
    <w:rsid w:val="00DC62E6"/>
    <w:rsid w:val="00DC67D9"/>
    <w:rsid w:val="00DC6AF8"/>
    <w:rsid w:val="00DC6B3F"/>
    <w:rsid w:val="00DC6F84"/>
    <w:rsid w:val="00DC7485"/>
    <w:rsid w:val="00DC78EE"/>
    <w:rsid w:val="00DC7943"/>
    <w:rsid w:val="00DC7CF3"/>
    <w:rsid w:val="00DC7D25"/>
    <w:rsid w:val="00DC7DDD"/>
    <w:rsid w:val="00DD0127"/>
    <w:rsid w:val="00DD1B93"/>
    <w:rsid w:val="00DD1DDE"/>
    <w:rsid w:val="00DD3743"/>
    <w:rsid w:val="00DD3F98"/>
    <w:rsid w:val="00DD4138"/>
    <w:rsid w:val="00DD49AF"/>
    <w:rsid w:val="00DD513C"/>
    <w:rsid w:val="00DD579A"/>
    <w:rsid w:val="00DD5CF0"/>
    <w:rsid w:val="00DD746E"/>
    <w:rsid w:val="00DD7893"/>
    <w:rsid w:val="00DE109F"/>
    <w:rsid w:val="00DE10DB"/>
    <w:rsid w:val="00DE1260"/>
    <w:rsid w:val="00DE203D"/>
    <w:rsid w:val="00DE26C1"/>
    <w:rsid w:val="00DE28AD"/>
    <w:rsid w:val="00DE2FB1"/>
    <w:rsid w:val="00DE3168"/>
    <w:rsid w:val="00DE364C"/>
    <w:rsid w:val="00DE3762"/>
    <w:rsid w:val="00DE42BD"/>
    <w:rsid w:val="00DE4755"/>
    <w:rsid w:val="00DE5D18"/>
    <w:rsid w:val="00DE5F7D"/>
    <w:rsid w:val="00DE605F"/>
    <w:rsid w:val="00DE6AC9"/>
    <w:rsid w:val="00DE6C81"/>
    <w:rsid w:val="00DE6DB3"/>
    <w:rsid w:val="00DE6EF2"/>
    <w:rsid w:val="00DE71FC"/>
    <w:rsid w:val="00DE745A"/>
    <w:rsid w:val="00DE7D29"/>
    <w:rsid w:val="00DE7EA4"/>
    <w:rsid w:val="00DF001A"/>
    <w:rsid w:val="00DF0552"/>
    <w:rsid w:val="00DF0770"/>
    <w:rsid w:val="00DF1776"/>
    <w:rsid w:val="00DF1B39"/>
    <w:rsid w:val="00DF1B3D"/>
    <w:rsid w:val="00DF2699"/>
    <w:rsid w:val="00DF2968"/>
    <w:rsid w:val="00DF2A33"/>
    <w:rsid w:val="00DF3456"/>
    <w:rsid w:val="00DF357B"/>
    <w:rsid w:val="00DF35D3"/>
    <w:rsid w:val="00DF4E12"/>
    <w:rsid w:val="00DF5DE0"/>
    <w:rsid w:val="00DF639B"/>
    <w:rsid w:val="00DF6466"/>
    <w:rsid w:val="00DF64D3"/>
    <w:rsid w:val="00DF6FFD"/>
    <w:rsid w:val="00DF7ACE"/>
    <w:rsid w:val="00DF7C0E"/>
    <w:rsid w:val="00DF7EFF"/>
    <w:rsid w:val="00E00506"/>
    <w:rsid w:val="00E00ECA"/>
    <w:rsid w:val="00E0123E"/>
    <w:rsid w:val="00E013BB"/>
    <w:rsid w:val="00E018D7"/>
    <w:rsid w:val="00E01B3C"/>
    <w:rsid w:val="00E01DAC"/>
    <w:rsid w:val="00E02CC2"/>
    <w:rsid w:val="00E03A10"/>
    <w:rsid w:val="00E03B5A"/>
    <w:rsid w:val="00E05D1D"/>
    <w:rsid w:val="00E05E92"/>
    <w:rsid w:val="00E06987"/>
    <w:rsid w:val="00E06F9F"/>
    <w:rsid w:val="00E07216"/>
    <w:rsid w:val="00E072EC"/>
    <w:rsid w:val="00E076D1"/>
    <w:rsid w:val="00E07903"/>
    <w:rsid w:val="00E079A3"/>
    <w:rsid w:val="00E07EDD"/>
    <w:rsid w:val="00E1216C"/>
    <w:rsid w:val="00E122CA"/>
    <w:rsid w:val="00E125CC"/>
    <w:rsid w:val="00E128BB"/>
    <w:rsid w:val="00E13A7F"/>
    <w:rsid w:val="00E13B83"/>
    <w:rsid w:val="00E13E52"/>
    <w:rsid w:val="00E14C3C"/>
    <w:rsid w:val="00E14C44"/>
    <w:rsid w:val="00E15129"/>
    <w:rsid w:val="00E151D9"/>
    <w:rsid w:val="00E15676"/>
    <w:rsid w:val="00E15C6B"/>
    <w:rsid w:val="00E15E4B"/>
    <w:rsid w:val="00E16C0C"/>
    <w:rsid w:val="00E16C6B"/>
    <w:rsid w:val="00E17026"/>
    <w:rsid w:val="00E206BE"/>
    <w:rsid w:val="00E20E1F"/>
    <w:rsid w:val="00E21980"/>
    <w:rsid w:val="00E229DF"/>
    <w:rsid w:val="00E23B7D"/>
    <w:rsid w:val="00E25320"/>
    <w:rsid w:val="00E25932"/>
    <w:rsid w:val="00E25EA1"/>
    <w:rsid w:val="00E26521"/>
    <w:rsid w:val="00E266A6"/>
    <w:rsid w:val="00E27053"/>
    <w:rsid w:val="00E272EE"/>
    <w:rsid w:val="00E27A37"/>
    <w:rsid w:val="00E3084D"/>
    <w:rsid w:val="00E30E55"/>
    <w:rsid w:val="00E31403"/>
    <w:rsid w:val="00E31473"/>
    <w:rsid w:val="00E31716"/>
    <w:rsid w:val="00E324A3"/>
    <w:rsid w:val="00E32766"/>
    <w:rsid w:val="00E32C10"/>
    <w:rsid w:val="00E3382C"/>
    <w:rsid w:val="00E339A2"/>
    <w:rsid w:val="00E35694"/>
    <w:rsid w:val="00E35B66"/>
    <w:rsid w:val="00E36A58"/>
    <w:rsid w:val="00E36D31"/>
    <w:rsid w:val="00E37059"/>
    <w:rsid w:val="00E374E3"/>
    <w:rsid w:val="00E376C6"/>
    <w:rsid w:val="00E37B9A"/>
    <w:rsid w:val="00E4019A"/>
    <w:rsid w:val="00E40C00"/>
    <w:rsid w:val="00E40CCA"/>
    <w:rsid w:val="00E40E25"/>
    <w:rsid w:val="00E414DE"/>
    <w:rsid w:val="00E421A3"/>
    <w:rsid w:val="00E423BB"/>
    <w:rsid w:val="00E42BEA"/>
    <w:rsid w:val="00E4442F"/>
    <w:rsid w:val="00E44717"/>
    <w:rsid w:val="00E44DFE"/>
    <w:rsid w:val="00E45266"/>
    <w:rsid w:val="00E45BAF"/>
    <w:rsid w:val="00E45C3B"/>
    <w:rsid w:val="00E45D33"/>
    <w:rsid w:val="00E45E73"/>
    <w:rsid w:val="00E4662C"/>
    <w:rsid w:val="00E468BE"/>
    <w:rsid w:val="00E4771C"/>
    <w:rsid w:val="00E47BF7"/>
    <w:rsid w:val="00E501F2"/>
    <w:rsid w:val="00E50647"/>
    <w:rsid w:val="00E50DCD"/>
    <w:rsid w:val="00E50DD5"/>
    <w:rsid w:val="00E50F44"/>
    <w:rsid w:val="00E521EB"/>
    <w:rsid w:val="00E524E5"/>
    <w:rsid w:val="00E52AE3"/>
    <w:rsid w:val="00E532DE"/>
    <w:rsid w:val="00E53380"/>
    <w:rsid w:val="00E54583"/>
    <w:rsid w:val="00E54A2D"/>
    <w:rsid w:val="00E54AD8"/>
    <w:rsid w:val="00E54D01"/>
    <w:rsid w:val="00E54F6C"/>
    <w:rsid w:val="00E54FD4"/>
    <w:rsid w:val="00E5597A"/>
    <w:rsid w:val="00E55A3D"/>
    <w:rsid w:val="00E56DF4"/>
    <w:rsid w:val="00E572F1"/>
    <w:rsid w:val="00E573FB"/>
    <w:rsid w:val="00E5794A"/>
    <w:rsid w:val="00E57EA2"/>
    <w:rsid w:val="00E6044F"/>
    <w:rsid w:val="00E61712"/>
    <w:rsid w:val="00E630D0"/>
    <w:rsid w:val="00E63EFF"/>
    <w:rsid w:val="00E657FF"/>
    <w:rsid w:val="00E664F7"/>
    <w:rsid w:val="00E66D61"/>
    <w:rsid w:val="00E67A88"/>
    <w:rsid w:val="00E67BB1"/>
    <w:rsid w:val="00E67CED"/>
    <w:rsid w:val="00E67DFE"/>
    <w:rsid w:val="00E7019C"/>
    <w:rsid w:val="00E707DD"/>
    <w:rsid w:val="00E70B83"/>
    <w:rsid w:val="00E70EFE"/>
    <w:rsid w:val="00E7103A"/>
    <w:rsid w:val="00E71112"/>
    <w:rsid w:val="00E71561"/>
    <w:rsid w:val="00E71C05"/>
    <w:rsid w:val="00E72324"/>
    <w:rsid w:val="00E73721"/>
    <w:rsid w:val="00E73C76"/>
    <w:rsid w:val="00E74822"/>
    <w:rsid w:val="00E74867"/>
    <w:rsid w:val="00E7511A"/>
    <w:rsid w:val="00E7529B"/>
    <w:rsid w:val="00E754AE"/>
    <w:rsid w:val="00E75AA8"/>
    <w:rsid w:val="00E77018"/>
    <w:rsid w:val="00E7748B"/>
    <w:rsid w:val="00E774E5"/>
    <w:rsid w:val="00E779D3"/>
    <w:rsid w:val="00E77B96"/>
    <w:rsid w:val="00E77D7E"/>
    <w:rsid w:val="00E80CCD"/>
    <w:rsid w:val="00E80D42"/>
    <w:rsid w:val="00E8100A"/>
    <w:rsid w:val="00E812FE"/>
    <w:rsid w:val="00E81794"/>
    <w:rsid w:val="00E81B13"/>
    <w:rsid w:val="00E82825"/>
    <w:rsid w:val="00E82AD5"/>
    <w:rsid w:val="00E82BA9"/>
    <w:rsid w:val="00E83BCB"/>
    <w:rsid w:val="00E84495"/>
    <w:rsid w:val="00E8477F"/>
    <w:rsid w:val="00E851F7"/>
    <w:rsid w:val="00E86225"/>
    <w:rsid w:val="00E86475"/>
    <w:rsid w:val="00E86E5C"/>
    <w:rsid w:val="00E87D92"/>
    <w:rsid w:val="00E90025"/>
    <w:rsid w:val="00E90616"/>
    <w:rsid w:val="00E90EA5"/>
    <w:rsid w:val="00E9349A"/>
    <w:rsid w:val="00E93AC2"/>
    <w:rsid w:val="00E93ED7"/>
    <w:rsid w:val="00E942C7"/>
    <w:rsid w:val="00E9434F"/>
    <w:rsid w:val="00E9485D"/>
    <w:rsid w:val="00E95129"/>
    <w:rsid w:val="00E96957"/>
    <w:rsid w:val="00E96E2D"/>
    <w:rsid w:val="00E9714D"/>
    <w:rsid w:val="00E972EC"/>
    <w:rsid w:val="00E979B1"/>
    <w:rsid w:val="00E97AF6"/>
    <w:rsid w:val="00EA0576"/>
    <w:rsid w:val="00EA07C4"/>
    <w:rsid w:val="00EA0C6C"/>
    <w:rsid w:val="00EA137D"/>
    <w:rsid w:val="00EA1459"/>
    <w:rsid w:val="00EA1944"/>
    <w:rsid w:val="00EA1FC7"/>
    <w:rsid w:val="00EA2549"/>
    <w:rsid w:val="00EA2C19"/>
    <w:rsid w:val="00EA30EE"/>
    <w:rsid w:val="00EA3450"/>
    <w:rsid w:val="00EA3D33"/>
    <w:rsid w:val="00EA505E"/>
    <w:rsid w:val="00EA532E"/>
    <w:rsid w:val="00EA53FA"/>
    <w:rsid w:val="00EA63EE"/>
    <w:rsid w:val="00EA6EF9"/>
    <w:rsid w:val="00EA6F2D"/>
    <w:rsid w:val="00EA7377"/>
    <w:rsid w:val="00EA7400"/>
    <w:rsid w:val="00EB01DE"/>
    <w:rsid w:val="00EB0DC2"/>
    <w:rsid w:val="00EB0EEE"/>
    <w:rsid w:val="00EB0F27"/>
    <w:rsid w:val="00EB1079"/>
    <w:rsid w:val="00EB17C8"/>
    <w:rsid w:val="00EB1A29"/>
    <w:rsid w:val="00EB1D27"/>
    <w:rsid w:val="00EB1EA1"/>
    <w:rsid w:val="00EB3219"/>
    <w:rsid w:val="00EB35F3"/>
    <w:rsid w:val="00EB3D80"/>
    <w:rsid w:val="00EB3F64"/>
    <w:rsid w:val="00EB4C8C"/>
    <w:rsid w:val="00EB4CC8"/>
    <w:rsid w:val="00EB5116"/>
    <w:rsid w:val="00EB55BE"/>
    <w:rsid w:val="00EB5A77"/>
    <w:rsid w:val="00EB62EE"/>
    <w:rsid w:val="00EB7119"/>
    <w:rsid w:val="00EB7184"/>
    <w:rsid w:val="00EC040D"/>
    <w:rsid w:val="00EC0760"/>
    <w:rsid w:val="00EC0924"/>
    <w:rsid w:val="00EC0A29"/>
    <w:rsid w:val="00EC0AC3"/>
    <w:rsid w:val="00EC0DEB"/>
    <w:rsid w:val="00EC2AC9"/>
    <w:rsid w:val="00EC2CAF"/>
    <w:rsid w:val="00EC2EF2"/>
    <w:rsid w:val="00EC37BF"/>
    <w:rsid w:val="00EC4BFE"/>
    <w:rsid w:val="00EC5597"/>
    <w:rsid w:val="00EC589F"/>
    <w:rsid w:val="00EC5F34"/>
    <w:rsid w:val="00EC61B3"/>
    <w:rsid w:val="00EC641C"/>
    <w:rsid w:val="00EC6A62"/>
    <w:rsid w:val="00EC700D"/>
    <w:rsid w:val="00EC77C9"/>
    <w:rsid w:val="00EC7960"/>
    <w:rsid w:val="00ED03AB"/>
    <w:rsid w:val="00ED0723"/>
    <w:rsid w:val="00ED0A70"/>
    <w:rsid w:val="00ED14D9"/>
    <w:rsid w:val="00ED1527"/>
    <w:rsid w:val="00ED1808"/>
    <w:rsid w:val="00ED185E"/>
    <w:rsid w:val="00ED2B22"/>
    <w:rsid w:val="00ED363A"/>
    <w:rsid w:val="00ED3E7F"/>
    <w:rsid w:val="00ED3FDB"/>
    <w:rsid w:val="00ED4918"/>
    <w:rsid w:val="00ED4A65"/>
    <w:rsid w:val="00ED4C4F"/>
    <w:rsid w:val="00ED6E01"/>
    <w:rsid w:val="00ED7064"/>
    <w:rsid w:val="00ED75A1"/>
    <w:rsid w:val="00ED768F"/>
    <w:rsid w:val="00EE00DF"/>
    <w:rsid w:val="00EE0349"/>
    <w:rsid w:val="00EE09E6"/>
    <w:rsid w:val="00EE0AA7"/>
    <w:rsid w:val="00EE10AA"/>
    <w:rsid w:val="00EE1AF3"/>
    <w:rsid w:val="00EE2110"/>
    <w:rsid w:val="00EE22B4"/>
    <w:rsid w:val="00EE2599"/>
    <w:rsid w:val="00EE267C"/>
    <w:rsid w:val="00EE2D11"/>
    <w:rsid w:val="00EE30D2"/>
    <w:rsid w:val="00EE3487"/>
    <w:rsid w:val="00EE3B86"/>
    <w:rsid w:val="00EE4256"/>
    <w:rsid w:val="00EE48B0"/>
    <w:rsid w:val="00EE58C5"/>
    <w:rsid w:val="00EE5D1F"/>
    <w:rsid w:val="00EE63F1"/>
    <w:rsid w:val="00EE6F49"/>
    <w:rsid w:val="00EE77C5"/>
    <w:rsid w:val="00EE7E00"/>
    <w:rsid w:val="00EF04F7"/>
    <w:rsid w:val="00EF0958"/>
    <w:rsid w:val="00EF0D4B"/>
    <w:rsid w:val="00EF1775"/>
    <w:rsid w:val="00EF17F4"/>
    <w:rsid w:val="00EF20E4"/>
    <w:rsid w:val="00EF28AA"/>
    <w:rsid w:val="00EF5901"/>
    <w:rsid w:val="00EF5F5A"/>
    <w:rsid w:val="00EF62EE"/>
    <w:rsid w:val="00EF66F2"/>
    <w:rsid w:val="00EF69DE"/>
    <w:rsid w:val="00EF77E9"/>
    <w:rsid w:val="00EF7B85"/>
    <w:rsid w:val="00EF7C63"/>
    <w:rsid w:val="00F00D8F"/>
    <w:rsid w:val="00F01067"/>
    <w:rsid w:val="00F0137B"/>
    <w:rsid w:val="00F01CC4"/>
    <w:rsid w:val="00F01DE0"/>
    <w:rsid w:val="00F023FB"/>
    <w:rsid w:val="00F02E78"/>
    <w:rsid w:val="00F0329C"/>
    <w:rsid w:val="00F033B8"/>
    <w:rsid w:val="00F035D4"/>
    <w:rsid w:val="00F03EAB"/>
    <w:rsid w:val="00F04055"/>
    <w:rsid w:val="00F04733"/>
    <w:rsid w:val="00F04918"/>
    <w:rsid w:val="00F04D66"/>
    <w:rsid w:val="00F04E2C"/>
    <w:rsid w:val="00F04ED3"/>
    <w:rsid w:val="00F069A3"/>
    <w:rsid w:val="00F0703B"/>
    <w:rsid w:val="00F07D75"/>
    <w:rsid w:val="00F10104"/>
    <w:rsid w:val="00F104AB"/>
    <w:rsid w:val="00F107AB"/>
    <w:rsid w:val="00F10838"/>
    <w:rsid w:val="00F10E37"/>
    <w:rsid w:val="00F117AB"/>
    <w:rsid w:val="00F117BA"/>
    <w:rsid w:val="00F122BD"/>
    <w:rsid w:val="00F127A3"/>
    <w:rsid w:val="00F1299D"/>
    <w:rsid w:val="00F12F1C"/>
    <w:rsid w:val="00F13E60"/>
    <w:rsid w:val="00F147A9"/>
    <w:rsid w:val="00F14A30"/>
    <w:rsid w:val="00F14C5F"/>
    <w:rsid w:val="00F14EF1"/>
    <w:rsid w:val="00F14FB4"/>
    <w:rsid w:val="00F151DD"/>
    <w:rsid w:val="00F16F49"/>
    <w:rsid w:val="00F17BEE"/>
    <w:rsid w:val="00F17C1A"/>
    <w:rsid w:val="00F17CA3"/>
    <w:rsid w:val="00F20C30"/>
    <w:rsid w:val="00F20C80"/>
    <w:rsid w:val="00F21862"/>
    <w:rsid w:val="00F22477"/>
    <w:rsid w:val="00F22A44"/>
    <w:rsid w:val="00F235A9"/>
    <w:rsid w:val="00F23C36"/>
    <w:rsid w:val="00F2405C"/>
    <w:rsid w:val="00F241AD"/>
    <w:rsid w:val="00F24B91"/>
    <w:rsid w:val="00F24BC8"/>
    <w:rsid w:val="00F24DC0"/>
    <w:rsid w:val="00F258D3"/>
    <w:rsid w:val="00F25BB2"/>
    <w:rsid w:val="00F26022"/>
    <w:rsid w:val="00F261D1"/>
    <w:rsid w:val="00F26432"/>
    <w:rsid w:val="00F26B32"/>
    <w:rsid w:val="00F26C51"/>
    <w:rsid w:val="00F27800"/>
    <w:rsid w:val="00F27970"/>
    <w:rsid w:val="00F27C14"/>
    <w:rsid w:val="00F30058"/>
    <w:rsid w:val="00F30777"/>
    <w:rsid w:val="00F3111A"/>
    <w:rsid w:val="00F3140E"/>
    <w:rsid w:val="00F3191E"/>
    <w:rsid w:val="00F31925"/>
    <w:rsid w:val="00F325E2"/>
    <w:rsid w:val="00F32E30"/>
    <w:rsid w:val="00F333CA"/>
    <w:rsid w:val="00F33CA5"/>
    <w:rsid w:val="00F33FD7"/>
    <w:rsid w:val="00F3403A"/>
    <w:rsid w:val="00F3432C"/>
    <w:rsid w:val="00F34CA8"/>
    <w:rsid w:val="00F34FBE"/>
    <w:rsid w:val="00F35BC3"/>
    <w:rsid w:val="00F375F1"/>
    <w:rsid w:val="00F37AED"/>
    <w:rsid w:val="00F37C4D"/>
    <w:rsid w:val="00F415D6"/>
    <w:rsid w:val="00F41787"/>
    <w:rsid w:val="00F41AE3"/>
    <w:rsid w:val="00F41BBF"/>
    <w:rsid w:val="00F426BF"/>
    <w:rsid w:val="00F4283F"/>
    <w:rsid w:val="00F428F5"/>
    <w:rsid w:val="00F42B18"/>
    <w:rsid w:val="00F437D0"/>
    <w:rsid w:val="00F43A13"/>
    <w:rsid w:val="00F43AF8"/>
    <w:rsid w:val="00F44639"/>
    <w:rsid w:val="00F44A2D"/>
    <w:rsid w:val="00F45517"/>
    <w:rsid w:val="00F45A7C"/>
    <w:rsid w:val="00F45B34"/>
    <w:rsid w:val="00F45CEE"/>
    <w:rsid w:val="00F45F7B"/>
    <w:rsid w:val="00F4696F"/>
    <w:rsid w:val="00F47613"/>
    <w:rsid w:val="00F501B3"/>
    <w:rsid w:val="00F5021C"/>
    <w:rsid w:val="00F505D2"/>
    <w:rsid w:val="00F523E8"/>
    <w:rsid w:val="00F52A2A"/>
    <w:rsid w:val="00F53422"/>
    <w:rsid w:val="00F53B0F"/>
    <w:rsid w:val="00F53CCA"/>
    <w:rsid w:val="00F54068"/>
    <w:rsid w:val="00F54414"/>
    <w:rsid w:val="00F54B60"/>
    <w:rsid w:val="00F55062"/>
    <w:rsid w:val="00F55C3B"/>
    <w:rsid w:val="00F55D3F"/>
    <w:rsid w:val="00F56A69"/>
    <w:rsid w:val="00F57693"/>
    <w:rsid w:val="00F61283"/>
    <w:rsid w:val="00F61316"/>
    <w:rsid w:val="00F617A4"/>
    <w:rsid w:val="00F619F7"/>
    <w:rsid w:val="00F61E17"/>
    <w:rsid w:val="00F6292F"/>
    <w:rsid w:val="00F6314A"/>
    <w:rsid w:val="00F63613"/>
    <w:rsid w:val="00F63E9A"/>
    <w:rsid w:val="00F64B16"/>
    <w:rsid w:val="00F64C95"/>
    <w:rsid w:val="00F6501C"/>
    <w:rsid w:val="00F67265"/>
    <w:rsid w:val="00F708D0"/>
    <w:rsid w:val="00F71117"/>
    <w:rsid w:val="00F71345"/>
    <w:rsid w:val="00F71761"/>
    <w:rsid w:val="00F73209"/>
    <w:rsid w:val="00F744BE"/>
    <w:rsid w:val="00F7472D"/>
    <w:rsid w:val="00F74CB0"/>
    <w:rsid w:val="00F75553"/>
    <w:rsid w:val="00F75813"/>
    <w:rsid w:val="00F75D0A"/>
    <w:rsid w:val="00F7643A"/>
    <w:rsid w:val="00F76CD6"/>
    <w:rsid w:val="00F77031"/>
    <w:rsid w:val="00F7758E"/>
    <w:rsid w:val="00F7783E"/>
    <w:rsid w:val="00F802CF"/>
    <w:rsid w:val="00F8048F"/>
    <w:rsid w:val="00F805AC"/>
    <w:rsid w:val="00F8134B"/>
    <w:rsid w:val="00F81B1B"/>
    <w:rsid w:val="00F81B33"/>
    <w:rsid w:val="00F81B59"/>
    <w:rsid w:val="00F82D9D"/>
    <w:rsid w:val="00F832FC"/>
    <w:rsid w:val="00F83350"/>
    <w:rsid w:val="00F8386B"/>
    <w:rsid w:val="00F8397B"/>
    <w:rsid w:val="00F83D75"/>
    <w:rsid w:val="00F8591A"/>
    <w:rsid w:val="00F86387"/>
    <w:rsid w:val="00F8652A"/>
    <w:rsid w:val="00F86E93"/>
    <w:rsid w:val="00F878A0"/>
    <w:rsid w:val="00F878B3"/>
    <w:rsid w:val="00F87F1B"/>
    <w:rsid w:val="00F9015E"/>
    <w:rsid w:val="00F91BCF"/>
    <w:rsid w:val="00F92DAD"/>
    <w:rsid w:val="00F92FD3"/>
    <w:rsid w:val="00F9398C"/>
    <w:rsid w:val="00F93B34"/>
    <w:rsid w:val="00F93FA4"/>
    <w:rsid w:val="00F944AC"/>
    <w:rsid w:val="00F9450C"/>
    <w:rsid w:val="00F95FDD"/>
    <w:rsid w:val="00F97028"/>
    <w:rsid w:val="00F97110"/>
    <w:rsid w:val="00F97398"/>
    <w:rsid w:val="00F97541"/>
    <w:rsid w:val="00F97C5D"/>
    <w:rsid w:val="00FA003F"/>
    <w:rsid w:val="00FA0F76"/>
    <w:rsid w:val="00FA1621"/>
    <w:rsid w:val="00FA21B9"/>
    <w:rsid w:val="00FA2974"/>
    <w:rsid w:val="00FA30A8"/>
    <w:rsid w:val="00FA3C63"/>
    <w:rsid w:val="00FA48BA"/>
    <w:rsid w:val="00FA4E20"/>
    <w:rsid w:val="00FA4F1B"/>
    <w:rsid w:val="00FA50B4"/>
    <w:rsid w:val="00FA62BD"/>
    <w:rsid w:val="00FA63A4"/>
    <w:rsid w:val="00FA6651"/>
    <w:rsid w:val="00FA6707"/>
    <w:rsid w:val="00FA6FF0"/>
    <w:rsid w:val="00FA73E8"/>
    <w:rsid w:val="00FA7C98"/>
    <w:rsid w:val="00FA7E48"/>
    <w:rsid w:val="00FB020D"/>
    <w:rsid w:val="00FB0345"/>
    <w:rsid w:val="00FB03E7"/>
    <w:rsid w:val="00FB0898"/>
    <w:rsid w:val="00FB0B8D"/>
    <w:rsid w:val="00FB1634"/>
    <w:rsid w:val="00FB193F"/>
    <w:rsid w:val="00FB1E82"/>
    <w:rsid w:val="00FB2838"/>
    <w:rsid w:val="00FB2897"/>
    <w:rsid w:val="00FB2F08"/>
    <w:rsid w:val="00FB305E"/>
    <w:rsid w:val="00FB32BF"/>
    <w:rsid w:val="00FB4933"/>
    <w:rsid w:val="00FB4A77"/>
    <w:rsid w:val="00FB5AAC"/>
    <w:rsid w:val="00FB5C47"/>
    <w:rsid w:val="00FB6664"/>
    <w:rsid w:val="00FB6C64"/>
    <w:rsid w:val="00FB6FF5"/>
    <w:rsid w:val="00FB7057"/>
    <w:rsid w:val="00FB70E0"/>
    <w:rsid w:val="00FB73CA"/>
    <w:rsid w:val="00FB74A9"/>
    <w:rsid w:val="00FB7940"/>
    <w:rsid w:val="00FB79A3"/>
    <w:rsid w:val="00FC17BA"/>
    <w:rsid w:val="00FC276C"/>
    <w:rsid w:val="00FC29BE"/>
    <w:rsid w:val="00FC32BF"/>
    <w:rsid w:val="00FC3ABE"/>
    <w:rsid w:val="00FC4419"/>
    <w:rsid w:val="00FC45AB"/>
    <w:rsid w:val="00FC49F9"/>
    <w:rsid w:val="00FC5866"/>
    <w:rsid w:val="00FC5A80"/>
    <w:rsid w:val="00FC654F"/>
    <w:rsid w:val="00FC73D1"/>
    <w:rsid w:val="00FC7D3A"/>
    <w:rsid w:val="00FD05EC"/>
    <w:rsid w:val="00FD0C16"/>
    <w:rsid w:val="00FD2204"/>
    <w:rsid w:val="00FD2882"/>
    <w:rsid w:val="00FD3328"/>
    <w:rsid w:val="00FD39F7"/>
    <w:rsid w:val="00FD3A9A"/>
    <w:rsid w:val="00FD3BA4"/>
    <w:rsid w:val="00FD3D51"/>
    <w:rsid w:val="00FD3FA7"/>
    <w:rsid w:val="00FD4172"/>
    <w:rsid w:val="00FD5059"/>
    <w:rsid w:val="00FD5061"/>
    <w:rsid w:val="00FD5629"/>
    <w:rsid w:val="00FD5D5D"/>
    <w:rsid w:val="00FD5FED"/>
    <w:rsid w:val="00FD64DE"/>
    <w:rsid w:val="00FD6A15"/>
    <w:rsid w:val="00FD6D4F"/>
    <w:rsid w:val="00FD6E97"/>
    <w:rsid w:val="00FD70A8"/>
    <w:rsid w:val="00FD7120"/>
    <w:rsid w:val="00FD788B"/>
    <w:rsid w:val="00FD7979"/>
    <w:rsid w:val="00FD7D9A"/>
    <w:rsid w:val="00FE00D4"/>
    <w:rsid w:val="00FE06D3"/>
    <w:rsid w:val="00FE0FED"/>
    <w:rsid w:val="00FE108D"/>
    <w:rsid w:val="00FE1C54"/>
    <w:rsid w:val="00FE1D9B"/>
    <w:rsid w:val="00FE367C"/>
    <w:rsid w:val="00FE4ED1"/>
    <w:rsid w:val="00FE4F75"/>
    <w:rsid w:val="00FE61CE"/>
    <w:rsid w:val="00FE7206"/>
    <w:rsid w:val="00FE7527"/>
    <w:rsid w:val="00FE76FE"/>
    <w:rsid w:val="00FE7A16"/>
    <w:rsid w:val="00FE7A7A"/>
    <w:rsid w:val="00FF0D68"/>
    <w:rsid w:val="00FF11FF"/>
    <w:rsid w:val="00FF1BF9"/>
    <w:rsid w:val="00FF1C57"/>
    <w:rsid w:val="00FF2AAE"/>
    <w:rsid w:val="00FF321A"/>
    <w:rsid w:val="00FF33AD"/>
    <w:rsid w:val="00FF343B"/>
    <w:rsid w:val="00FF37E6"/>
    <w:rsid w:val="00FF3994"/>
    <w:rsid w:val="00FF3C31"/>
    <w:rsid w:val="00FF4141"/>
    <w:rsid w:val="00FF45D4"/>
    <w:rsid w:val="00FF492B"/>
    <w:rsid w:val="00FF4AF3"/>
    <w:rsid w:val="00FF50A5"/>
    <w:rsid w:val="00FF6231"/>
    <w:rsid w:val="00FF634A"/>
    <w:rsid w:val="00FF640C"/>
    <w:rsid w:val="00FF6903"/>
    <w:rsid w:val="00FF713A"/>
    <w:rsid w:val="01541B39"/>
    <w:rsid w:val="01610122"/>
    <w:rsid w:val="0167398B"/>
    <w:rsid w:val="01B36BD0"/>
    <w:rsid w:val="01D534A6"/>
    <w:rsid w:val="01EC3E90"/>
    <w:rsid w:val="01F3521E"/>
    <w:rsid w:val="023F0A87"/>
    <w:rsid w:val="02AD361F"/>
    <w:rsid w:val="02C24AC1"/>
    <w:rsid w:val="02CE3596"/>
    <w:rsid w:val="02E57CDF"/>
    <w:rsid w:val="02FA25DD"/>
    <w:rsid w:val="02FA438B"/>
    <w:rsid w:val="030516AD"/>
    <w:rsid w:val="03174F3D"/>
    <w:rsid w:val="03253AFD"/>
    <w:rsid w:val="03525F75"/>
    <w:rsid w:val="03675EC4"/>
    <w:rsid w:val="038D51FF"/>
    <w:rsid w:val="03C76963"/>
    <w:rsid w:val="03DB240E"/>
    <w:rsid w:val="03DD62BB"/>
    <w:rsid w:val="03E31491"/>
    <w:rsid w:val="03FE7EAB"/>
    <w:rsid w:val="03FF434E"/>
    <w:rsid w:val="04043713"/>
    <w:rsid w:val="04310280"/>
    <w:rsid w:val="04684643"/>
    <w:rsid w:val="04806B11"/>
    <w:rsid w:val="04826D2E"/>
    <w:rsid w:val="049820AD"/>
    <w:rsid w:val="04A70542"/>
    <w:rsid w:val="04BA64C7"/>
    <w:rsid w:val="051E25B2"/>
    <w:rsid w:val="05241B93"/>
    <w:rsid w:val="05504736"/>
    <w:rsid w:val="056401E1"/>
    <w:rsid w:val="056621AB"/>
    <w:rsid w:val="05880374"/>
    <w:rsid w:val="05A86320"/>
    <w:rsid w:val="05B71FA9"/>
    <w:rsid w:val="05D3012A"/>
    <w:rsid w:val="05DD06BF"/>
    <w:rsid w:val="05DF682E"/>
    <w:rsid w:val="05EC6528"/>
    <w:rsid w:val="05F257ED"/>
    <w:rsid w:val="05FB0B46"/>
    <w:rsid w:val="0616597F"/>
    <w:rsid w:val="06810789"/>
    <w:rsid w:val="06897EFF"/>
    <w:rsid w:val="06CB676A"/>
    <w:rsid w:val="06DE46EF"/>
    <w:rsid w:val="06E2755D"/>
    <w:rsid w:val="06E45A7E"/>
    <w:rsid w:val="07043A2A"/>
    <w:rsid w:val="071F0B61"/>
    <w:rsid w:val="0721638A"/>
    <w:rsid w:val="07636786"/>
    <w:rsid w:val="07AC659B"/>
    <w:rsid w:val="07B76CEE"/>
    <w:rsid w:val="07CD6512"/>
    <w:rsid w:val="07D17DB0"/>
    <w:rsid w:val="07F7533D"/>
    <w:rsid w:val="081303C8"/>
    <w:rsid w:val="0822685D"/>
    <w:rsid w:val="08362309"/>
    <w:rsid w:val="085602B5"/>
    <w:rsid w:val="08607386"/>
    <w:rsid w:val="086F75C9"/>
    <w:rsid w:val="0885365D"/>
    <w:rsid w:val="089003ED"/>
    <w:rsid w:val="08DF64FD"/>
    <w:rsid w:val="08EB6C4F"/>
    <w:rsid w:val="09000350"/>
    <w:rsid w:val="09176BE3"/>
    <w:rsid w:val="094620D8"/>
    <w:rsid w:val="09540C99"/>
    <w:rsid w:val="09772BD9"/>
    <w:rsid w:val="097C60B7"/>
    <w:rsid w:val="0992531D"/>
    <w:rsid w:val="09B060FC"/>
    <w:rsid w:val="09B53677"/>
    <w:rsid w:val="09D04097"/>
    <w:rsid w:val="09D41DD9"/>
    <w:rsid w:val="09E71B0D"/>
    <w:rsid w:val="09FD2EFE"/>
    <w:rsid w:val="0A397E8E"/>
    <w:rsid w:val="0A4578BB"/>
    <w:rsid w:val="0A6D18E6"/>
    <w:rsid w:val="0A8A31AE"/>
    <w:rsid w:val="0AE0030A"/>
    <w:rsid w:val="0AFA02DB"/>
    <w:rsid w:val="0B1924F2"/>
    <w:rsid w:val="0B1D55F8"/>
    <w:rsid w:val="0B2B3C7B"/>
    <w:rsid w:val="0BA006BB"/>
    <w:rsid w:val="0BA13F3D"/>
    <w:rsid w:val="0BA912E8"/>
    <w:rsid w:val="0BEA1B79"/>
    <w:rsid w:val="0BF978D5"/>
    <w:rsid w:val="0C0E2057"/>
    <w:rsid w:val="0C104B25"/>
    <w:rsid w:val="0C2F21A2"/>
    <w:rsid w:val="0C6531BD"/>
    <w:rsid w:val="0CAF61E6"/>
    <w:rsid w:val="0CBB4B8B"/>
    <w:rsid w:val="0D110C4F"/>
    <w:rsid w:val="0D2564A8"/>
    <w:rsid w:val="0D681925"/>
    <w:rsid w:val="0D8633EB"/>
    <w:rsid w:val="0D9E6986"/>
    <w:rsid w:val="0DAF6CC4"/>
    <w:rsid w:val="0DBE2B84"/>
    <w:rsid w:val="0DBF68FD"/>
    <w:rsid w:val="0DDC125D"/>
    <w:rsid w:val="0DE56467"/>
    <w:rsid w:val="0DED346A"/>
    <w:rsid w:val="0DF5553B"/>
    <w:rsid w:val="0E4312DC"/>
    <w:rsid w:val="0E5928AD"/>
    <w:rsid w:val="0E5C5A3F"/>
    <w:rsid w:val="0EE859DF"/>
    <w:rsid w:val="0EEE7499"/>
    <w:rsid w:val="0EF43EAD"/>
    <w:rsid w:val="0F2B249C"/>
    <w:rsid w:val="0F383DFF"/>
    <w:rsid w:val="0F4C0664"/>
    <w:rsid w:val="0F4E7F38"/>
    <w:rsid w:val="0F78444B"/>
    <w:rsid w:val="0FB0474F"/>
    <w:rsid w:val="0FDF6DE2"/>
    <w:rsid w:val="10036F74"/>
    <w:rsid w:val="10190546"/>
    <w:rsid w:val="10234F21"/>
    <w:rsid w:val="10321608"/>
    <w:rsid w:val="106317C1"/>
    <w:rsid w:val="10D26947"/>
    <w:rsid w:val="10E741A0"/>
    <w:rsid w:val="10FD1C16"/>
    <w:rsid w:val="11056D1C"/>
    <w:rsid w:val="110E1F50"/>
    <w:rsid w:val="111E393A"/>
    <w:rsid w:val="113118BF"/>
    <w:rsid w:val="11405FA6"/>
    <w:rsid w:val="11496C09"/>
    <w:rsid w:val="115A1B44"/>
    <w:rsid w:val="11621A79"/>
    <w:rsid w:val="11691059"/>
    <w:rsid w:val="118C2F9A"/>
    <w:rsid w:val="11A55E09"/>
    <w:rsid w:val="11B26D50"/>
    <w:rsid w:val="11C76995"/>
    <w:rsid w:val="11CF1B13"/>
    <w:rsid w:val="11D16BFE"/>
    <w:rsid w:val="11DB13CD"/>
    <w:rsid w:val="11ED028C"/>
    <w:rsid w:val="11F823DD"/>
    <w:rsid w:val="11FC5168"/>
    <w:rsid w:val="11FD79F3"/>
    <w:rsid w:val="120B1A55"/>
    <w:rsid w:val="12107727"/>
    <w:rsid w:val="12465803"/>
    <w:rsid w:val="12483364"/>
    <w:rsid w:val="126B2BAF"/>
    <w:rsid w:val="127001C5"/>
    <w:rsid w:val="127128F3"/>
    <w:rsid w:val="12720067"/>
    <w:rsid w:val="127F665A"/>
    <w:rsid w:val="129151CC"/>
    <w:rsid w:val="12921DA3"/>
    <w:rsid w:val="12A3059B"/>
    <w:rsid w:val="12A32349"/>
    <w:rsid w:val="12D469A6"/>
    <w:rsid w:val="12F341E9"/>
    <w:rsid w:val="131C2708"/>
    <w:rsid w:val="132D4308"/>
    <w:rsid w:val="13357DBD"/>
    <w:rsid w:val="134D2DC4"/>
    <w:rsid w:val="1356358F"/>
    <w:rsid w:val="13925E00"/>
    <w:rsid w:val="13963C5C"/>
    <w:rsid w:val="13A23802"/>
    <w:rsid w:val="13D216FE"/>
    <w:rsid w:val="13D701AD"/>
    <w:rsid w:val="13E96481"/>
    <w:rsid w:val="141F6841"/>
    <w:rsid w:val="143D1736"/>
    <w:rsid w:val="144E4536"/>
    <w:rsid w:val="148B7538"/>
    <w:rsid w:val="14991C55"/>
    <w:rsid w:val="14B4083D"/>
    <w:rsid w:val="14C33A41"/>
    <w:rsid w:val="14D902A4"/>
    <w:rsid w:val="15396F94"/>
    <w:rsid w:val="154D47EE"/>
    <w:rsid w:val="15545B7C"/>
    <w:rsid w:val="15610299"/>
    <w:rsid w:val="15664AE6"/>
    <w:rsid w:val="157306F8"/>
    <w:rsid w:val="15787ABD"/>
    <w:rsid w:val="15B605E5"/>
    <w:rsid w:val="15CA22E2"/>
    <w:rsid w:val="15D53161"/>
    <w:rsid w:val="15D77522"/>
    <w:rsid w:val="160E21CF"/>
    <w:rsid w:val="1610423F"/>
    <w:rsid w:val="162478EF"/>
    <w:rsid w:val="16691AFB"/>
    <w:rsid w:val="167A22F6"/>
    <w:rsid w:val="16A50D85"/>
    <w:rsid w:val="16A86B95"/>
    <w:rsid w:val="16BE59A3"/>
    <w:rsid w:val="16D276A1"/>
    <w:rsid w:val="16EA2C3C"/>
    <w:rsid w:val="16F413C5"/>
    <w:rsid w:val="16FB6BF7"/>
    <w:rsid w:val="1726179A"/>
    <w:rsid w:val="17365E81"/>
    <w:rsid w:val="174A5489"/>
    <w:rsid w:val="174B2FAF"/>
    <w:rsid w:val="17780248"/>
    <w:rsid w:val="17894A4B"/>
    <w:rsid w:val="178F5592"/>
    <w:rsid w:val="17CD1504"/>
    <w:rsid w:val="17CF598E"/>
    <w:rsid w:val="18512847"/>
    <w:rsid w:val="186D58D3"/>
    <w:rsid w:val="187622AE"/>
    <w:rsid w:val="187A617C"/>
    <w:rsid w:val="189F7A56"/>
    <w:rsid w:val="18A46E1B"/>
    <w:rsid w:val="18B54B84"/>
    <w:rsid w:val="18CA3FC8"/>
    <w:rsid w:val="18F56B0E"/>
    <w:rsid w:val="18F74BB4"/>
    <w:rsid w:val="19037FE5"/>
    <w:rsid w:val="190F4039"/>
    <w:rsid w:val="19340696"/>
    <w:rsid w:val="194A79C2"/>
    <w:rsid w:val="195A1751"/>
    <w:rsid w:val="196B7938"/>
    <w:rsid w:val="199C7AF2"/>
    <w:rsid w:val="19B260C7"/>
    <w:rsid w:val="1A0538E9"/>
    <w:rsid w:val="1A0758B3"/>
    <w:rsid w:val="1A58610F"/>
    <w:rsid w:val="1A6C6FD6"/>
    <w:rsid w:val="1A6F7871"/>
    <w:rsid w:val="1A733B7D"/>
    <w:rsid w:val="1A967EBE"/>
    <w:rsid w:val="1AC00251"/>
    <w:rsid w:val="1AE2585D"/>
    <w:rsid w:val="1AF8344E"/>
    <w:rsid w:val="1B0B13D3"/>
    <w:rsid w:val="1B27162C"/>
    <w:rsid w:val="1B46065D"/>
    <w:rsid w:val="1B4A3CA9"/>
    <w:rsid w:val="1B522B5E"/>
    <w:rsid w:val="1B5A7C65"/>
    <w:rsid w:val="1B6D1746"/>
    <w:rsid w:val="1B6D7998"/>
    <w:rsid w:val="1B9B61B6"/>
    <w:rsid w:val="1BD65C04"/>
    <w:rsid w:val="1BF6798D"/>
    <w:rsid w:val="1CA373A1"/>
    <w:rsid w:val="1CA7512B"/>
    <w:rsid w:val="1CB17D58"/>
    <w:rsid w:val="1CB6536F"/>
    <w:rsid w:val="1CCB1018"/>
    <w:rsid w:val="1CD557F5"/>
    <w:rsid w:val="1CE8332D"/>
    <w:rsid w:val="1CF55E97"/>
    <w:rsid w:val="1D4209B0"/>
    <w:rsid w:val="1D641BF0"/>
    <w:rsid w:val="1D795F19"/>
    <w:rsid w:val="1D7C2114"/>
    <w:rsid w:val="1DBF5BDB"/>
    <w:rsid w:val="1DD57AFB"/>
    <w:rsid w:val="1E0B5D9D"/>
    <w:rsid w:val="1E1D56A5"/>
    <w:rsid w:val="1E272254"/>
    <w:rsid w:val="1E6A4C4C"/>
    <w:rsid w:val="1E7601ED"/>
    <w:rsid w:val="1E876FC3"/>
    <w:rsid w:val="1E933D00"/>
    <w:rsid w:val="1EAD618A"/>
    <w:rsid w:val="1EB678A8"/>
    <w:rsid w:val="1EC73863"/>
    <w:rsid w:val="1ECB1A04"/>
    <w:rsid w:val="1EE203E4"/>
    <w:rsid w:val="1EEC5078"/>
    <w:rsid w:val="1EFB31D4"/>
    <w:rsid w:val="1F51312D"/>
    <w:rsid w:val="1F7E03C6"/>
    <w:rsid w:val="1F950F0E"/>
    <w:rsid w:val="1FC658C9"/>
    <w:rsid w:val="1FE168F0"/>
    <w:rsid w:val="1FF32104"/>
    <w:rsid w:val="20007812"/>
    <w:rsid w:val="200B5929"/>
    <w:rsid w:val="2027280B"/>
    <w:rsid w:val="20337402"/>
    <w:rsid w:val="203B0065"/>
    <w:rsid w:val="20722C6F"/>
    <w:rsid w:val="209D0D1F"/>
    <w:rsid w:val="20A774A8"/>
    <w:rsid w:val="20B1688F"/>
    <w:rsid w:val="20D14525"/>
    <w:rsid w:val="20EC75B1"/>
    <w:rsid w:val="20EE50D7"/>
    <w:rsid w:val="21093CBF"/>
    <w:rsid w:val="21494A03"/>
    <w:rsid w:val="214E201A"/>
    <w:rsid w:val="216655B5"/>
    <w:rsid w:val="217F0425"/>
    <w:rsid w:val="2188552B"/>
    <w:rsid w:val="218D2B42"/>
    <w:rsid w:val="218E2416"/>
    <w:rsid w:val="21A10EA0"/>
    <w:rsid w:val="21DA565B"/>
    <w:rsid w:val="22140B6D"/>
    <w:rsid w:val="221E7C3E"/>
    <w:rsid w:val="222A0391"/>
    <w:rsid w:val="22513B6F"/>
    <w:rsid w:val="22600256"/>
    <w:rsid w:val="226A2E83"/>
    <w:rsid w:val="229D6DB5"/>
    <w:rsid w:val="22B42350"/>
    <w:rsid w:val="22DE117B"/>
    <w:rsid w:val="22F4274D"/>
    <w:rsid w:val="230010F2"/>
    <w:rsid w:val="231B1FF6"/>
    <w:rsid w:val="23582CDC"/>
    <w:rsid w:val="2369138D"/>
    <w:rsid w:val="23A75A11"/>
    <w:rsid w:val="23AB72AF"/>
    <w:rsid w:val="23B87C1E"/>
    <w:rsid w:val="23BC326A"/>
    <w:rsid w:val="23D83E1C"/>
    <w:rsid w:val="23E629DD"/>
    <w:rsid w:val="23E74394"/>
    <w:rsid w:val="23F56FD8"/>
    <w:rsid w:val="240F5A90"/>
    <w:rsid w:val="24376272"/>
    <w:rsid w:val="24466FD8"/>
    <w:rsid w:val="24664CF5"/>
    <w:rsid w:val="24BB79C6"/>
    <w:rsid w:val="24C1278D"/>
    <w:rsid w:val="24F92191"/>
    <w:rsid w:val="253634F0"/>
    <w:rsid w:val="253F4153"/>
    <w:rsid w:val="256B13EC"/>
    <w:rsid w:val="259F4BF2"/>
    <w:rsid w:val="25B13071"/>
    <w:rsid w:val="25BC3478"/>
    <w:rsid w:val="25DC0DBB"/>
    <w:rsid w:val="260E3B25"/>
    <w:rsid w:val="261D1FBA"/>
    <w:rsid w:val="262275D1"/>
    <w:rsid w:val="26526108"/>
    <w:rsid w:val="269C3827"/>
    <w:rsid w:val="26A526DC"/>
    <w:rsid w:val="26A928E8"/>
    <w:rsid w:val="26E42C82"/>
    <w:rsid w:val="270555A6"/>
    <w:rsid w:val="272C4BAB"/>
    <w:rsid w:val="272E0923"/>
    <w:rsid w:val="274912B9"/>
    <w:rsid w:val="27750300"/>
    <w:rsid w:val="278E4F1E"/>
    <w:rsid w:val="27CE17BE"/>
    <w:rsid w:val="27D33279"/>
    <w:rsid w:val="27EB4249"/>
    <w:rsid w:val="28094EEC"/>
    <w:rsid w:val="282835C4"/>
    <w:rsid w:val="282D0BDB"/>
    <w:rsid w:val="28377363"/>
    <w:rsid w:val="285A547F"/>
    <w:rsid w:val="28697739"/>
    <w:rsid w:val="28943332"/>
    <w:rsid w:val="28976054"/>
    <w:rsid w:val="28C93E58"/>
    <w:rsid w:val="293E4722"/>
    <w:rsid w:val="29515891"/>
    <w:rsid w:val="297445E7"/>
    <w:rsid w:val="29910CF5"/>
    <w:rsid w:val="29A273A6"/>
    <w:rsid w:val="29AF20CB"/>
    <w:rsid w:val="29DB3E72"/>
    <w:rsid w:val="2A1A0CEB"/>
    <w:rsid w:val="2A24600D"/>
    <w:rsid w:val="2A3C3357"/>
    <w:rsid w:val="2AAF0DD7"/>
    <w:rsid w:val="2AB90504"/>
    <w:rsid w:val="2AC5334C"/>
    <w:rsid w:val="2AD01CF1"/>
    <w:rsid w:val="2B0C0F7B"/>
    <w:rsid w:val="2B430715"/>
    <w:rsid w:val="2B606BD1"/>
    <w:rsid w:val="2B905372"/>
    <w:rsid w:val="2B9C1F40"/>
    <w:rsid w:val="2BA42D46"/>
    <w:rsid w:val="2C1F62D1"/>
    <w:rsid w:val="2C4B7881"/>
    <w:rsid w:val="2C6E3570"/>
    <w:rsid w:val="2C716146"/>
    <w:rsid w:val="2CC31B0E"/>
    <w:rsid w:val="2CD86C3B"/>
    <w:rsid w:val="2CF77A09"/>
    <w:rsid w:val="2D0D4B37"/>
    <w:rsid w:val="2D1B54A6"/>
    <w:rsid w:val="2D8A262B"/>
    <w:rsid w:val="2D973E05"/>
    <w:rsid w:val="2DA336ED"/>
    <w:rsid w:val="2DB87198"/>
    <w:rsid w:val="2DE24215"/>
    <w:rsid w:val="2DE25FC3"/>
    <w:rsid w:val="2DF47AA5"/>
    <w:rsid w:val="2E073C7C"/>
    <w:rsid w:val="2E0E500A"/>
    <w:rsid w:val="2E163EBF"/>
    <w:rsid w:val="2E274250"/>
    <w:rsid w:val="2E456552"/>
    <w:rsid w:val="2E560BBA"/>
    <w:rsid w:val="2E954DE4"/>
    <w:rsid w:val="2ED0406E"/>
    <w:rsid w:val="2EDC4AA8"/>
    <w:rsid w:val="2EDE49DD"/>
    <w:rsid w:val="2F05640D"/>
    <w:rsid w:val="2F0A66A0"/>
    <w:rsid w:val="2F2820FC"/>
    <w:rsid w:val="2F642A08"/>
    <w:rsid w:val="2F686C4D"/>
    <w:rsid w:val="2F740E9D"/>
    <w:rsid w:val="2F794705"/>
    <w:rsid w:val="2F9439A3"/>
    <w:rsid w:val="2FAD2601"/>
    <w:rsid w:val="2FC8743B"/>
    <w:rsid w:val="2FE31B3C"/>
    <w:rsid w:val="2FE57FED"/>
    <w:rsid w:val="2FF7387C"/>
    <w:rsid w:val="3014379F"/>
    <w:rsid w:val="303D3985"/>
    <w:rsid w:val="30817D16"/>
    <w:rsid w:val="308C66BA"/>
    <w:rsid w:val="30915A7F"/>
    <w:rsid w:val="30A027B7"/>
    <w:rsid w:val="30C916BD"/>
    <w:rsid w:val="30D631FF"/>
    <w:rsid w:val="30E3452C"/>
    <w:rsid w:val="30E43E01"/>
    <w:rsid w:val="310224D9"/>
    <w:rsid w:val="311E37B6"/>
    <w:rsid w:val="313703D4"/>
    <w:rsid w:val="31807FCD"/>
    <w:rsid w:val="31853836"/>
    <w:rsid w:val="31972DE2"/>
    <w:rsid w:val="31992E3D"/>
    <w:rsid w:val="31C837D6"/>
    <w:rsid w:val="31CF685F"/>
    <w:rsid w:val="31DB5204"/>
    <w:rsid w:val="31E74D13"/>
    <w:rsid w:val="31F91B2E"/>
    <w:rsid w:val="31F92D57"/>
    <w:rsid w:val="32074A52"/>
    <w:rsid w:val="322D17D7"/>
    <w:rsid w:val="324428B2"/>
    <w:rsid w:val="3251196A"/>
    <w:rsid w:val="326C2B28"/>
    <w:rsid w:val="32925978"/>
    <w:rsid w:val="32D22AAA"/>
    <w:rsid w:val="32E12CEE"/>
    <w:rsid w:val="33332E1D"/>
    <w:rsid w:val="336F02F9"/>
    <w:rsid w:val="33B02852"/>
    <w:rsid w:val="33D14EB8"/>
    <w:rsid w:val="33FB577B"/>
    <w:rsid w:val="34272982"/>
    <w:rsid w:val="34572B3B"/>
    <w:rsid w:val="34652711"/>
    <w:rsid w:val="34AB0137"/>
    <w:rsid w:val="34BF51F2"/>
    <w:rsid w:val="34E46AC5"/>
    <w:rsid w:val="34EF09E3"/>
    <w:rsid w:val="34F14D3E"/>
    <w:rsid w:val="34F43BD5"/>
    <w:rsid w:val="351729F7"/>
    <w:rsid w:val="35245113"/>
    <w:rsid w:val="353C34D4"/>
    <w:rsid w:val="35494B7A"/>
    <w:rsid w:val="354C01C6"/>
    <w:rsid w:val="35611EC4"/>
    <w:rsid w:val="35675000"/>
    <w:rsid w:val="35727C2D"/>
    <w:rsid w:val="35814314"/>
    <w:rsid w:val="35832941"/>
    <w:rsid w:val="35931348"/>
    <w:rsid w:val="359E6C74"/>
    <w:rsid w:val="35A37AA1"/>
    <w:rsid w:val="35B67ECC"/>
    <w:rsid w:val="35CB37E1"/>
    <w:rsid w:val="35E825E5"/>
    <w:rsid w:val="363865D4"/>
    <w:rsid w:val="365612FD"/>
    <w:rsid w:val="3667175C"/>
    <w:rsid w:val="36681030"/>
    <w:rsid w:val="36694C9E"/>
    <w:rsid w:val="3687595A"/>
    <w:rsid w:val="36B14785"/>
    <w:rsid w:val="36EF1119"/>
    <w:rsid w:val="36FD3E6E"/>
    <w:rsid w:val="37180CA8"/>
    <w:rsid w:val="37483A71"/>
    <w:rsid w:val="374B5143"/>
    <w:rsid w:val="37645C9B"/>
    <w:rsid w:val="378F1FAB"/>
    <w:rsid w:val="37A46FEF"/>
    <w:rsid w:val="37C16C4A"/>
    <w:rsid w:val="37E312B6"/>
    <w:rsid w:val="38064EF8"/>
    <w:rsid w:val="38194CD8"/>
    <w:rsid w:val="381E5E4A"/>
    <w:rsid w:val="38207E14"/>
    <w:rsid w:val="3843545B"/>
    <w:rsid w:val="38511477"/>
    <w:rsid w:val="38521F98"/>
    <w:rsid w:val="38545D10"/>
    <w:rsid w:val="385E26EA"/>
    <w:rsid w:val="38613F89"/>
    <w:rsid w:val="386C12AB"/>
    <w:rsid w:val="387D5266"/>
    <w:rsid w:val="38D155B2"/>
    <w:rsid w:val="38E52E0C"/>
    <w:rsid w:val="38E726E0"/>
    <w:rsid w:val="38F44D1F"/>
    <w:rsid w:val="3934169D"/>
    <w:rsid w:val="39627FB8"/>
    <w:rsid w:val="39810D86"/>
    <w:rsid w:val="398203AB"/>
    <w:rsid w:val="39C12F31"/>
    <w:rsid w:val="3A080B60"/>
    <w:rsid w:val="3A10210A"/>
    <w:rsid w:val="3A137505"/>
    <w:rsid w:val="3A4122C4"/>
    <w:rsid w:val="3A466A7B"/>
    <w:rsid w:val="3A4A73CA"/>
    <w:rsid w:val="3A9E5DF5"/>
    <w:rsid w:val="3AF70BD4"/>
    <w:rsid w:val="3BB371F1"/>
    <w:rsid w:val="3C057862"/>
    <w:rsid w:val="3C0D6158"/>
    <w:rsid w:val="3C1A2DCC"/>
    <w:rsid w:val="3C3025F0"/>
    <w:rsid w:val="3C364BD2"/>
    <w:rsid w:val="3C5C33E5"/>
    <w:rsid w:val="3C642299"/>
    <w:rsid w:val="3C65032A"/>
    <w:rsid w:val="3C826FD0"/>
    <w:rsid w:val="3CA01523"/>
    <w:rsid w:val="3CAA4150"/>
    <w:rsid w:val="3CC72F54"/>
    <w:rsid w:val="3CF641AF"/>
    <w:rsid w:val="3CFC0724"/>
    <w:rsid w:val="3D0A4BEF"/>
    <w:rsid w:val="3D153CA7"/>
    <w:rsid w:val="3D615D36"/>
    <w:rsid w:val="3DAC5CA6"/>
    <w:rsid w:val="3DAF312A"/>
    <w:rsid w:val="3DD551FD"/>
    <w:rsid w:val="3DDA2813"/>
    <w:rsid w:val="3DDF7E2A"/>
    <w:rsid w:val="3E0B0D27"/>
    <w:rsid w:val="3E0C2BE9"/>
    <w:rsid w:val="3E2B7513"/>
    <w:rsid w:val="3E3143FD"/>
    <w:rsid w:val="3E546BCB"/>
    <w:rsid w:val="3E5C591E"/>
    <w:rsid w:val="3E6B790F"/>
    <w:rsid w:val="3E6F5651"/>
    <w:rsid w:val="3EA90437"/>
    <w:rsid w:val="3EBA43F3"/>
    <w:rsid w:val="3EED47C8"/>
    <w:rsid w:val="3EFE5326"/>
    <w:rsid w:val="3F147FA7"/>
    <w:rsid w:val="3F67457A"/>
    <w:rsid w:val="3F6A64F7"/>
    <w:rsid w:val="3F6E3B5B"/>
    <w:rsid w:val="3F7E18C4"/>
    <w:rsid w:val="3FA70D26"/>
    <w:rsid w:val="3FB05F21"/>
    <w:rsid w:val="3FB62E0C"/>
    <w:rsid w:val="3FC46A76"/>
    <w:rsid w:val="3FC7326B"/>
    <w:rsid w:val="3FD57736"/>
    <w:rsid w:val="3FDA4D4C"/>
    <w:rsid w:val="3FDF2EC6"/>
    <w:rsid w:val="3FF12E5A"/>
    <w:rsid w:val="40150F02"/>
    <w:rsid w:val="40356427"/>
    <w:rsid w:val="40357B2D"/>
    <w:rsid w:val="403A3A3D"/>
    <w:rsid w:val="403B1563"/>
    <w:rsid w:val="404623E2"/>
    <w:rsid w:val="404C59ED"/>
    <w:rsid w:val="404E74E8"/>
    <w:rsid w:val="405F5252"/>
    <w:rsid w:val="40703903"/>
    <w:rsid w:val="408B6047"/>
    <w:rsid w:val="40B437EF"/>
    <w:rsid w:val="40EB4D37"/>
    <w:rsid w:val="40F005A0"/>
    <w:rsid w:val="41362456"/>
    <w:rsid w:val="414C3A28"/>
    <w:rsid w:val="41766CF7"/>
    <w:rsid w:val="41AE46E3"/>
    <w:rsid w:val="41B11ADD"/>
    <w:rsid w:val="41DB2FFE"/>
    <w:rsid w:val="4205007B"/>
    <w:rsid w:val="422B5D33"/>
    <w:rsid w:val="425608D6"/>
    <w:rsid w:val="42A258CA"/>
    <w:rsid w:val="42AE426E"/>
    <w:rsid w:val="42BF647C"/>
    <w:rsid w:val="42CE24B3"/>
    <w:rsid w:val="42CF364F"/>
    <w:rsid w:val="42E44F0D"/>
    <w:rsid w:val="42F01EAE"/>
    <w:rsid w:val="42F52445"/>
    <w:rsid w:val="43104F29"/>
    <w:rsid w:val="4340580E"/>
    <w:rsid w:val="43726059"/>
    <w:rsid w:val="43AA349D"/>
    <w:rsid w:val="43C755E8"/>
    <w:rsid w:val="43FA3C0F"/>
    <w:rsid w:val="43FC4043"/>
    <w:rsid w:val="443B7D84"/>
    <w:rsid w:val="446E63AB"/>
    <w:rsid w:val="44956C47"/>
    <w:rsid w:val="44A21BB1"/>
    <w:rsid w:val="44A41DCD"/>
    <w:rsid w:val="44B518E4"/>
    <w:rsid w:val="44F20D8A"/>
    <w:rsid w:val="451E2121"/>
    <w:rsid w:val="455E1F7C"/>
    <w:rsid w:val="45804154"/>
    <w:rsid w:val="45835E86"/>
    <w:rsid w:val="45944610"/>
    <w:rsid w:val="45C443A8"/>
    <w:rsid w:val="45DB537A"/>
    <w:rsid w:val="45DF6439"/>
    <w:rsid w:val="45EA505A"/>
    <w:rsid w:val="45F4643C"/>
    <w:rsid w:val="45F96148"/>
    <w:rsid w:val="45FE72BB"/>
    <w:rsid w:val="46164604"/>
    <w:rsid w:val="46192347"/>
    <w:rsid w:val="46284338"/>
    <w:rsid w:val="466E4440"/>
    <w:rsid w:val="46767799"/>
    <w:rsid w:val="46B06807"/>
    <w:rsid w:val="46C73B51"/>
    <w:rsid w:val="46E110B6"/>
    <w:rsid w:val="46E666CD"/>
    <w:rsid w:val="46F54A73"/>
    <w:rsid w:val="47051A26"/>
    <w:rsid w:val="47416F87"/>
    <w:rsid w:val="4743767B"/>
    <w:rsid w:val="474433F3"/>
    <w:rsid w:val="47742E8D"/>
    <w:rsid w:val="47887784"/>
    <w:rsid w:val="47CA56A6"/>
    <w:rsid w:val="47D66741"/>
    <w:rsid w:val="47DE55F6"/>
    <w:rsid w:val="48384A85"/>
    <w:rsid w:val="48396CD0"/>
    <w:rsid w:val="48405583"/>
    <w:rsid w:val="48435459"/>
    <w:rsid w:val="48541A59"/>
    <w:rsid w:val="48697596"/>
    <w:rsid w:val="48874BF8"/>
    <w:rsid w:val="489839F7"/>
    <w:rsid w:val="489F6B33"/>
    <w:rsid w:val="48B325DE"/>
    <w:rsid w:val="48B40105"/>
    <w:rsid w:val="48B63E7D"/>
    <w:rsid w:val="48C744F9"/>
    <w:rsid w:val="48D20636"/>
    <w:rsid w:val="48D433F2"/>
    <w:rsid w:val="48D662CD"/>
    <w:rsid w:val="48DD58AD"/>
    <w:rsid w:val="490E1F0B"/>
    <w:rsid w:val="4929464F"/>
    <w:rsid w:val="49385415"/>
    <w:rsid w:val="496D4E83"/>
    <w:rsid w:val="49777AB0"/>
    <w:rsid w:val="49867CF3"/>
    <w:rsid w:val="498F4DFA"/>
    <w:rsid w:val="499A72FA"/>
    <w:rsid w:val="49A34401"/>
    <w:rsid w:val="49AA1C33"/>
    <w:rsid w:val="49B22896"/>
    <w:rsid w:val="49BE123B"/>
    <w:rsid w:val="49E669E4"/>
    <w:rsid w:val="4A273284"/>
    <w:rsid w:val="4A4D25BF"/>
    <w:rsid w:val="4A58168F"/>
    <w:rsid w:val="4A835FE1"/>
    <w:rsid w:val="4A9621B8"/>
    <w:rsid w:val="4AA20B5D"/>
    <w:rsid w:val="4AAA6714"/>
    <w:rsid w:val="4B0D464A"/>
    <w:rsid w:val="4B1C1A05"/>
    <w:rsid w:val="4B257098"/>
    <w:rsid w:val="4B35377F"/>
    <w:rsid w:val="4B58121B"/>
    <w:rsid w:val="4B9F6E4A"/>
    <w:rsid w:val="4BA206E8"/>
    <w:rsid w:val="4BAB3E5A"/>
    <w:rsid w:val="4BBA1ED6"/>
    <w:rsid w:val="4BF278C2"/>
    <w:rsid w:val="4BFB6776"/>
    <w:rsid w:val="4C001FDF"/>
    <w:rsid w:val="4C0B2731"/>
    <w:rsid w:val="4C4B5B52"/>
    <w:rsid w:val="4C51283A"/>
    <w:rsid w:val="4CA30BBC"/>
    <w:rsid w:val="4D023B34"/>
    <w:rsid w:val="4D0F1DAD"/>
    <w:rsid w:val="4D241CFD"/>
    <w:rsid w:val="4D41465D"/>
    <w:rsid w:val="4D4B7289"/>
    <w:rsid w:val="4D67240E"/>
    <w:rsid w:val="4D907392"/>
    <w:rsid w:val="4D987FF5"/>
    <w:rsid w:val="4D994499"/>
    <w:rsid w:val="4D9F3131"/>
    <w:rsid w:val="4DAD7806"/>
    <w:rsid w:val="4DC024C7"/>
    <w:rsid w:val="4DC1579E"/>
    <w:rsid w:val="4DC66910"/>
    <w:rsid w:val="4E3B53D7"/>
    <w:rsid w:val="4E6F0D56"/>
    <w:rsid w:val="4E7B76FB"/>
    <w:rsid w:val="4E8366BE"/>
    <w:rsid w:val="4EAC01FC"/>
    <w:rsid w:val="4EAC3D58"/>
    <w:rsid w:val="4EB3158A"/>
    <w:rsid w:val="4ED67027"/>
    <w:rsid w:val="4EF31987"/>
    <w:rsid w:val="4EF37BD9"/>
    <w:rsid w:val="4EFE032C"/>
    <w:rsid w:val="4F1801C5"/>
    <w:rsid w:val="4F2C6C47"/>
    <w:rsid w:val="4F477F24"/>
    <w:rsid w:val="4F672375"/>
    <w:rsid w:val="4F6D483F"/>
    <w:rsid w:val="4F754F7F"/>
    <w:rsid w:val="4FC652ED"/>
    <w:rsid w:val="4FD70744"/>
    <w:rsid w:val="4FEA478B"/>
    <w:rsid w:val="4FF0236A"/>
    <w:rsid w:val="4FF04118"/>
    <w:rsid w:val="5033596E"/>
    <w:rsid w:val="504B134F"/>
    <w:rsid w:val="5086682B"/>
    <w:rsid w:val="509E5922"/>
    <w:rsid w:val="50A83C61"/>
    <w:rsid w:val="50AF18DD"/>
    <w:rsid w:val="50CB5795"/>
    <w:rsid w:val="50E579F5"/>
    <w:rsid w:val="5107796B"/>
    <w:rsid w:val="51112598"/>
    <w:rsid w:val="512D6CA6"/>
    <w:rsid w:val="5139564B"/>
    <w:rsid w:val="514069D9"/>
    <w:rsid w:val="51B178D7"/>
    <w:rsid w:val="51C71C3B"/>
    <w:rsid w:val="51E27A91"/>
    <w:rsid w:val="52271947"/>
    <w:rsid w:val="52367BE2"/>
    <w:rsid w:val="528154FB"/>
    <w:rsid w:val="52AF2069"/>
    <w:rsid w:val="52BB733A"/>
    <w:rsid w:val="52C11D9C"/>
    <w:rsid w:val="52CA6EA2"/>
    <w:rsid w:val="52CD0741"/>
    <w:rsid w:val="52D06576"/>
    <w:rsid w:val="52D51CAA"/>
    <w:rsid w:val="52DB4C79"/>
    <w:rsid w:val="53275046"/>
    <w:rsid w:val="535350EA"/>
    <w:rsid w:val="535F3A8F"/>
    <w:rsid w:val="53876B42"/>
    <w:rsid w:val="53894668"/>
    <w:rsid w:val="53A26E5C"/>
    <w:rsid w:val="53AD68E8"/>
    <w:rsid w:val="53BC4BFF"/>
    <w:rsid w:val="53DA3115"/>
    <w:rsid w:val="541C1980"/>
    <w:rsid w:val="54370568"/>
    <w:rsid w:val="54444A33"/>
    <w:rsid w:val="5452714F"/>
    <w:rsid w:val="54686973"/>
    <w:rsid w:val="548117E3"/>
    <w:rsid w:val="54996485"/>
    <w:rsid w:val="54A54516"/>
    <w:rsid w:val="54B73456"/>
    <w:rsid w:val="54D1276A"/>
    <w:rsid w:val="54DA4AA4"/>
    <w:rsid w:val="554533AB"/>
    <w:rsid w:val="554F18E1"/>
    <w:rsid w:val="55570796"/>
    <w:rsid w:val="5559450E"/>
    <w:rsid w:val="556C2493"/>
    <w:rsid w:val="55A0038E"/>
    <w:rsid w:val="55AC6D33"/>
    <w:rsid w:val="56004989"/>
    <w:rsid w:val="5601509B"/>
    <w:rsid w:val="564B02FA"/>
    <w:rsid w:val="56C43C09"/>
    <w:rsid w:val="56EE0C86"/>
    <w:rsid w:val="56EF332A"/>
    <w:rsid w:val="570326DF"/>
    <w:rsid w:val="570D6F14"/>
    <w:rsid w:val="5721675C"/>
    <w:rsid w:val="57455A7D"/>
    <w:rsid w:val="57912706"/>
    <w:rsid w:val="579F41A2"/>
    <w:rsid w:val="57C329A3"/>
    <w:rsid w:val="57EE53E1"/>
    <w:rsid w:val="57FB365A"/>
    <w:rsid w:val="581172F3"/>
    <w:rsid w:val="582C7CB7"/>
    <w:rsid w:val="585C35EB"/>
    <w:rsid w:val="58744A0E"/>
    <w:rsid w:val="587B479B"/>
    <w:rsid w:val="58D345D7"/>
    <w:rsid w:val="58EA204C"/>
    <w:rsid w:val="5905549B"/>
    <w:rsid w:val="59194514"/>
    <w:rsid w:val="59A73A9A"/>
    <w:rsid w:val="59B12B6A"/>
    <w:rsid w:val="59E407B8"/>
    <w:rsid w:val="59EA607C"/>
    <w:rsid w:val="59F14826"/>
    <w:rsid w:val="59F63BFA"/>
    <w:rsid w:val="59F64A21"/>
    <w:rsid w:val="5A184997"/>
    <w:rsid w:val="5A2570B4"/>
    <w:rsid w:val="5A2C3F9F"/>
    <w:rsid w:val="5A44753A"/>
    <w:rsid w:val="5A800F63"/>
    <w:rsid w:val="5A965D8E"/>
    <w:rsid w:val="5ABA3CA0"/>
    <w:rsid w:val="5AE1122D"/>
    <w:rsid w:val="5B296730"/>
    <w:rsid w:val="5B417F1E"/>
    <w:rsid w:val="5B4C509D"/>
    <w:rsid w:val="5B5437AD"/>
    <w:rsid w:val="5B9418AA"/>
    <w:rsid w:val="5B956A1E"/>
    <w:rsid w:val="5B98317F"/>
    <w:rsid w:val="5BEF6F13"/>
    <w:rsid w:val="5BFE5E0F"/>
    <w:rsid w:val="5C1049A0"/>
    <w:rsid w:val="5C3312A0"/>
    <w:rsid w:val="5C4557EC"/>
    <w:rsid w:val="5C700ABB"/>
    <w:rsid w:val="5C732C8F"/>
    <w:rsid w:val="5C7D6D34"/>
    <w:rsid w:val="5C9F314E"/>
    <w:rsid w:val="5CA01A4E"/>
    <w:rsid w:val="5CB32755"/>
    <w:rsid w:val="5CB36BF9"/>
    <w:rsid w:val="5CFA65D6"/>
    <w:rsid w:val="5CFF1E3E"/>
    <w:rsid w:val="5D2D23B6"/>
    <w:rsid w:val="5D303DA6"/>
    <w:rsid w:val="5D3970FE"/>
    <w:rsid w:val="5D417BA8"/>
    <w:rsid w:val="5D46469E"/>
    <w:rsid w:val="5D5D31F4"/>
    <w:rsid w:val="5D8365CC"/>
    <w:rsid w:val="5D850596"/>
    <w:rsid w:val="5D8D744A"/>
    <w:rsid w:val="5D9A000B"/>
    <w:rsid w:val="5DA0717E"/>
    <w:rsid w:val="5DBC1ADE"/>
    <w:rsid w:val="5E224037"/>
    <w:rsid w:val="5E2C0A11"/>
    <w:rsid w:val="5E4C4C10"/>
    <w:rsid w:val="5E59732C"/>
    <w:rsid w:val="5E9F160D"/>
    <w:rsid w:val="5EB7151D"/>
    <w:rsid w:val="5EC56770"/>
    <w:rsid w:val="5F117C07"/>
    <w:rsid w:val="5F351B48"/>
    <w:rsid w:val="5F5C109D"/>
    <w:rsid w:val="5F751F44"/>
    <w:rsid w:val="5F97635E"/>
    <w:rsid w:val="5FC86518"/>
    <w:rsid w:val="60015D41"/>
    <w:rsid w:val="600D03CE"/>
    <w:rsid w:val="601037F9"/>
    <w:rsid w:val="60196D73"/>
    <w:rsid w:val="601B2AEB"/>
    <w:rsid w:val="601E438A"/>
    <w:rsid w:val="60207A3E"/>
    <w:rsid w:val="602A2D2E"/>
    <w:rsid w:val="603E4A2C"/>
    <w:rsid w:val="604007A4"/>
    <w:rsid w:val="60937992"/>
    <w:rsid w:val="60A26D69"/>
    <w:rsid w:val="60E03D35"/>
    <w:rsid w:val="60EA4B93"/>
    <w:rsid w:val="61023CAB"/>
    <w:rsid w:val="611A2DA3"/>
    <w:rsid w:val="613025C6"/>
    <w:rsid w:val="61480C3A"/>
    <w:rsid w:val="614A0FF7"/>
    <w:rsid w:val="61677FB2"/>
    <w:rsid w:val="6176090A"/>
    <w:rsid w:val="617C5500"/>
    <w:rsid w:val="61B769E1"/>
    <w:rsid w:val="61D75138"/>
    <w:rsid w:val="61FA4982"/>
    <w:rsid w:val="62083543"/>
    <w:rsid w:val="621719D8"/>
    <w:rsid w:val="62361E5F"/>
    <w:rsid w:val="624C1640"/>
    <w:rsid w:val="624E656E"/>
    <w:rsid w:val="62563156"/>
    <w:rsid w:val="625B3673"/>
    <w:rsid w:val="625C563D"/>
    <w:rsid w:val="628D3A49"/>
    <w:rsid w:val="62AF39BF"/>
    <w:rsid w:val="62AF7E63"/>
    <w:rsid w:val="62D96C8E"/>
    <w:rsid w:val="6311467A"/>
    <w:rsid w:val="631D1EC8"/>
    <w:rsid w:val="63273E9D"/>
    <w:rsid w:val="63350A29"/>
    <w:rsid w:val="636D0103"/>
    <w:rsid w:val="63786307"/>
    <w:rsid w:val="63A81D02"/>
    <w:rsid w:val="63AB062A"/>
    <w:rsid w:val="63B53257"/>
    <w:rsid w:val="63B95EE8"/>
    <w:rsid w:val="63C416EC"/>
    <w:rsid w:val="63E762F9"/>
    <w:rsid w:val="63F42180"/>
    <w:rsid w:val="642503DD"/>
    <w:rsid w:val="64260398"/>
    <w:rsid w:val="64303CEE"/>
    <w:rsid w:val="644C3BBB"/>
    <w:rsid w:val="64540CC2"/>
    <w:rsid w:val="645440C9"/>
    <w:rsid w:val="645D1035"/>
    <w:rsid w:val="65004FA3"/>
    <w:rsid w:val="651E6BDA"/>
    <w:rsid w:val="652E1513"/>
    <w:rsid w:val="653B59DE"/>
    <w:rsid w:val="654523B9"/>
    <w:rsid w:val="654A79CF"/>
    <w:rsid w:val="65613696"/>
    <w:rsid w:val="65A417D5"/>
    <w:rsid w:val="65D976D1"/>
    <w:rsid w:val="65E34D93"/>
    <w:rsid w:val="65ED5B8B"/>
    <w:rsid w:val="66240220"/>
    <w:rsid w:val="665B645A"/>
    <w:rsid w:val="665E011C"/>
    <w:rsid w:val="666B2B86"/>
    <w:rsid w:val="66903B07"/>
    <w:rsid w:val="669E2A8C"/>
    <w:rsid w:val="66B477F6"/>
    <w:rsid w:val="66B61212"/>
    <w:rsid w:val="66D41C46"/>
    <w:rsid w:val="66DE2AC5"/>
    <w:rsid w:val="66FA57E0"/>
    <w:rsid w:val="6735464C"/>
    <w:rsid w:val="67397CFB"/>
    <w:rsid w:val="675114E9"/>
    <w:rsid w:val="67696832"/>
    <w:rsid w:val="6796339F"/>
    <w:rsid w:val="679E1439"/>
    <w:rsid w:val="67E57164"/>
    <w:rsid w:val="67E91721"/>
    <w:rsid w:val="6804655B"/>
    <w:rsid w:val="683A0216"/>
    <w:rsid w:val="6842021D"/>
    <w:rsid w:val="688431F8"/>
    <w:rsid w:val="68C24AB1"/>
    <w:rsid w:val="68DA14FC"/>
    <w:rsid w:val="69017C28"/>
    <w:rsid w:val="692F585A"/>
    <w:rsid w:val="696A6892"/>
    <w:rsid w:val="697D0373"/>
    <w:rsid w:val="69802A62"/>
    <w:rsid w:val="69F12B0F"/>
    <w:rsid w:val="6A0C3BFD"/>
    <w:rsid w:val="6A3D083B"/>
    <w:rsid w:val="6A522375"/>
    <w:rsid w:val="6A815C41"/>
    <w:rsid w:val="6A8219B9"/>
    <w:rsid w:val="6A8A2174"/>
    <w:rsid w:val="6A8D0A8A"/>
    <w:rsid w:val="6A8F4802"/>
    <w:rsid w:val="6A9339A0"/>
    <w:rsid w:val="6ACD532A"/>
    <w:rsid w:val="6AD06BC8"/>
    <w:rsid w:val="6ADC37BF"/>
    <w:rsid w:val="6B00180F"/>
    <w:rsid w:val="6B2A452A"/>
    <w:rsid w:val="6B301EF7"/>
    <w:rsid w:val="6B4A218F"/>
    <w:rsid w:val="6BA755D2"/>
    <w:rsid w:val="6BD91AAD"/>
    <w:rsid w:val="6BD93D17"/>
    <w:rsid w:val="6C0C1746"/>
    <w:rsid w:val="6C3A079D"/>
    <w:rsid w:val="6C3C2767"/>
    <w:rsid w:val="6C8E6D3B"/>
    <w:rsid w:val="6C914C22"/>
    <w:rsid w:val="6CA67BE1"/>
    <w:rsid w:val="6CC748C8"/>
    <w:rsid w:val="6D0843F7"/>
    <w:rsid w:val="6D233E90"/>
    <w:rsid w:val="6D920165"/>
    <w:rsid w:val="6D9D7236"/>
    <w:rsid w:val="6DA00AD4"/>
    <w:rsid w:val="6DAF40A7"/>
    <w:rsid w:val="6DC62555"/>
    <w:rsid w:val="6DF826BE"/>
    <w:rsid w:val="6E7066F8"/>
    <w:rsid w:val="6E851A78"/>
    <w:rsid w:val="6E865F1C"/>
    <w:rsid w:val="6E9C168D"/>
    <w:rsid w:val="6E9F2B3A"/>
    <w:rsid w:val="6EA14B04"/>
    <w:rsid w:val="6EBD1212"/>
    <w:rsid w:val="6F0926A9"/>
    <w:rsid w:val="6F23376B"/>
    <w:rsid w:val="6F307C36"/>
    <w:rsid w:val="6F3E05A4"/>
    <w:rsid w:val="6F541B76"/>
    <w:rsid w:val="6F6C7DDA"/>
    <w:rsid w:val="6F974B7A"/>
    <w:rsid w:val="6FA2019F"/>
    <w:rsid w:val="6FA23DA0"/>
    <w:rsid w:val="6FB97C2B"/>
    <w:rsid w:val="6FDD600F"/>
    <w:rsid w:val="6FEA24DA"/>
    <w:rsid w:val="70027824"/>
    <w:rsid w:val="70101E48"/>
    <w:rsid w:val="70495453"/>
    <w:rsid w:val="705E4F82"/>
    <w:rsid w:val="709A3647"/>
    <w:rsid w:val="70B054D2"/>
    <w:rsid w:val="70C90342"/>
    <w:rsid w:val="70DA60AB"/>
    <w:rsid w:val="70DC1E23"/>
    <w:rsid w:val="71094BE2"/>
    <w:rsid w:val="711517D9"/>
    <w:rsid w:val="71184E25"/>
    <w:rsid w:val="71211F2C"/>
    <w:rsid w:val="712B6906"/>
    <w:rsid w:val="717C1104"/>
    <w:rsid w:val="71AA1F21"/>
    <w:rsid w:val="71B7463E"/>
    <w:rsid w:val="71C07997"/>
    <w:rsid w:val="71D15700"/>
    <w:rsid w:val="71FC02A3"/>
    <w:rsid w:val="72355744"/>
    <w:rsid w:val="72430E2B"/>
    <w:rsid w:val="72802C82"/>
    <w:rsid w:val="7289422C"/>
    <w:rsid w:val="729D3834"/>
    <w:rsid w:val="72AC21C8"/>
    <w:rsid w:val="72BF321E"/>
    <w:rsid w:val="72C0261E"/>
    <w:rsid w:val="72C139C6"/>
    <w:rsid w:val="72D354A8"/>
    <w:rsid w:val="72D60AF4"/>
    <w:rsid w:val="72EC0317"/>
    <w:rsid w:val="73031126"/>
    <w:rsid w:val="73682094"/>
    <w:rsid w:val="737C0AB1"/>
    <w:rsid w:val="73821591"/>
    <w:rsid w:val="73830FF7"/>
    <w:rsid w:val="7393571D"/>
    <w:rsid w:val="73A83704"/>
    <w:rsid w:val="73AD5CF9"/>
    <w:rsid w:val="73E77BBD"/>
    <w:rsid w:val="74090812"/>
    <w:rsid w:val="742A10F7"/>
    <w:rsid w:val="744032D9"/>
    <w:rsid w:val="74640AAD"/>
    <w:rsid w:val="74842EFD"/>
    <w:rsid w:val="74DD0860"/>
    <w:rsid w:val="7518006F"/>
    <w:rsid w:val="752844B3"/>
    <w:rsid w:val="752B003D"/>
    <w:rsid w:val="753B1B7C"/>
    <w:rsid w:val="75644ADD"/>
    <w:rsid w:val="75812F99"/>
    <w:rsid w:val="75D27C98"/>
    <w:rsid w:val="75E672A0"/>
    <w:rsid w:val="75E8126A"/>
    <w:rsid w:val="75F47C0F"/>
    <w:rsid w:val="75F53987"/>
    <w:rsid w:val="761B33ED"/>
    <w:rsid w:val="764A5A81"/>
    <w:rsid w:val="768F16E6"/>
    <w:rsid w:val="769431A0"/>
    <w:rsid w:val="76A553AD"/>
    <w:rsid w:val="76BB24DB"/>
    <w:rsid w:val="76C70E7F"/>
    <w:rsid w:val="76CC49BA"/>
    <w:rsid w:val="7702635B"/>
    <w:rsid w:val="77440722"/>
    <w:rsid w:val="774921DC"/>
    <w:rsid w:val="776C7E88"/>
    <w:rsid w:val="77870DF7"/>
    <w:rsid w:val="77A62C91"/>
    <w:rsid w:val="77B77146"/>
    <w:rsid w:val="77B91110"/>
    <w:rsid w:val="77C35AEB"/>
    <w:rsid w:val="77DC2F9F"/>
    <w:rsid w:val="782347DB"/>
    <w:rsid w:val="78235625"/>
    <w:rsid w:val="784D3606"/>
    <w:rsid w:val="784D6DC5"/>
    <w:rsid w:val="785632FC"/>
    <w:rsid w:val="7856695F"/>
    <w:rsid w:val="788E3BC0"/>
    <w:rsid w:val="78CF04BF"/>
    <w:rsid w:val="78E5728C"/>
    <w:rsid w:val="78E81581"/>
    <w:rsid w:val="78EE6A17"/>
    <w:rsid w:val="79342C66"/>
    <w:rsid w:val="79425135"/>
    <w:rsid w:val="7961380D"/>
    <w:rsid w:val="79660E24"/>
    <w:rsid w:val="797A7E44"/>
    <w:rsid w:val="79AC6248"/>
    <w:rsid w:val="79F20909"/>
    <w:rsid w:val="79F3642F"/>
    <w:rsid w:val="7A0A691E"/>
    <w:rsid w:val="7A3031E0"/>
    <w:rsid w:val="7A792DD8"/>
    <w:rsid w:val="7A852FF1"/>
    <w:rsid w:val="7A8A28F0"/>
    <w:rsid w:val="7AC66867"/>
    <w:rsid w:val="7B0E3828"/>
    <w:rsid w:val="7B270385"/>
    <w:rsid w:val="7B3D4DDC"/>
    <w:rsid w:val="7B3E36DA"/>
    <w:rsid w:val="7B5353D8"/>
    <w:rsid w:val="7B5D0004"/>
    <w:rsid w:val="7BA83103"/>
    <w:rsid w:val="7BB51BEE"/>
    <w:rsid w:val="7BD26A57"/>
    <w:rsid w:val="7BEC5486"/>
    <w:rsid w:val="7BFA3AA5"/>
    <w:rsid w:val="7BFF10BB"/>
    <w:rsid w:val="7C0B1935"/>
    <w:rsid w:val="7C480CB4"/>
    <w:rsid w:val="7C506F0E"/>
    <w:rsid w:val="7C633120"/>
    <w:rsid w:val="7C943EFA"/>
    <w:rsid w:val="7CA153A0"/>
    <w:rsid w:val="7D0D7808"/>
    <w:rsid w:val="7D24527D"/>
    <w:rsid w:val="7D2A53FB"/>
    <w:rsid w:val="7D456FA2"/>
    <w:rsid w:val="7D885FD8"/>
    <w:rsid w:val="7DAD77FA"/>
    <w:rsid w:val="7DF16E2A"/>
    <w:rsid w:val="7E4761DE"/>
    <w:rsid w:val="7E4C610E"/>
    <w:rsid w:val="7E543940"/>
    <w:rsid w:val="7E5E47BF"/>
    <w:rsid w:val="7E600C3C"/>
    <w:rsid w:val="7E816354"/>
    <w:rsid w:val="7EEA1BAF"/>
    <w:rsid w:val="7EFB0260"/>
    <w:rsid w:val="7F14210C"/>
    <w:rsid w:val="7F3E639F"/>
    <w:rsid w:val="7F697AE7"/>
    <w:rsid w:val="7F6F6558"/>
    <w:rsid w:val="7F73429A"/>
    <w:rsid w:val="7F794CE1"/>
    <w:rsid w:val="7F855D7C"/>
    <w:rsid w:val="7F933140"/>
    <w:rsid w:val="7FAB5DC2"/>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nhideWhenUsed="0"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iPriority="99"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qFormat="1" w:uiPriority="99" w:semiHidden="0" w:name="Document Map"/>
    <w:lsdException w:qFormat="1" w:uiPriority="99"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宋体" w:eastAsia="宋体" w:cs="Times New Roman"/>
      <w:sz w:val="24"/>
      <w:lang w:val="en-US" w:eastAsia="zh-CN" w:bidi="ar-SA"/>
    </w:rPr>
  </w:style>
  <w:style w:type="paragraph" w:styleId="2">
    <w:name w:val="heading 1"/>
    <w:basedOn w:val="1"/>
    <w:next w:val="1"/>
    <w:link w:val="36"/>
    <w:autoRedefine/>
    <w:qFormat/>
    <w:uiPriority w:val="9"/>
    <w:pPr>
      <w:keepNext/>
      <w:keepLines/>
      <w:spacing w:before="340" w:after="330" w:line="578" w:lineRule="auto"/>
      <w:outlineLvl w:val="0"/>
    </w:pPr>
    <w:rPr>
      <w:b/>
      <w:bCs/>
      <w:kern w:val="44"/>
      <w:sz w:val="44"/>
      <w:szCs w:val="44"/>
    </w:rPr>
  </w:style>
  <w:style w:type="paragraph" w:styleId="3">
    <w:name w:val="heading 2"/>
    <w:basedOn w:val="1"/>
    <w:next w:val="1"/>
    <w:link w:val="37"/>
    <w:autoRedefine/>
    <w:unhideWhenUsed/>
    <w:qFormat/>
    <w:uiPriority w:val="9"/>
    <w:pPr>
      <w:keepNext/>
      <w:keepLines/>
      <w:spacing w:before="260" w:after="260" w:line="416" w:lineRule="auto"/>
      <w:outlineLvl w:val="1"/>
    </w:pPr>
    <w:rPr>
      <w:rFonts w:ascii="Cambria" w:hAnsi="Cambria" w:eastAsia="宋体" w:cs="Times New Roman"/>
      <w:b/>
      <w:bCs/>
      <w:sz w:val="32"/>
      <w:szCs w:val="32"/>
    </w:rPr>
  </w:style>
  <w:style w:type="paragraph" w:styleId="4">
    <w:name w:val="heading 3"/>
    <w:basedOn w:val="1"/>
    <w:next w:val="1"/>
    <w:link w:val="38"/>
    <w:autoRedefine/>
    <w:unhideWhenUsed/>
    <w:qFormat/>
    <w:uiPriority w:val="9"/>
    <w:pPr>
      <w:keepNext/>
      <w:keepLines/>
      <w:spacing w:before="260" w:after="260" w:line="416" w:lineRule="auto"/>
      <w:outlineLvl w:val="2"/>
    </w:pPr>
    <w:rPr>
      <w:b/>
      <w:bCs/>
      <w:sz w:val="32"/>
      <w:szCs w:val="32"/>
    </w:rPr>
  </w:style>
  <w:style w:type="paragraph" w:styleId="5">
    <w:name w:val="heading 4"/>
    <w:basedOn w:val="1"/>
    <w:next w:val="1"/>
    <w:link w:val="39"/>
    <w:autoRedefine/>
    <w:unhideWhenUsed/>
    <w:qFormat/>
    <w:uiPriority w:val="9"/>
    <w:pPr>
      <w:keepNext/>
      <w:keepLines/>
      <w:spacing w:line="372" w:lineRule="auto"/>
      <w:outlineLvl w:val="3"/>
    </w:pPr>
    <w:rPr>
      <w:rFonts w:ascii="Arial" w:hAnsi="Arial" w:eastAsia="黑体"/>
      <w:b/>
      <w:sz w:val="28"/>
    </w:rPr>
  </w:style>
  <w:style w:type="paragraph" w:styleId="6">
    <w:name w:val="heading 5"/>
    <w:basedOn w:val="1"/>
    <w:next w:val="1"/>
    <w:link w:val="40"/>
    <w:autoRedefine/>
    <w:unhideWhenUsed/>
    <w:qFormat/>
    <w:uiPriority w:val="9"/>
    <w:pPr>
      <w:keepNext/>
      <w:keepLines/>
      <w:spacing w:before="280" w:after="290" w:line="376" w:lineRule="auto"/>
      <w:outlineLvl w:val="4"/>
    </w:pPr>
    <w:rPr>
      <w:b/>
      <w:bCs/>
      <w:sz w:val="28"/>
      <w:szCs w:val="28"/>
    </w:rPr>
  </w:style>
  <w:style w:type="character" w:default="1" w:styleId="31">
    <w:name w:val="Default Paragraph Font"/>
    <w:autoRedefine/>
    <w:unhideWhenUsed/>
    <w:qFormat/>
    <w:uiPriority w:val="1"/>
  </w:style>
  <w:style w:type="table" w:default="1" w:styleId="29">
    <w:name w:val="Normal Table"/>
    <w:autoRedefine/>
    <w:unhideWhenUsed/>
    <w:qFormat/>
    <w:uiPriority w:val="99"/>
    <w:tblPr>
      <w:tblCellMar>
        <w:top w:w="0" w:type="dxa"/>
        <w:left w:w="108" w:type="dxa"/>
        <w:bottom w:w="0" w:type="dxa"/>
        <w:right w:w="108" w:type="dxa"/>
      </w:tblCellMar>
    </w:tblPr>
  </w:style>
  <w:style w:type="paragraph" w:styleId="7">
    <w:name w:val="toc 7"/>
    <w:basedOn w:val="1"/>
    <w:next w:val="1"/>
    <w:autoRedefine/>
    <w:unhideWhenUsed/>
    <w:qFormat/>
    <w:uiPriority w:val="39"/>
    <w:pPr>
      <w:ind w:left="1260"/>
      <w:jc w:val="left"/>
    </w:pPr>
    <w:rPr>
      <w:sz w:val="18"/>
      <w:szCs w:val="18"/>
    </w:rPr>
  </w:style>
  <w:style w:type="paragraph" w:styleId="8">
    <w:name w:val="Normal Indent"/>
    <w:basedOn w:val="1"/>
    <w:autoRedefine/>
    <w:qFormat/>
    <w:uiPriority w:val="0"/>
    <w:pPr>
      <w:spacing w:line="360" w:lineRule="auto"/>
      <w:ind w:firstLine="420"/>
    </w:pPr>
  </w:style>
  <w:style w:type="paragraph" w:styleId="9">
    <w:name w:val="Document Map"/>
    <w:basedOn w:val="1"/>
    <w:link w:val="41"/>
    <w:autoRedefine/>
    <w:unhideWhenUsed/>
    <w:qFormat/>
    <w:uiPriority w:val="99"/>
    <w:rPr>
      <w:sz w:val="18"/>
      <w:szCs w:val="18"/>
    </w:rPr>
  </w:style>
  <w:style w:type="paragraph" w:styleId="10">
    <w:name w:val="annotation text"/>
    <w:basedOn w:val="1"/>
    <w:link w:val="42"/>
    <w:autoRedefine/>
    <w:unhideWhenUsed/>
    <w:qFormat/>
    <w:uiPriority w:val="99"/>
    <w:pPr>
      <w:jc w:val="left"/>
    </w:pPr>
  </w:style>
  <w:style w:type="paragraph" w:styleId="11">
    <w:name w:val="Body Text"/>
    <w:basedOn w:val="1"/>
    <w:next w:val="1"/>
    <w:link w:val="43"/>
    <w:autoRedefine/>
    <w:qFormat/>
    <w:uiPriority w:val="99"/>
    <w:pPr>
      <w:spacing w:line="420" w:lineRule="auto"/>
    </w:pPr>
  </w:style>
  <w:style w:type="paragraph" w:styleId="12">
    <w:name w:val="List 2"/>
    <w:basedOn w:val="1"/>
    <w:autoRedefine/>
    <w:unhideWhenUsed/>
    <w:qFormat/>
    <w:uiPriority w:val="99"/>
    <w:pPr>
      <w:ind w:left="100" w:leftChars="200" w:hanging="200" w:hangingChars="200"/>
    </w:pPr>
  </w:style>
  <w:style w:type="paragraph" w:styleId="13">
    <w:name w:val="toc 5"/>
    <w:basedOn w:val="1"/>
    <w:next w:val="1"/>
    <w:autoRedefine/>
    <w:unhideWhenUsed/>
    <w:qFormat/>
    <w:uiPriority w:val="39"/>
    <w:pPr>
      <w:ind w:left="840"/>
      <w:jc w:val="left"/>
    </w:pPr>
    <w:rPr>
      <w:sz w:val="18"/>
      <w:szCs w:val="18"/>
    </w:rPr>
  </w:style>
  <w:style w:type="paragraph" w:styleId="14">
    <w:name w:val="toc 3"/>
    <w:basedOn w:val="1"/>
    <w:next w:val="4"/>
    <w:autoRedefine/>
    <w:unhideWhenUsed/>
    <w:qFormat/>
    <w:uiPriority w:val="39"/>
    <w:pPr>
      <w:ind w:left="420"/>
      <w:jc w:val="left"/>
    </w:pPr>
    <w:rPr>
      <w:i/>
      <w:iCs/>
      <w:sz w:val="20"/>
    </w:rPr>
  </w:style>
  <w:style w:type="paragraph" w:styleId="15">
    <w:name w:val="Plain Text"/>
    <w:basedOn w:val="1"/>
    <w:next w:val="1"/>
    <w:link w:val="44"/>
    <w:autoRedefine/>
    <w:unhideWhenUsed/>
    <w:qFormat/>
    <w:uiPriority w:val="99"/>
    <w:rPr>
      <w:rFonts w:hAnsi="Courier New" w:cs="Courier New"/>
      <w:szCs w:val="21"/>
    </w:rPr>
  </w:style>
  <w:style w:type="paragraph" w:styleId="16">
    <w:name w:val="toc 8"/>
    <w:basedOn w:val="1"/>
    <w:next w:val="1"/>
    <w:autoRedefine/>
    <w:unhideWhenUsed/>
    <w:qFormat/>
    <w:uiPriority w:val="39"/>
    <w:pPr>
      <w:ind w:left="1470"/>
      <w:jc w:val="left"/>
    </w:pPr>
    <w:rPr>
      <w:sz w:val="18"/>
      <w:szCs w:val="18"/>
    </w:rPr>
  </w:style>
  <w:style w:type="paragraph" w:styleId="17">
    <w:name w:val="Date"/>
    <w:basedOn w:val="1"/>
    <w:next w:val="1"/>
    <w:link w:val="45"/>
    <w:autoRedefine/>
    <w:unhideWhenUsed/>
    <w:qFormat/>
    <w:uiPriority w:val="99"/>
    <w:pPr>
      <w:ind w:left="100" w:leftChars="2500"/>
    </w:pPr>
  </w:style>
  <w:style w:type="paragraph" w:styleId="18">
    <w:name w:val="Balloon Text"/>
    <w:basedOn w:val="1"/>
    <w:link w:val="46"/>
    <w:autoRedefine/>
    <w:unhideWhenUsed/>
    <w:qFormat/>
    <w:uiPriority w:val="99"/>
    <w:rPr>
      <w:sz w:val="18"/>
      <w:szCs w:val="18"/>
    </w:rPr>
  </w:style>
  <w:style w:type="paragraph" w:styleId="19">
    <w:name w:val="footer"/>
    <w:basedOn w:val="1"/>
    <w:link w:val="47"/>
    <w:autoRedefine/>
    <w:unhideWhenUsed/>
    <w:qFormat/>
    <w:uiPriority w:val="99"/>
    <w:pPr>
      <w:tabs>
        <w:tab w:val="center" w:pos="4153"/>
        <w:tab w:val="right" w:pos="8306"/>
      </w:tabs>
      <w:snapToGrid w:val="0"/>
      <w:jc w:val="left"/>
    </w:pPr>
    <w:rPr>
      <w:sz w:val="18"/>
      <w:szCs w:val="18"/>
    </w:rPr>
  </w:style>
  <w:style w:type="paragraph" w:styleId="20">
    <w:name w:val="header"/>
    <w:basedOn w:val="1"/>
    <w:link w:val="4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21">
    <w:name w:val="toc 1"/>
    <w:basedOn w:val="22"/>
    <w:next w:val="2"/>
    <w:autoRedefine/>
    <w:unhideWhenUsed/>
    <w:qFormat/>
    <w:uiPriority w:val="39"/>
    <w:pPr>
      <w:spacing w:before="120" w:after="120"/>
      <w:jc w:val="left"/>
    </w:pPr>
    <w:rPr>
      <w:b/>
      <w:bCs/>
      <w:i w:val="0"/>
      <w:iCs w:val="0"/>
      <w:caps/>
      <w:color w:val="auto"/>
    </w:rPr>
  </w:style>
  <w:style w:type="paragraph" w:styleId="22">
    <w:name w:val="Quote"/>
    <w:basedOn w:val="1"/>
    <w:next w:val="1"/>
    <w:link w:val="49"/>
    <w:autoRedefine/>
    <w:qFormat/>
    <w:uiPriority w:val="29"/>
    <w:rPr>
      <w:i/>
      <w:iCs/>
      <w:color w:val="000000"/>
    </w:rPr>
  </w:style>
  <w:style w:type="paragraph" w:styleId="23">
    <w:name w:val="toc 4"/>
    <w:basedOn w:val="1"/>
    <w:next w:val="5"/>
    <w:autoRedefine/>
    <w:unhideWhenUsed/>
    <w:qFormat/>
    <w:uiPriority w:val="39"/>
    <w:pPr>
      <w:ind w:left="630"/>
      <w:jc w:val="left"/>
    </w:pPr>
    <w:rPr>
      <w:sz w:val="18"/>
      <w:szCs w:val="18"/>
    </w:rPr>
  </w:style>
  <w:style w:type="paragraph" w:styleId="24">
    <w:name w:val="toc 6"/>
    <w:basedOn w:val="1"/>
    <w:next w:val="1"/>
    <w:autoRedefine/>
    <w:unhideWhenUsed/>
    <w:qFormat/>
    <w:uiPriority w:val="39"/>
    <w:pPr>
      <w:ind w:left="1050"/>
      <w:jc w:val="left"/>
    </w:pPr>
    <w:rPr>
      <w:sz w:val="18"/>
      <w:szCs w:val="18"/>
    </w:rPr>
  </w:style>
  <w:style w:type="paragraph" w:styleId="25">
    <w:name w:val="toc 2"/>
    <w:basedOn w:val="22"/>
    <w:next w:val="3"/>
    <w:link w:val="50"/>
    <w:autoRedefine/>
    <w:unhideWhenUsed/>
    <w:qFormat/>
    <w:uiPriority w:val="39"/>
    <w:pPr>
      <w:topLinePunct/>
      <w:autoSpaceDN w:val="0"/>
      <w:adjustRightInd w:val="0"/>
      <w:snapToGrid w:val="0"/>
      <w:spacing w:before="40" w:after="40"/>
      <w:ind w:firstLine="200" w:firstLineChars="200"/>
      <w:jc w:val="left"/>
    </w:pPr>
    <w:rPr>
      <w:bCs/>
      <w:i w:val="0"/>
      <w:iCs w:val="0"/>
      <w:szCs w:val="32"/>
    </w:rPr>
  </w:style>
  <w:style w:type="paragraph" w:styleId="26">
    <w:name w:val="toc 9"/>
    <w:basedOn w:val="1"/>
    <w:next w:val="1"/>
    <w:autoRedefine/>
    <w:unhideWhenUsed/>
    <w:qFormat/>
    <w:uiPriority w:val="39"/>
    <w:pPr>
      <w:ind w:left="1680"/>
      <w:jc w:val="left"/>
    </w:pPr>
    <w:rPr>
      <w:sz w:val="18"/>
      <w:szCs w:val="18"/>
    </w:rPr>
  </w:style>
  <w:style w:type="paragraph" w:styleId="27">
    <w:name w:val="Normal (Web)"/>
    <w:basedOn w:val="1"/>
    <w:autoRedefine/>
    <w:unhideWhenUsed/>
    <w:qFormat/>
    <w:uiPriority w:val="99"/>
    <w:pPr>
      <w:widowControl/>
      <w:spacing w:before="100" w:beforeAutospacing="1" w:after="100" w:afterAutospacing="1"/>
      <w:jc w:val="left"/>
    </w:pPr>
    <w:rPr>
      <w:rFonts w:cs="宋体"/>
      <w:szCs w:val="24"/>
    </w:rPr>
  </w:style>
  <w:style w:type="paragraph" w:styleId="28">
    <w:name w:val="annotation subject"/>
    <w:basedOn w:val="10"/>
    <w:next w:val="10"/>
    <w:link w:val="51"/>
    <w:autoRedefine/>
    <w:unhideWhenUsed/>
    <w:qFormat/>
    <w:uiPriority w:val="99"/>
    <w:rPr>
      <w:b/>
      <w:bCs/>
    </w:rPr>
  </w:style>
  <w:style w:type="table" w:styleId="30">
    <w:name w:val="Table Grid"/>
    <w:basedOn w:val="29"/>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32">
    <w:name w:val="FollowedHyperlink"/>
    <w:basedOn w:val="31"/>
    <w:autoRedefine/>
    <w:unhideWhenUsed/>
    <w:qFormat/>
    <w:uiPriority w:val="99"/>
    <w:rPr>
      <w:color w:val="800080"/>
      <w:u w:val="single"/>
    </w:rPr>
  </w:style>
  <w:style w:type="character" w:styleId="33">
    <w:name w:val="Emphasis"/>
    <w:basedOn w:val="31"/>
    <w:autoRedefine/>
    <w:qFormat/>
    <w:uiPriority w:val="20"/>
    <w:rPr>
      <w:i/>
      <w:iCs/>
    </w:rPr>
  </w:style>
  <w:style w:type="character" w:styleId="34">
    <w:name w:val="Hyperlink"/>
    <w:basedOn w:val="31"/>
    <w:autoRedefine/>
    <w:unhideWhenUsed/>
    <w:qFormat/>
    <w:uiPriority w:val="99"/>
    <w:rPr>
      <w:rFonts w:eastAsia="宋体"/>
      <w:color w:val="0000FF"/>
      <w:u w:val="none"/>
    </w:rPr>
  </w:style>
  <w:style w:type="character" w:styleId="35">
    <w:name w:val="annotation reference"/>
    <w:autoRedefine/>
    <w:qFormat/>
    <w:uiPriority w:val="99"/>
    <w:rPr>
      <w:sz w:val="21"/>
    </w:rPr>
  </w:style>
  <w:style w:type="character" w:customStyle="1" w:styleId="36">
    <w:name w:val="标题 1 Char"/>
    <w:basedOn w:val="31"/>
    <w:link w:val="2"/>
    <w:autoRedefine/>
    <w:qFormat/>
    <w:uiPriority w:val="9"/>
    <w:rPr>
      <w:b/>
      <w:bCs/>
      <w:kern w:val="44"/>
      <w:sz w:val="44"/>
      <w:szCs w:val="44"/>
    </w:rPr>
  </w:style>
  <w:style w:type="character" w:customStyle="1" w:styleId="37">
    <w:name w:val="标题 2 Char"/>
    <w:basedOn w:val="31"/>
    <w:link w:val="3"/>
    <w:autoRedefine/>
    <w:qFormat/>
    <w:uiPriority w:val="9"/>
    <w:rPr>
      <w:rFonts w:ascii="Cambria" w:hAnsi="Cambria" w:eastAsia="宋体" w:cs="Times New Roman"/>
      <w:b/>
      <w:bCs/>
      <w:sz w:val="32"/>
      <w:szCs w:val="32"/>
    </w:rPr>
  </w:style>
  <w:style w:type="character" w:customStyle="1" w:styleId="38">
    <w:name w:val="标题 3 Char"/>
    <w:basedOn w:val="31"/>
    <w:link w:val="4"/>
    <w:autoRedefine/>
    <w:qFormat/>
    <w:uiPriority w:val="9"/>
    <w:rPr>
      <w:rFonts w:ascii="Calibri" w:hAnsi="Calibri" w:eastAsia="宋体" w:cs="Times New Roman"/>
      <w:b/>
      <w:bCs/>
      <w:kern w:val="2"/>
      <w:sz w:val="32"/>
      <w:szCs w:val="32"/>
    </w:rPr>
  </w:style>
  <w:style w:type="character" w:customStyle="1" w:styleId="39">
    <w:name w:val="标题 4 Char"/>
    <w:link w:val="5"/>
    <w:autoRedefine/>
    <w:qFormat/>
    <w:uiPriority w:val="0"/>
    <w:rPr>
      <w:rFonts w:ascii="Arial" w:hAnsi="Arial" w:eastAsia="黑体"/>
      <w:b/>
      <w:sz w:val="28"/>
    </w:rPr>
  </w:style>
  <w:style w:type="character" w:customStyle="1" w:styleId="40">
    <w:name w:val="标题 5 Char"/>
    <w:basedOn w:val="31"/>
    <w:link w:val="6"/>
    <w:autoRedefine/>
    <w:qFormat/>
    <w:uiPriority w:val="9"/>
    <w:rPr>
      <w:rFonts w:ascii="Calibri" w:hAnsi="Calibri" w:eastAsia="宋体" w:cs="Times New Roman"/>
      <w:b/>
      <w:bCs/>
      <w:kern w:val="2"/>
      <w:sz w:val="28"/>
      <w:szCs w:val="28"/>
    </w:rPr>
  </w:style>
  <w:style w:type="character" w:customStyle="1" w:styleId="41">
    <w:name w:val="文档结构图 Char"/>
    <w:basedOn w:val="31"/>
    <w:link w:val="9"/>
    <w:autoRedefine/>
    <w:semiHidden/>
    <w:qFormat/>
    <w:uiPriority w:val="99"/>
    <w:rPr>
      <w:rFonts w:ascii="宋体" w:hAnsi="Calibri" w:cs="Times New Roman"/>
      <w:kern w:val="2"/>
      <w:sz w:val="18"/>
      <w:szCs w:val="18"/>
    </w:rPr>
  </w:style>
  <w:style w:type="character" w:customStyle="1" w:styleId="42">
    <w:name w:val="批注文字 Char"/>
    <w:basedOn w:val="31"/>
    <w:link w:val="10"/>
    <w:autoRedefine/>
    <w:qFormat/>
    <w:uiPriority w:val="99"/>
  </w:style>
  <w:style w:type="character" w:customStyle="1" w:styleId="43">
    <w:name w:val="正文文本 Char"/>
    <w:basedOn w:val="31"/>
    <w:link w:val="11"/>
    <w:autoRedefine/>
    <w:qFormat/>
    <w:uiPriority w:val="99"/>
    <w:rPr>
      <w:rFonts w:ascii="Calibri" w:hAnsi="Calibri" w:eastAsia="宋体" w:cs="Times New Roman"/>
      <w:kern w:val="2"/>
      <w:sz w:val="24"/>
      <w:szCs w:val="22"/>
    </w:rPr>
  </w:style>
  <w:style w:type="character" w:customStyle="1" w:styleId="44">
    <w:name w:val="纯文本 Char"/>
    <w:basedOn w:val="31"/>
    <w:link w:val="15"/>
    <w:autoRedefine/>
    <w:semiHidden/>
    <w:qFormat/>
    <w:uiPriority w:val="99"/>
    <w:rPr>
      <w:rFonts w:ascii="宋体" w:hAnsi="Courier New" w:eastAsia="宋体" w:cs="Courier New"/>
      <w:szCs w:val="21"/>
    </w:rPr>
  </w:style>
  <w:style w:type="character" w:customStyle="1" w:styleId="45">
    <w:name w:val="日期 Char"/>
    <w:basedOn w:val="31"/>
    <w:link w:val="17"/>
    <w:autoRedefine/>
    <w:semiHidden/>
    <w:qFormat/>
    <w:uiPriority w:val="99"/>
  </w:style>
  <w:style w:type="character" w:customStyle="1" w:styleId="46">
    <w:name w:val="批注框文本 Char"/>
    <w:basedOn w:val="31"/>
    <w:link w:val="18"/>
    <w:autoRedefine/>
    <w:semiHidden/>
    <w:qFormat/>
    <w:uiPriority w:val="99"/>
    <w:rPr>
      <w:sz w:val="18"/>
      <w:szCs w:val="18"/>
    </w:rPr>
  </w:style>
  <w:style w:type="character" w:customStyle="1" w:styleId="47">
    <w:name w:val="页脚 Char"/>
    <w:basedOn w:val="31"/>
    <w:link w:val="19"/>
    <w:autoRedefine/>
    <w:qFormat/>
    <w:uiPriority w:val="99"/>
    <w:rPr>
      <w:sz w:val="18"/>
      <w:szCs w:val="18"/>
    </w:rPr>
  </w:style>
  <w:style w:type="character" w:customStyle="1" w:styleId="48">
    <w:name w:val="页眉 Char"/>
    <w:basedOn w:val="31"/>
    <w:link w:val="20"/>
    <w:autoRedefine/>
    <w:qFormat/>
    <w:uiPriority w:val="99"/>
    <w:rPr>
      <w:sz w:val="18"/>
      <w:szCs w:val="18"/>
    </w:rPr>
  </w:style>
  <w:style w:type="character" w:customStyle="1" w:styleId="49">
    <w:name w:val="引用 Char"/>
    <w:basedOn w:val="31"/>
    <w:link w:val="22"/>
    <w:autoRedefine/>
    <w:qFormat/>
    <w:uiPriority w:val="29"/>
    <w:rPr>
      <w:i/>
      <w:iCs/>
      <w:color w:val="000000"/>
    </w:rPr>
  </w:style>
  <w:style w:type="character" w:customStyle="1" w:styleId="50">
    <w:name w:val="目录 2 Char"/>
    <w:basedOn w:val="49"/>
    <w:link w:val="25"/>
    <w:autoRedefine/>
    <w:qFormat/>
    <w:uiPriority w:val="39"/>
    <w:rPr>
      <w:bCs/>
      <w:i w:val="0"/>
      <w:iCs w:val="0"/>
      <w:color w:val="000000"/>
      <w:szCs w:val="32"/>
    </w:rPr>
  </w:style>
  <w:style w:type="character" w:customStyle="1" w:styleId="51">
    <w:name w:val="批注主题 Char"/>
    <w:basedOn w:val="42"/>
    <w:link w:val="28"/>
    <w:autoRedefine/>
    <w:semiHidden/>
    <w:qFormat/>
    <w:uiPriority w:val="99"/>
    <w:rPr>
      <w:b/>
      <w:bCs/>
    </w:rPr>
  </w:style>
  <w:style w:type="paragraph" w:customStyle="1" w:styleId="52">
    <w:name w:val="Heading4"/>
    <w:basedOn w:val="1"/>
    <w:next w:val="1"/>
    <w:autoRedefine/>
    <w:qFormat/>
    <w:uiPriority w:val="0"/>
    <w:pPr>
      <w:keepNext/>
      <w:keepLines/>
      <w:spacing w:line="300" w:lineRule="auto"/>
      <w:textAlignment w:val="baseline"/>
    </w:pPr>
    <w:rPr>
      <w:rFonts w:ascii="Arial" w:hAnsi="Arial" w:eastAsia="宋体" w:cs="Times New Roman"/>
      <w:bCs/>
      <w:sz w:val="24"/>
      <w:szCs w:val="28"/>
    </w:rPr>
  </w:style>
  <w:style w:type="paragraph" w:customStyle="1" w:styleId="53">
    <w:name w:val="页脚1"/>
    <w:basedOn w:val="1"/>
    <w:autoRedefine/>
    <w:qFormat/>
    <w:uiPriority w:val="0"/>
    <w:pPr>
      <w:tabs>
        <w:tab w:val="center" w:pos="4153"/>
        <w:tab w:val="right" w:pos="8306"/>
      </w:tabs>
      <w:snapToGrid w:val="0"/>
      <w:jc w:val="left"/>
      <w:textAlignment w:val="baseline"/>
    </w:pPr>
    <w:rPr>
      <w:rFonts w:ascii="Times New Roman" w:hAnsi="Times New Roman"/>
      <w:sz w:val="18"/>
      <w:szCs w:val="20"/>
    </w:rPr>
  </w:style>
  <w:style w:type="paragraph" w:styleId="54">
    <w:name w:val="List Paragraph"/>
    <w:basedOn w:val="1"/>
    <w:link w:val="55"/>
    <w:autoRedefine/>
    <w:qFormat/>
    <w:uiPriority w:val="34"/>
    <w:pPr>
      <w:ind w:firstLine="420" w:firstLineChars="200"/>
    </w:pPr>
  </w:style>
  <w:style w:type="character" w:customStyle="1" w:styleId="55">
    <w:name w:val="列出段落 Char"/>
    <w:link w:val="54"/>
    <w:autoRedefine/>
    <w:qFormat/>
    <w:uiPriority w:val="34"/>
  </w:style>
  <w:style w:type="paragraph" w:customStyle="1" w:styleId="56">
    <w:name w:val="TOC 标题1"/>
    <w:basedOn w:val="2"/>
    <w:next w:val="1"/>
    <w:autoRedefine/>
    <w:unhideWhenUsed/>
    <w:qFormat/>
    <w:uiPriority w:val="39"/>
    <w:pPr>
      <w:widowControl/>
      <w:spacing w:before="480" w:after="0" w:line="276" w:lineRule="auto"/>
      <w:jc w:val="left"/>
      <w:outlineLvl w:val="9"/>
    </w:pPr>
    <w:rPr>
      <w:rFonts w:ascii="Cambria" w:hAnsi="Cambria" w:eastAsia="宋体" w:cs="Times New Roman"/>
      <w:color w:val="366091"/>
      <w:kern w:val="0"/>
      <w:sz w:val="28"/>
      <w:szCs w:val="28"/>
    </w:rPr>
  </w:style>
  <w:style w:type="paragraph" w:customStyle="1" w:styleId="57">
    <w:name w:val="NormalIndent"/>
    <w:basedOn w:val="1"/>
    <w:autoRedefine/>
    <w:qFormat/>
    <w:uiPriority w:val="0"/>
    <w:pPr>
      <w:widowControl/>
      <w:spacing w:before="100" w:beforeAutospacing="1" w:after="100" w:afterAutospacing="1"/>
      <w:jc w:val="left"/>
      <w:textAlignment w:val="baseline"/>
    </w:pPr>
    <w:rPr>
      <w:rFonts w:ascii="宋体" w:hAnsi="宋体" w:eastAsia="宋体" w:cs="Times New Roman"/>
      <w:kern w:val="0"/>
      <w:sz w:val="24"/>
    </w:rPr>
  </w:style>
  <w:style w:type="paragraph" w:customStyle="1" w:styleId="58">
    <w:name w:val="修订1"/>
    <w:autoRedefine/>
    <w:semiHidden/>
    <w:qFormat/>
    <w:uiPriority w:val="99"/>
    <w:rPr>
      <w:rFonts w:ascii="Calibri" w:hAnsi="Calibri" w:eastAsia="宋体" w:cs="Times New Roman"/>
      <w:kern w:val="2"/>
      <w:sz w:val="21"/>
      <w:szCs w:val="22"/>
      <w:lang w:val="en-US" w:eastAsia="zh-CN" w:bidi="ar-SA"/>
    </w:rPr>
  </w:style>
  <w:style w:type="character" w:customStyle="1" w:styleId="59">
    <w:name w:val="明显强调1"/>
    <w:basedOn w:val="31"/>
    <w:autoRedefine/>
    <w:qFormat/>
    <w:uiPriority w:val="21"/>
    <w:rPr>
      <w:b/>
      <w:bCs/>
      <w:i/>
      <w:iCs/>
      <w:color w:val="4F81BD"/>
    </w:rPr>
  </w:style>
  <w:style w:type="table" w:customStyle="1" w:styleId="60">
    <w:name w:val="网格型1"/>
    <w:basedOn w:val="29"/>
    <w:autoRedefine/>
    <w:qFormat/>
    <w:uiPriority w:val="59"/>
    <w:rPr>
      <w:rFonts w:ascii="Calibri" w:hAnsi="Calibri" w:eastAsia="宋体" w:cs="Times New Roman"/>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
    <w:name w:val="网格型2"/>
    <w:basedOn w:val="29"/>
    <w:autoRedefine/>
    <w:qFormat/>
    <w:uiPriority w:val="59"/>
    <w:rPr>
      <w:rFonts w:eastAsia="宋体"/>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62">
    <w:name w:val="书籍标题1"/>
    <w:basedOn w:val="31"/>
    <w:autoRedefine/>
    <w:qFormat/>
    <w:uiPriority w:val="33"/>
    <w:rPr>
      <w:b/>
      <w:bCs/>
      <w:smallCaps/>
      <w:spacing w:val="5"/>
    </w:rPr>
  </w:style>
  <w:style w:type="character" w:customStyle="1" w:styleId="63">
    <w:name w:val="不明显强调1"/>
    <w:basedOn w:val="31"/>
    <w:autoRedefine/>
    <w:qFormat/>
    <w:uiPriority w:val="19"/>
    <w:rPr>
      <w:i/>
      <w:iCs/>
      <w:color w:val="7F7F7F"/>
    </w:rPr>
  </w:style>
  <w:style w:type="paragraph" w:customStyle="1" w:styleId="64">
    <w:name w:val="样式1"/>
    <w:basedOn w:val="25"/>
    <w:link w:val="65"/>
    <w:autoRedefine/>
    <w:qFormat/>
    <w:uiPriority w:val="0"/>
  </w:style>
  <w:style w:type="character" w:customStyle="1" w:styleId="65">
    <w:name w:val="样式1 Char"/>
    <w:basedOn w:val="50"/>
    <w:link w:val="64"/>
    <w:autoRedefine/>
    <w:qFormat/>
    <w:uiPriority w:val="0"/>
    <w:rPr>
      <w:rFonts w:ascii="黑体" w:hAnsi="黑体" w:eastAsia="宋体" w:cs="Times New Roman"/>
      <w:color w:val="000000"/>
      <w:kern w:val="2"/>
      <w:sz w:val="24"/>
      <w:szCs w:val="22"/>
      <w:lang w:val="zh-CN"/>
    </w:rPr>
  </w:style>
  <w:style w:type="paragraph" w:customStyle="1" w:styleId="66">
    <w:name w:val="样式 标题 3 + (中文) 黑体 小四 非加粗 段前: 7.8 磅 段后: 0 磅 行距: 固定值 20 磅"/>
    <w:basedOn w:val="4"/>
    <w:autoRedefine/>
    <w:qFormat/>
    <w:uiPriority w:val="0"/>
    <w:pPr>
      <w:spacing w:before="0" w:after="0" w:line="400" w:lineRule="exact"/>
    </w:pPr>
    <w:rPr>
      <w:rFonts w:ascii="Times New Roman" w:hAnsi="Times New Roman" w:eastAsia="黑体" w:cs="宋体"/>
      <w:b w:val="0"/>
      <w:bCs w:val="0"/>
      <w:sz w:val="24"/>
      <w:szCs w:val="20"/>
    </w:rPr>
  </w:style>
  <w:style w:type="paragraph" w:customStyle="1" w:styleId="67">
    <w:name w:val="Default"/>
    <w:link w:val="68"/>
    <w:autoRedefine/>
    <w:qFormat/>
    <w:uiPriority w:val="0"/>
    <w:pPr>
      <w:widowControl w:val="0"/>
      <w:autoSpaceDE w:val="0"/>
      <w:autoSpaceDN w:val="0"/>
      <w:adjustRightInd w:val="0"/>
    </w:pPr>
    <w:rPr>
      <w:rFonts w:ascii=".." w:hAnsi="Times New Roman" w:eastAsia=".." w:cs="Times New Roman"/>
      <w:color w:val="000000"/>
      <w:sz w:val="24"/>
      <w:szCs w:val="24"/>
      <w:lang w:val="en-US" w:eastAsia="zh-CN" w:bidi="ar-SA"/>
    </w:rPr>
  </w:style>
  <w:style w:type="character" w:customStyle="1" w:styleId="68">
    <w:name w:val="Default Char Char"/>
    <w:link w:val="67"/>
    <w:autoRedefine/>
    <w:qFormat/>
    <w:uiPriority w:val="0"/>
    <w:rPr>
      <w:rFonts w:ascii=".." w:hAnsi="Times New Roman" w:eastAsia=".."/>
      <w:color w:val="000000"/>
      <w:szCs w:val="24"/>
    </w:rPr>
  </w:style>
  <w:style w:type="paragraph" w:customStyle="1" w:styleId="69">
    <w:name w:val="正文_0"/>
    <w:basedOn w:val="1"/>
    <w:autoRedefine/>
    <w:qFormat/>
    <w:uiPriority w:val="0"/>
    <w:pPr>
      <w:keepNext w:val="0"/>
      <w:keepLines w:val="0"/>
      <w:widowControl w:val="0"/>
      <w:suppressLineNumbers w:val="0"/>
      <w:spacing w:before="0" w:beforeAutospacing="0" w:after="0" w:afterAutospacing="0"/>
      <w:ind w:left="0" w:right="0" w:firstLine="560" w:firstLineChars="200"/>
      <w:jc w:val="both"/>
    </w:pPr>
    <w:rPr>
      <w:rFonts w:hint="default" w:ascii="Calibri" w:hAnsi="Calibri" w:eastAsia="宋体" w:cs="Times New Roman"/>
      <w:kern w:val="2"/>
      <w:sz w:val="28"/>
      <w:szCs w:val="28"/>
      <w:lang w:val="en-US" w:eastAsia="zh-CN" w:bidi="ar"/>
    </w:rPr>
  </w:style>
  <w:style w:type="paragraph" w:customStyle="1" w:styleId="70">
    <w:name w:val="null3"/>
    <w:autoRedefine/>
    <w:qFormat/>
    <w:uiPriority w:val="0"/>
    <w:rPr>
      <w:rFonts w:hint="eastAsia" w:ascii="Calibri" w:hAnsi="Calibri" w:eastAsia="宋体" w:cs="Times New Roman"/>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china</Company>
  <Pages>71</Pages>
  <Words>36793</Words>
  <Characters>39070</Characters>
  <Lines>335</Lines>
  <Paragraphs>94</Paragraphs>
  <TotalTime>11</TotalTime>
  <ScaleCrop>false</ScaleCrop>
  <LinksUpToDate>false</LinksUpToDate>
  <CharactersWithSpaces>44843</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2022-10-21T07:58:00Z</dcterms:created>
  <dc:creator>502-2钱进</dc:creator>
  <cp:lastModifiedBy>.</cp:lastModifiedBy>
  <cp:lastPrinted>2023-12-20T07:13:00Z</cp:lastPrinted>
  <dcterms:modified xsi:type="dcterms:W3CDTF">2023-12-22T01:30:14Z</dcterms:modified>
  <cp:revision>367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F1BB9791E57A4A6FAEE97A191FB34622_13</vt:lpwstr>
  </property>
</Properties>
</file>